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00" w:type="dxa"/>
            <w:vAlign w:val="bottom"/>
          </w:tcPr>
          <w:p>
            <w:pPr>
              <w:ind w:left="1900"/>
              <w:spacing w:after="0"/>
              <w:rPr>
                <w:sz w:val="20"/>
                <w:szCs w:val="20"/>
                <w:color w:val="auto"/>
              </w:rPr>
            </w:pPr>
            <w:r>
              <w:rPr>
                <w:rFonts w:ascii="Arial" w:cs="Arial" w:eastAsia="Arial" w:hAnsi="Arial"/>
                <w:sz w:val="18"/>
                <w:szCs w:val="18"/>
                <w:color w:val="auto"/>
                <w:w w:val="88"/>
              </w:rPr>
              <w:t>May 3, 2010</w:t>
            </w:r>
          </w:p>
        </w:tc>
      </w:tr>
    </w:tbl>
    <w:p>
      <w:pPr>
        <w:spacing w:after="0" w:line="200" w:lineRule="exact"/>
        <w:rPr>
          <w:sz w:val="24"/>
          <w:szCs w:val="24"/>
          <w:color w:val="auto"/>
        </w:rPr>
      </w:pP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Integra LifeSciences Holdings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60" w:type="dxa"/>
            <w:vAlign w:val="bottom"/>
          </w:tcPr>
          <w:p>
            <w:pPr>
              <w:jc w:val="right"/>
              <w:ind w:right="1932"/>
              <w:spacing w:after="0"/>
              <w:rPr>
                <w:sz w:val="20"/>
                <w:szCs w:val="20"/>
                <w:color w:val="auto"/>
              </w:rPr>
            </w:pPr>
            <w:r>
              <w:rPr>
                <w:rFonts w:ascii="Arial" w:cs="Arial" w:eastAsia="Arial" w:hAnsi="Arial"/>
                <w:sz w:val="18"/>
                <w:szCs w:val="18"/>
                <w:color w:val="auto"/>
              </w:rPr>
              <w:t>000-26244</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510317849</w:t>
            </w:r>
          </w:p>
        </w:tc>
      </w:tr>
      <w:tr>
        <w:trPr>
          <w:trHeight w:val="216"/>
        </w:trPr>
        <w:tc>
          <w:tcPr>
            <w:tcW w:w="3280" w:type="dxa"/>
            <w:vAlign w:val="bottom"/>
          </w:tcPr>
          <w:p>
            <w:pPr>
              <w:jc w:val="right"/>
              <w:ind w:right="65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80" w:type="dxa"/>
            <w:vAlign w:val="bottom"/>
          </w:tcPr>
          <w:p>
            <w:pPr>
              <w:jc w:val="center"/>
              <w:spacing w:after="0"/>
              <w:rPr>
                <w:sz w:val="20"/>
                <w:szCs w:val="20"/>
                <w:color w:val="auto"/>
              </w:rPr>
            </w:pPr>
            <w:r>
              <w:rPr>
                <w:rFonts w:ascii="Arial" w:cs="Arial" w:eastAsia="Arial" w:hAnsi="Arial"/>
                <w:sz w:val="18"/>
                <w:szCs w:val="18"/>
                <w:color w:val="auto"/>
                <w:w w:val="88"/>
              </w:rPr>
              <w:t>311 Enterprise Drive, Plainsboro, New Jersey</w:t>
            </w:r>
          </w:p>
        </w:tc>
        <w:tc>
          <w:tcPr>
            <w:tcW w:w="456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08536</w:t>
            </w:r>
          </w:p>
        </w:tc>
      </w:tr>
      <w:tr>
        <w:trPr>
          <w:trHeight w:val="216"/>
        </w:trPr>
        <w:tc>
          <w:tcPr>
            <w:tcW w:w="3280" w:type="dxa"/>
            <w:vAlign w:val="bottom"/>
          </w:tcPr>
          <w:p>
            <w:pPr>
              <w:jc w:val="right"/>
              <w:ind w:right="132"/>
              <w:spacing w:after="0"/>
              <w:rPr>
                <w:sz w:val="20"/>
                <w:szCs w:val="20"/>
                <w:color w:val="auto"/>
              </w:rPr>
            </w:pPr>
            <w:r>
              <w:rPr>
                <w:rFonts w:ascii="Arial" w:cs="Arial" w:eastAsia="Arial" w:hAnsi="Arial"/>
                <w:sz w:val="18"/>
                <w:szCs w:val="18"/>
                <w:color w:val="auto"/>
                <w:w w:val="92"/>
              </w:rPr>
              <w:t>_________________________________</w:t>
            </w:r>
          </w:p>
        </w:tc>
        <w:tc>
          <w:tcPr>
            <w:tcW w:w="456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40" w:type="dxa"/>
            <w:vAlign w:val="bottom"/>
            <w:gridSpan w:val="2"/>
          </w:tcPr>
          <w:p>
            <w:pPr>
              <w:ind w:left="8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609-275-0500</w:t>
            </w:r>
          </w:p>
        </w:tc>
      </w:tr>
      <w:tr>
        <w:trPr>
          <w:trHeight w:val="426"/>
        </w:trPr>
        <w:tc>
          <w:tcPr>
            <w:tcW w:w="3280" w:type="dxa"/>
            <w:vAlign w:val="bottom"/>
          </w:tcPr>
          <w:p>
            <w:pPr>
              <w:spacing w:after="0"/>
              <w:rPr>
                <w:sz w:val="24"/>
                <w:szCs w:val="24"/>
                <w:color w:val="auto"/>
              </w:rPr>
            </w:pPr>
          </w:p>
        </w:tc>
        <w:tc>
          <w:tcPr>
            <w:tcW w:w="4560" w:type="dxa"/>
            <w:vAlign w:val="bottom"/>
          </w:tcPr>
          <w:p>
            <w:pPr>
              <w:ind w:left="160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80" w:type="dxa"/>
            <w:vAlign w:val="bottom"/>
          </w:tcPr>
          <w:p>
            <w:pPr>
              <w:spacing w:after="0"/>
              <w:rPr>
                <w:sz w:val="19"/>
                <w:szCs w:val="19"/>
                <w:color w:val="auto"/>
              </w:rPr>
            </w:pP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May 3, 2010, Integra LifeSciences Holdings Corporation (the "Company") issued a press release announcing financial results for the quarter ended March 31, 2010 (the "Press Release"). A copy of the Press Release is attached as Exhibit 99.1 to this Current Report on Form 8-K and is incorporated by reference into this Item. In the financial statements portion of the Press Release, the Company has included a reconciliation of GAAP revenues to adjusted revenues for the quarter ended March 31, 2010, and GAAP net income to adjusted earnings before interest, taxes, depreciation and amortization ("EBITDA") and adjusted EBITDA excluding stock-based compensation, GAAP net income to adjusted net income, and GAAP earnings per diluted share to adjusted earnings per diluted share used by management for the quarters ended March 31, 2010 and 2009, as well as GAAP net income to adjusted net income and GAAP earnings per diluted share to adjusted earnings per diluted share used by management for guidance for the year ended D ecember 31, 2010.</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Discussion of Adjusted Financial Measures</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In addition to our GAAP results, we provide adjusted revenues, adjusted EBITDA, adjusted EBITDA excluding stock-based compensation, adjusted net income and adjusted earnings per diluted s hare (which excludes intangible asset amortization expense). Adjusted revenues consist of growth in total revenues excluding the effects of currency exchange rates on the current period’s revenues. The various measures of adjusted EBITDA consist of GAAP net income, excluding: (i) depreciation and amortization, (ii) other income (expense), net, (iii) interest income and expense, (iv) income taxes, (v) those operating expenses also excluded from adjusted net income and, as appropriate (vi) stock-based compensation expense. The measure of adjusted net income consists of GAAP net income, excluding: (i) acquisition-related charges; (ii) charges associated with discontinued or withdrawn product lines; (iii) systems implementation charges; (iv) facility consolidation, manufacturing and distribution transfer charges; (v) incremental professional and bank fees related to the possibility of obtaining a waiver under our revolving credit facility; (vi) charges related to restructuring our European subsidiaries ; (vii) gain related to the early extinguishment of convertible notes;</w:t>
      </w:r>
    </w:p>
    <w:p>
      <w:pPr>
        <w:spacing w:after="0" w:line="4" w:lineRule="exact"/>
        <w:rPr>
          <w:sz w:val="20"/>
          <w:szCs w:val="20"/>
          <w:color w:val="auto"/>
        </w:rPr>
      </w:pPr>
    </w:p>
    <w:p>
      <w:pPr>
        <w:ind w:right="40" w:firstLine="8"/>
        <w:spacing w:after="0" w:line="287" w:lineRule="auto"/>
        <w:tabs>
          <w:tab w:leader="none" w:pos="395"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employee termination and related costs; (ix) non-cash interest expense related to the application of authoritative guidance for convertible debt instruments that may be settled in cash upon conversion ("FSP APB 14-1"); (x) intangible asset amortization expense; (xi) quarterly adjustments to income tax expense/benefit related to the cumulative impact of changes in estimated tax rates and certain infrequently occurring items; and (xii) the income tax expense/benefit related to these adjustments. Adjusted net income attributable to diluted shares is calculated by multiplying adjusted net income by the diluted share percentage. The adjusted earnings per diluted share measure is calculated by dividing adjusted net income attributable to diluted shares by diluted weighted average shares outstanding. Reconciliations of GAAP revenues to adjusted revenues for the quarter ended March 31, 2010 and GAAP net income to adjusted EBITDA , adjusted EBITDA excluding stock-based compensation and adjusted net income, and GAAP earnings per diluted share to adjusted earnings per diluted share for the quarters ended March 31, 2010 and 2009 appear in the financial tables in the Press Release.</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Management uses non-GAAP financial measures in the form of adjusted revenues, adjusted EBITDA, adjusted EBITDA excluding stock-based compensation, adjusted net income and adjusted earnings per diluted share when evaluating operating performance because we believe that the inclusion or exclusion of the items described below, for which the amounts and/or timing may vary significantly depending upon the Company’s acquisition, integration, and restructuring activities, for which the amounts are non-cash in nature, or for which the amounts are not expected to recur at the same magnitude as we implement certain tax planning strategies, provides a supplemental measure of our operating results that facilitates comparability of our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Adjusted revenues, adjusted EBITDA, adjusted EBITDA excluding stock-based compensation, adjusted net income and adjusted earnings per diluted share are significant measures used by management for purposes of:</w:t>
      </w:r>
    </w:p>
    <w:p>
      <w:pPr>
        <w:spacing w:after="0" w:line="186" w:lineRule="exact"/>
        <w:rPr>
          <w:sz w:val="20"/>
          <w:szCs w:val="20"/>
          <w:color w:val="auto"/>
        </w:rPr>
      </w:pPr>
    </w:p>
    <w:p>
      <w:pPr>
        <w:ind w:right="6820" w:firstLine="8"/>
        <w:spacing w:after="0" w:line="254"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supplementing the financial results and forecasts reported to the Company’s b oard of directors;</w:t>
      </w: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evaluating, managing and benchmarking the operating performance of the Company;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internal operating budgets;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determining compensation under bonus or other incentive programs;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comparability from period to period;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comparing performance with internal forecasts and targeted business models;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evaluating and valuing potential acquisition candidates.</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measure of adjusted revenues that we report reflects the growth in total revenues for the quarter ended March 31, 2010 adjusted for the effects of currency exchange rates on current period revenues. We provide this measure because changes in foreign currency exchange rates can distort our revenue growth favorably or unfavorably, depending upon the strength of the U.S. dollar in relation to the various foreign currencies in which we generate revenues. We generate significant revenues outside the United States in multiple foreign currencies incl uding euros, British pounds, Swiss francs and Australian and Canadian dollars. We believe this measure provides useful information to determine the success of our international selling organizations in increasing sales of products in their local currencies without regard to fluctuations in currency exchanges rates, for which we have no control over.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measure of adjusted net income reflects GAAP net income adjusted for one or more of the following items, as applicable:</w:t>
      </w:r>
    </w:p>
    <w:p>
      <w:pPr>
        <w:spacing w:after="0" w:line="225" w:lineRule="exact"/>
        <w:rPr>
          <w:sz w:val="20"/>
          <w:szCs w:val="20"/>
          <w:color w:val="auto"/>
        </w:rPr>
      </w:pPr>
    </w:p>
    <w:p>
      <w:pPr>
        <w:ind w:firstLine="8"/>
        <w:spacing w:after="0" w:line="312" w:lineRule="auto"/>
        <w:tabs>
          <w:tab w:leader="none" w:pos="105" w:val="left"/>
        </w:tabs>
        <w:numPr>
          <w:ilvl w:val="0"/>
          <w:numId w:val="4"/>
        </w:numPr>
        <w:rPr>
          <w:rFonts w:ascii="Arial" w:cs="Arial" w:eastAsia="Arial" w:hAnsi="Arial"/>
          <w:sz w:val="15"/>
          <w:szCs w:val="15"/>
          <w:color w:val="auto"/>
        </w:rPr>
      </w:pPr>
      <w:r>
        <w:rPr>
          <w:rFonts w:ascii="Arial" w:cs="Arial" w:eastAsia="Arial" w:hAnsi="Arial"/>
          <w:sz w:val="15"/>
          <w:szCs w:val="15"/>
          <w:color w:val="auto"/>
        </w:rPr>
        <w:t>Acquisition-related charges. Acquisition-related charges include in process research and development charges, inventory fair value purchase accounting adjustments, impairments to existing intangible assets in connection with a subsequent acquisition, and legal, accounting and other outside consultants expenses directly related to acquisitions. Inventory fair value purchase accounting adjustments consist of the increase to cost of goods sold that occur as a result of expensing the "step up" in the fair value of invento ry that we purchased in connection with acquisitions as that inventory is sold during the financial period. Although recurring given the ongoing character of our acquisition program, these acquisition-related charges are not factored into the evaluation of our performance by management after completion of acquisitions because they are of a temporary nature, they are not related to our core operating performance and the frequency and amount of such charges vary significantly based on the timing and magnitude of our acquisition transactions as well as the level of inventory on</w:t>
      </w:r>
    </w:p>
    <w:p>
      <w:pPr>
        <w:sectPr>
          <w:pgSz w:w="11900" w:h="16838" w:orient="portrait"/>
          <w:cols w:equalWidth="0" w:num="1">
            <w:col w:w="11420"/>
          </w:cols>
          <w:pgMar w:left="240" w:top="125" w:right="239" w:bottom="0" w:gutter="0" w:footer="0" w:header="0"/>
        </w:sectPr>
      </w:pPr>
    </w:p>
    <w:bookmarkStart w:id="2" w:name="page3"/>
    <w:bookmarkEnd w:id="2"/>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hand at the time of acquisition.</w:t>
      </w:r>
    </w:p>
    <w:p>
      <w:pPr>
        <w:spacing w:after="0" w:line="225" w:lineRule="exact"/>
        <w:rPr>
          <w:sz w:val="20"/>
          <w:szCs w:val="20"/>
          <w:color w:val="auto"/>
        </w:rPr>
      </w:pPr>
    </w:p>
    <w:p>
      <w:pPr>
        <w:ind w:right="140" w:firstLine="8"/>
        <w:spacing w:after="0" w:line="306"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Charges associated with discontinued or withdrawn product lines. This represents charges taken and reductions in revenue recorded in connection with product lines that the Company discontinues or withdraws. Management excludes this item when evaluating the Company’s operating performance because of the infrequent nature of this activity or because many such product discontinuations are related to recent acquisitions.</w:t>
      </w:r>
    </w:p>
    <w:p>
      <w:pPr>
        <w:spacing w:after="0" w:line="160" w:lineRule="exact"/>
        <w:rPr>
          <w:rFonts w:ascii="Arial" w:cs="Arial" w:eastAsia="Arial" w:hAnsi="Arial"/>
          <w:sz w:val="16"/>
          <w:szCs w:val="16"/>
          <w:color w:val="auto"/>
        </w:rPr>
      </w:pPr>
    </w:p>
    <w:p>
      <w:pPr>
        <w:ind w:right="40" w:firstLine="8"/>
        <w:spacing w:after="0" w:line="289"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Systems implementation charges. Systems implementation charges consist of the non-capitalizable portion of internal labor and outside consulting costs related to the implementation of a global enterprise resource planning system. We have inherited many diverse business processes and different information systems through our numerous acquisitions. Accordingly, we are undertaking this initiative in order to standardize business processes globally and to better integrate all of our existing and acquired operations using one information system. Although recurring in nature given the expected timeframe to complete the implementation for our existing operations and our expectation to continue to acquire new businesses and operations, management excludes these charges when evaluating the operating performance of the Company because the frequency and amount of such charges vary significantly based on the timing and magnitude of the Company’s implementa tion activities and are, in some cases, dependent upon opportunities identified in acquisitions, which also vary in frequency and magnitude.</w:t>
      </w:r>
    </w:p>
    <w:p>
      <w:pPr>
        <w:spacing w:after="0" w:line="172" w:lineRule="exact"/>
        <w:rPr>
          <w:rFonts w:ascii="Arial" w:cs="Arial" w:eastAsia="Arial" w:hAnsi="Arial"/>
          <w:sz w:val="16"/>
          <w:szCs w:val="16"/>
          <w:color w:val="auto"/>
        </w:rPr>
      </w:pPr>
    </w:p>
    <w:p>
      <w:pPr>
        <w:ind w:firstLine="8"/>
        <w:spacing w:after="0" w:line="289"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Facility consolidation, manufacturing and distribution transfer charges. These charges, which include employee termination and other costs associated with exit or disposal activities, costs related to transferring manufacturing and/or distribution activities to different locations, and costs associated with the worldwide implementation of a single enterprise resource planning system, result from rationalizing and enhancing our existing manufacturing, distribution and administrative infrastructure. Many of these cost-saving and efficiency-driven activities are identified as opportunities in connection with acquisitions that provide the Company with additional capacity or economies of scale. Although recurring in nature given management’s ongoing review of the efficiency of our manufacturing, distribution and administrative facilities and operations ,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172" w:lineRule="exact"/>
        <w:rPr>
          <w:rFonts w:ascii="Arial" w:cs="Arial" w:eastAsia="Arial" w:hAnsi="Arial"/>
          <w:sz w:val="16"/>
          <w:szCs w:val="16"/>
          <w:color w:val="auto"/>
        </w:rPr>
      </w:pPr>
    </w:p>
    <w:p>
      <w:pPr>
        <w:ind w:right="60" w:firstLine="8"/>
        <w:spacing w:after="0" w:line="256"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Incremental professional and bank fees related to the possibility of obtaining a waiver under our revolving credit facility. These charges include fees for legal advice and consultations with our external counsel and fees paid to various banks in connection with the possibility of obtaining a waiver related to a certain non-financial debt covenant. Management excludes these items when evaluating the Company’s operating performance because such incremental amounts are not expected to be incurred again.</w:t>
      </w:r>
    </w:p>
    <w:p>
      <w:pPr>
        <w:spacing w:after="0" w:line="197" w:lineRule="exact"/>
        <w:rPr>
          <w:rFonts w:ascii="Arial" w:cs="Arial" w:eastAsia="Arial" w:hAnsi="Arial"/>
          <w:sz w:val="18"/>
          <w:szCs w:val="18"/>
          <w:color w:val="auto"/>
        </w:rPr>
      </w:pPr>
    </w:p>
    <w:p>
      <w:pPr>
        <w:ind w:firstLine="8"/>
        <w:spacing w:after="0" w:line="298"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Charges related to restructuring our European subsidiaries. These amounts represent charges recorded in oper ating or non-operating expenses such as levies and fees paid to government authorities, legal, tax, accounting and consulting fees, and foreign currency gains and losses related to intercompany loan agreements incurred directly as a result of reorganizing our European subsidiaries and transfers of business assets between these legal entities. Management excludes this item when evaluating the Company’s operating performance because of the infrequent nature of this activity.</w:t>
      </w:r>
    </w:p>
    <w:p>
      <w:pPr>
        <w:spacing w:after="0" w:line="166" w:lineRule="exact"/>
        <w:rPr>
          <w:rFonts w:ascii="Arial" w:cs="Arial" w:eastAsia="Arial" w:hAnsi="Arial"/>
          <w:sz w:val="16"/>
          <w:szCs w:val="16"/>
          <w:color w:val="auto"/>
        </w:rPr>
      </w:pPr>
    </w:p>
    <w:p>
      <w:pPr>
        <w:ind w:right="140"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 related to the early extinguishment of convertible notes. This amount represents the loss/gain recorded by the Company from repurchasing its convertible debt securities for more/less than their face value. Management excludes this item when evaluating the Company’s operating performance because of the infrequent nature of this activity.</w:t>
      </w:r>
    </w:p>
    <w:p>
      <w:pPr>
        <w:spacing w:after="0" w:line="194" w:lineRule="exact"/>
        <w:rPr>
          <w:rFonts w:ascii="Arial" w:cs="Arial" w:eastAsia="Arial" w:hAnsi="Arial"/>
          <w:sz w:val="18"/>
          <w:szCs w:val="18"/>
          <w:color w:val="auto"/>
        </w:rPr>
      </w:pPr>
    </w:p>
    <w:p>
      <w:pPr>
        <w:ind w:right="40" w:firstLine="8"/>
        <w:spacing w:after="0" w:line="256"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termination and related costs. Employee termination and related costs consist of charges related to certain significant reductions in force that are not initiated in connection with facility consolidations or manufacturing transfers and senior management level terminations. Management excludes these items when evaluating the Company’s operating performance because these amounts do not affect our core operations and because of the infrequent and/or large scale nature of these activities.</w:t>
      </w:r>
    </w:p>
    <w:p>
      <w:pPr>
        <w:spacing w:after="0" w:line="197" w:lineRule="exact"/>
        <w:rPr>
          <w:rFonts w:ascii="Arial" w:cs="Arial" w:eastAsia="Arial" w:hAnsi="Arial"/>
          <w:sz w:val="18"/>
          <w:szCs w:val="18"/>
          <w:color w:val="auto"/>
        </w:rPr>
      </w:pPr>
    </w:p>
    <w:p>
      <w:pPr>
        <w:ind w:firstLine="8"/>
        <w:spacing w:after="0" w:line="294"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Non-cash interest expense related to the application of FASB Staff Position APB 14-1. FSP APB 14-1, which the Company adopted on January 1, 2009, requires separate accounting for the liability and equity components of the Company’s convertible debt instruments, which may be settled in cash upon conversion, in a manner that reflects an applicable nonconvertible debt borrowing rate at the time that we issued such convertible debt instruments. Management excludes this item when evaluating the Company’s operating performance because of the non-cash nature of this activity and because it resulted from a change in accounting principles t hat were not applicable at the time such convertible notes were issued.</w:t>
      </w:r>
    </w:p>
    <w:p>
      <w:pPr>
        <w:spacing w:after="0" w:line="169" w:lineRule="exact"/>
        <w:rPr>
          <w:rFonts w:ascii="Arial" w:cs="Arial" w:eastAsia="Arial" w:hAnsi="Arial"/>
          <w:sz w:val="16"/>
          <w:szCs w:val="16"/>
          <w:color w:val="auto"/>
        </w:rPr>
      </w:pPr>
    </w:p>
    <w:p>
      <w:pPr>
        <w:ind w:left="120" w:hanging="112"/>
        <w:spacing w:after="0"/>
        <w:tabs>
          <w:tab w:leader="none" w:pos="1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Intangible asset amortization expense. Management excludes this item when evaluating the Company’s operating performance because it is a non-cash expense.</w:t>
      </w:r>
    </w:p>
    <w:p>
      <w:pPr>
        <w:spacing w:after="0" w:line="259" w:lineRule="exact"/>
        <w:rPr>
          <w:rFonts w:ascii="Arial" w:cs="Arial" w:eastAsia="Arial" w:hAnsi="Arial"/>
          <w:sz w:val="15"/>
          <w:szCs w:val="15"/>
          <w:color w:val="auto"/>
        </w:rPr>
      </w:pPr>
    </w:p>
    <w:p>
      <w:pPr>
        <w:ind w:right="60" w:firstLine="8"/>
        <w:spacing w:after="0" w:line="314" w:lineRule="auto"/>
        <w:tabs>
          <w:tab w:leader="none" w:pos="105" w:val="left"/>
        </w:tabs>
        <w:numPr>
          <w:ilvl w:val="0"/>
          <w:numId w:val="5"/>
        </w:numPr>
        <w:rPr>
          <w:rFonts w:ascii="Arial" w:cs="Arial" w:eastAsia="Arial" w:hAnsi="Arial"/>
          <w:sz w:val="15"/>
          <w:szCs w:val="15"/>
          <w:color w:val="auto"/>
        </w:rPr>
      </w:pPr>
      <w:r>
        <w:rPr>
          <w:rFonts w:ascii="Arial" w:cs="Arial" w:eastAsia="Arial" w:hAnsi="Arial"/>
          <w:sz w:val="15"/>
          <w:szCs w:val="15"/>
          <w:color w:val="auto"/>
        </w:rPr>
        <w:t>Quarterly adjustments to income tax expense/benefit related to the cumulative impact of changes in estimated tax rates and certain infrequently occurring items. Income tax expense in the current quarter is adjusted by the cumulative impacts in that quarter of changes in income tax rates (statutory and estimated effective tax rates) and certain other infrequently occurring items (such as penalties, interest, and settlements with government tax authorities) that relate to prior periods. Management excludes this item when evaluating the Company’s current quarter operating performance because the cumulative impact in the current quarter of these items applies to prior periods and thus distorts the Company’s adjusted income tax rate in t he current quarter. The year-to-date adjusted net income and adjusted diluted earnings per share measures are not adjusted by this item, as the cumulative impacts are properly reflected in the year-to-date adjusted results.</w:t>
      </w:r>
    </w:p>
    <w:p>
      <w:pPr>
        <w:spacing w:after="0" w:line="158" w:lineRule="exact"/>
        <w:rPr>
          <w:rFonts w:ascii="Arial" w:cs="Arial" w:eastAsia="Arial" w:hAnsi="Arial"/>
          <w:sz w:val="15"/>
          <w:szCs w:val="15"/>
          <w:color w:val="auto"/>
        </w:rPr>
      </w:pPr>
    </w:p>
    <w:p>
      <w:pPr>
        <w:ind w:right="300" w:firstLine="8"/>
        <w:spacing w:after="0" w:line="253"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expense (benefit) related to the above adjustments. Income tax expense is adjusted by the amount of additional tax expense or benefit that the Company estimates that it would record if it used non-GAAP results instead of GAAP results in the calculation of its tax provision, based on the statutory rate applicable to jurisdictions in which the above non-GAAP adjustments relate.</w:t>
      </w:r>
    </w:p>
    <w:p>
      <w:pPr>
        <w:ind w:right="20"/>
        <w:spacing w:after="0" w:line="287" w:lineRule="auto"/>
        <w:rPr>
          <w:rFonts w:ascii="Arial" w:cs="Arial" w:eastAsia="Arial" w:hAnsi="Arial"/>
          <w:sz w:val="18"/>
          <w:szCs w:val="18"/>
          <w:color w:val="auto"/>
        </w:rPr>
      </w:pPr>
      <w:r>
        <w:rPr>
          <w:rFonts w:ascii="Arial" w:cs="Arial" w:eastAsia="Arial" w:hAnsi="Arial"/>
          <w:sz w:val="16"/>
          <w:szCs w:val="16"/>
          <w:color w:val="auto"/>
        </w:rPr>
        <w:t>Adjusted revenues, adjusted EBITDA, adjusted EBITDA excluding stock-based compensation, adjusted net income and adjusted earnings per diluted share are not calculated in accordance with GAAP, and should be considered supplemental to, and not as a substitute for, or superior to, financial measures calculated in accordance with GAAP. Non-GAAP financial measures have limitations in that th 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178" w:lineRule="exact"/>
        <w:rPr>
          <w:rFonts w:ascii="Arial" w:cs="Arial" w:eastAsia="Arial" w:hAnsi="Arial"/>
          <w:sz w:val="18"/>
          <w:szCs w:val="18"/>
          <w:color w:val="auto"/>
        </w:rPr>
      </w:pPr>
    </w:p>
    <w:p>
      <w:pPr>
        <w:ind w:right="20"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194" w:lineRule="exact"/>
        <w:rPr>
          <w:rFonts w:ascii="Arial" w:cs="Arial" w:eastAsia="Arial" w:hAnsi="Arial"/>
          <w:sz w:val="18"/>
          <w:szCs w:val="18"/>
          <w:color w:val="auto"/>
        </w:rPr>
      </w:pPr>
    </w:p>
    <w:p>
      <w:pPr>
        <w:ind w:right="100" w:firstLine="8"/>
        <w:spacing w:after="0" w:line="370" w:lineRule="auto"/>
        <w:tabs>
          <w:tab w:leader="none" w:pos="105"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Company has initiated a long term effort to implement a global enterprise resource planning system, and we expect to continue to incur significant systems implementation charges until that effort is completed. These costs can directly impact the amount of the Company’s available funds and reduce GAAP net</w:t>
      </w:r>
    </w:p>
    <w:p>
      <w:pPr>
        <w:sectPr>
          <w:pgSz w:w="11900" w:h="16854" w:orient="portrait"/>
          <w:cols w:equalWidth="0" w:num="1">
            <w:col w:w="11420"/>
          </w:cols>
          <w:pgMar w:left="240" w:top="13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income.</w:t>
      </w:r>
    </w:p>
    <w:p>
      <w:pPr>
        <w:spacing w:after="0" w:line="225" w:lineRule="exact"/>
        <w:rPr>
          <w:sz w:val="20"/>
          <w:szCs w:val="20"/>
          <w:color w:val="auto"/>
        </w:rPr>
      </w:pPr>
    </w:p>
    <w:p>
      <w:pPr>
        <w:jc w:val="both"/>
        <w:ind w:right="40" w:firstLine="8"/>
        <w:spacing w:after="0" w:line="259"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financial tables portion of the Press Release, the Company has included a reconciliation of GAAP reported revenues to adjusted revenues for the quarter ended March 31, 2010 and GAAP net income to adjusted EBITDA and adjusted EBITDA exclud ing stock-based compensation, GAAP net income to adjusted net income, and GAAP earnings per diluted share to adjusted earnings per diluted share used by management for the quarters ended March 31, 2010 and 2009. Also included are reconciliations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99.1, and incorporated into this Item 7.01 by reference, is the Press Release issued on May 3, 2010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Press release with attachments, dated May 3, 2010, issued by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Integra LifeSciences Holdings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3, 2010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B. Henneman, III</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Executive Vice President, Finance and Administration and</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25"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w w:val="86"/>
              </w:rPr>
              <w:t>Press Release with attachments, dated May 3, 2010, issued by Integra</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LifeSciences Holdings Corporation.</w:t>
            </w:r>
          </w:p>
        </w:tc>
      </w:tr>
    </w:tbl>
    <w:p>
      <w:pPr>
        <w:sectPr>
          <w:pgSz w:w="11900" w:h="16838" w:orient="portrait"/>
          <w:cols w:equalWidth="0" w:num="1">
            <w:col w:w="10219"/>
          </w:cols>
          <w:pgMar w:left="240" w:top="125" w:right="1440" w:bottom="1440" w:gutter="0" w:footer="0" w:header="0"/>
        </w:sectPr>
      </w:pPr>
    </w:p>
    <w:bookmarkStart w:id="6" w:name="page7"/>
    <w:bookmarkEnd w:id="6"/>
    <w:p>
      <w:pPr>
        <w:spacing w:after="0" w:line="50"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rPr>
        <w:t>News Release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54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51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Integra LifeSciences Holdings Corporation</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589"/>
        </w:trPr>
        <w:tc>
          <w:tcPr>
            <w:tcW w:w="3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John B. Henneman, III</w:t>
            </w:r>
          </w:p>
        </w:tc>
        <w:tc>
          <w:tcPr>
            <w:tcW w:w="5960" w:type="dxa"/>
            <w:vAlign w:val="bottom"/>
            <w:gridSpan w:val="2"/>
          </w:tcPr>
          <w:p>
            <w:pPr>
              <w:ind w:left="54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3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Executive Vice President,</w:t>
            </w:r>
          </w:p>
        </w:tc>
        <w:tc>
          <w:tcPr>
            <w:tcW w:w="5960" w:type="dxa"/>
            <w:vAlign w:val="bottom"/>
            <w:gridSpan w:val="2"/>
          </w:tcPr>
          <w:p>
            <w:pPr>
              <w:ind w:left="540"/>
              <w:spacing w:after="0"/>
              <w:rPr>
                <w:sz w:val="20"/>
                <w:szCs w:val="20"/>
                <w:color w:val="auto"/>
              </w:rPr>
            </w:pPr>
            <w:r>
              <w:rPr>
                <w:rFonts w:ascii="Arial" w:cs="Arial" w:eastAsia="Arial" w:hAnsi="Arial"/>
                <w:sz w:val="18"/>
                <w:szCs w:val="18"/>
                <w:b w:val="1"/>
                <w:bCs w:val="1"/>
                <w:color w:val="auto"/>
              </w:rPr>
              <w:t>Angela Steinway</w:t>
            </w:r>
          </w:p>
        </w:tc>
      </w:tr>
      <w:tr>
        <w:trPr>
          <w:trHeight w:val="216"/>
        </w:trPr>
        <w:tc>
          <w:tcPr>
            <w:tcW w:w="3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Finance and Administration,</w:t>
            </w:r>
          </w:p>
        </w:tc>
        <w:tc>
          <w:tcPr>
            <w:tcW w:w="54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and Chief Financial Officer</w:t>
            </w:r>
          </w:p>
        </w:tc>
        <w:tc>
          <w:tcPr>
            <w:tcW w:w="54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16"/>
        </w:trPr>
        <w:tc>
          <w:tcPr>
            <w:tcW w:w="5180" w:type="dxa"/>
            <w:vAlign w:val="bottom"/>
            <w:gridSpan w:val="2"/>
          </w:tcPr>
          <w:p>
            <w:pPr>
              <w:ind w:left="300"/>
              <w:spacing w:after="0"/>
              <w:rPr>
                <w:sz w:val="20"/>
                <w:szCs w:val="20"/>
                <w:color w:val="auto"/>
              </w:rPr>
            </w:pPr>
            <w:r>
              <w:rPr>
                <w:rFonts w:ascii="Arial" w:cs="Arial" w:eastAsia="Arial" w:hAnsi="Arial"/>
                <w:sz w:val="18"/>
                <w:szCs w:val="18"/>
                <w:b w:val="1"/>
                <w:bCs w:val="1"/>
                <w:color w:val="auto"/>
              </w:rPr>
              <w:t>(609) 275-0500</w:t>
            </w:r>
          </w:p>
        </w:tc>
        <w:tc>
          <w:tcPr>
            <w:tcW w:w="5960" w:type="dxa"/>
            <w:vAlign w:val="bottom"/>
            <w:gridSpan w:val="2"/>
          </w:tcPr>
          <w:p>
            <w:pPr>
              <w:ind w:left="540"/>
              <w:spacing w:after="0"/>
              <w:rPr>
                <w:sz w:val="20"/>
                <w:szCs w:val="20"/>
                <w:color w:val="auto"/>
              </w:rPr>
            </w:pPr>
            <w:r>
              <w:rPr>
                <w:rFonts w:ascii="Arial" w:cs="Arial" w:eastAsia="Arial" w:hAnsi="Arial"/>
                <w:sz w:val="18"/>
                <w:szCs w:val="18"/>
                <w:b w:val="1"/>
                <w:bCs w:val="1"/>
                <w:color w:val="auto"/>
              </w:rPr>
              <w:t>(609) 936-2268</w:t>
            </w:r>
          </w:p>
        </w:tc>
      </w:tr>
      <w:tr>
        <w:trPr>
          <w:trHeight w:val="234"/>
        </w:trPr>
        <w:tc>
          <w:tcPr>
            <w:tcW w:w="3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jhenneman@Integra-LS.com</w:t>
            </w:r>
          </w:p>
        </w:tc>
        <w:tc>
          <w:tcPr>
            <w:tcW w:w="5960" w:type="dxa"/>
            <w:vAlign w:val="bottom"/>
            <w:gridSpan w:val="2"/>
          </w:tcPr>
          <w:p>
            <w:pPr>
              <w:ind w:left="540"/>
              <w:spacing w:after="0"/>
              <w:rPr>
                <w:sz w:val="20"/>
                <w:szCs w:val="20"/>
                <w:color w:val="auto"/>
              </w:rPr>
            </w:pPr>
            <w:r>
              <w:rPr>
                <w:rFonts w:ascii="Arial" w:cs="Arial" w:eastAsia="Arial" w:hAnsi="Arial"/>
                <w:sz w:val="18"/>
                <w:szCs w:val="18"/>
                <w:b w:val="1"/>
                <w:bCs w:val="1"/>
                <w:color w:val="auto"/>
              </w:rPr>
              <w:t>Angela.Steinway@Integra-LS.com</w:t>
            </w:r>
          </w:p>
        </w:tc>
      </w:tr>
      <w:tr>
        <w:trPr>
          <w:trHeight w:val="20"/>
        </w:trPr>
        <w:tc>
          <w:tcPr>
            <w:tcW w:w="30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Integra LifeSciences Reports First Quarter 2010 Financial Results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Revenues for the first quarter increased to $173 million</w:t>
      </w:r>
    </w:p>
    <w:p>
      <w:pPr>
        <w:spacing w:after="0" w:line="2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Plainsboro, New Jersey, May 3, 2010 – Integra LifeSciences Holdings Corporation (NASDAQ: IART) today reported its financial results for the first quarter ending March 31, 2010. Total revenues for the first quarter were $172.7 million, reflecting an increase of $11.7 million, or 7%, over the first quarter of 2009. Excluding the impact of currency exchange rates, revenues increased 6% over the first quarter of 2009. Revenues by product category are presented in a table at the end of this press release.</w:t>
      </w:r>
    </w:p>
    <w:p>
      <w:pPr>
        <w:spacing w:after="0" w:line="18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“Despite ongoing challenges in our industry, the continued improvement across our product categories builds a foundation for sales growth and earnings leverage in 2010,” said Stuart Essig, Integra’s President and Chief Executive Officer.</w:t>
      </w:r>
    </w:p>
    <w:p>
      <w:pPr>
        <w:spacing w:after="0" w:line="1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Company reported GAAP net income of $15.2 million, or $0.50 per diluted share, for the first quarter of 2010, compared to GAAP net income of $9.6 million, or $0.32 per diluted share, for the first quarter of 2009.</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 for the first quarter of 2010, computed with the adjustments to GAAP reporting set forth in the attached reconciliation, was</w:t>
      </w:r>
    </w:p>
    <w:p>
      <w:pPr>
        <w:spacing w:after="0" w:line="50"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b w:val="1"/>
          <w:bCs w:val="1"/>
          <w:color w:val="auto"/>
        </w:rPr>
        <w:t>$19.0 million, or $0.63 per diluted share, compared to $17.0 million, or $0.58 per diluted share, in the first quarter of 2009. Amounts in both periods exclude intangible asset amortization, which was $4.5 million, in the first quarter of 2010 and $4.9 million in the first quarter of 2009.</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Integra generated $28.1 million in cash flows from operations and used $5.9 million of cash on capital expenditures in the first quarter of 2010.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quarter, Integra paid down $15.0 million of its credit facility with cash.</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“In addition to our revenue growth, I was pleased by the profitability and cash generation of the Company,” said Integra’s Chief Financial Officer, Jack Henneman.</w:t>
      </w:r>
    </w:p>
    <w:p>
      <w:pPr>
        <w:spacing w:after="0" w:line="1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Adjusted EBITDA for the first quarter of 2010, computed with the adjustments to GAAP reporting set forth in the attached reconciliation, was $33.8 million, the same as first quarter last year.</w:t>
      </w:r>
    </w:p>
    <w:p>
      <w:pPr>
        <w:spacing w:after="0" w:line="13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Adjusted EBITDA excluding stock-based compensation for the first quarter of 2010, computed with the adjustments to GAAP reporting set forth in the attached reconciliation, was $37.6 million, also the same as first quarter last year. Outlook for 2010</w:t>
      </w: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b w:val="1"/>
          <w:bCs w:val="1"/>
          <w:color w:val="auto"/>
        </w:rPr>
        <w:t>The Company is reiterating its revenue guidance and GAAP and adjusted earnings per share guidance for the full year 2010. The Company continues to anticipate revenues between $715 million and $735 million. The Company is guiding to GAAP earnings per diluted share of between $1.92 and $2.07 and to adjusted earnings per diluted share of between $2.60 and $2.75. This guidance for adjusted earnings per diluted share excludes intangible asset amortization. In accordance with our usual practice, expectations for financial performance do not include the impact of acquisitions or other strategic corporate transactions that have not yet closed.</w:t>
      </w:r>
    </w:p>
    <w:p>
      <w:pPr>
        <w:spacing w:after="0" w:line="12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 the future, the Company may record, or expects to record, certain additional revenues, gains, expenses or charges (such as acquisition-related charges, facility consolidation, manufacturing and distribution transfer, and systems integration charges, non-cash interest expense related to the application of authoritative guidance for convertible debt instruments that may be settled in cash upon conversion (“FSP APB 14-1”), and intangible asset amortization) that it will exclude in the calculation of adjusted EBITDA and adjusted earnings per share for historical periods and in providing adjusted earnings per share guidance.</w:t>
      </w:r>
    </w:p>
    <w:p>
      <w:pPr>
        <w:spacing w:after="0" w:line="157" w:lineRule="exact"/>
        <w:rPr>
          <w:sz w:val="20"/>
          <w:szCs w:val="20"/>
          <w:color w:val="auto"/>
        </w:rPr>
      </w:pPr>
    </w:p>
    <w:p>
      <w:pPr>
        <w:ind w:right="800"/>
        <w:spacing w:after="0" w:line="347" w:lineRule="auto"/>
        <w:rPr>
          <w:sz w:val="20"/>
          <w:szCs w:val="20"/>
          <w:color w:val="auto"/>
        </w:rPr>
      </w:pPr>
      <w:r>
        <w:rPr>
          <w:rFonts w:ascii="Arial" w:cs="Arial" w:eastAsia="Arial" w:hAnsi="Arial"/>
          <w:sz w:val="16"/>
          <w:szCs w:val="16"/>
          <w:b w:val="1"/>
          <w:bCs w:val="1"/>
          <w:color w:val="auto"/>
        </w:rPr>
        <w:t>On a quarterly basis, the Company expects to incur approximately $4 million of share-based compensation expense in 2010. This non-cash compensation expense is reflected in both the GAAP and adjusted earnings per diluted share guidance for 2010 provided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Integra has scheduled a conference call for 8:30 AM ET on Monday, May 3, 2010 to discuss financial results for the first quarter 2010 and forward-looking financial guidance. The conference call will be hosted by Integra’s senior management team and will be open to all listeners. Additional forward-looking information may be discussed in a question and answer session following the call.</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Access to the live call is available by dialing 719-325-2133 and using the passcode 8819084. The call can also be accessed through a webcast via a link provided on the Investor Relations homepage of Integra’s website at www.Integra-LS.com. Access to the replay is available through May 17, 2010 by dialing 719-457-0820 and using the passcode 8819084. The webcast will also be archived on the website.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Integra LifeSciences Holdings Corporation, a world leader in regenerative medicine, is a global medical device company dedicated to improving the quality of life for millions of patients every year. Our products are used primarily in orthopedics, neurosurgery and general surgery. Headquartered in Plainsboro, New Jersey, Integra has research and manufacturing facilities throughout the world. For more information, visit www.Integra-LS.com.</w:t>
      </w:r>
    </w:p>
    <w:p>
      <w:pPr>
        <w:sectPr>
          <w:pgSz w:w="11900" w:h="16888" w:orient="portrait"/>
          <w:cols w:equalWidth="0" w:num="1">
            <w:col w:w="11400"/>
          </w:cols>
          <w:pgMar w:left="240" w:top="115" w:right="259" w:bottom="0" w:gutter="0" w:footer="0" w:header="0"/>
        </w:sectPr>
      </w:pPr>
    </w:p>
    <w:bookmarkStart w:id="7" w:name="page8"/>
    <w:bookmarkEnd w:id="7"/>
    <w:p>
      <w:pPr>
        <w:spacing w:after="0" w:line="285" w:lineRule="auto"/>
        <w:rPr>
          <w:sz w:val="20"/>
          <w:szCs w:val="20"/>
          <w:color w:val="auto"/>
        </w:rPr>
      </w:pPr>
      <w:r>
        <w:rPr>
          <w:rFonts w:ascii="Arial" w:cs="Arial" w:eastAsia="Arial" w:hAnsi="Arial"/>
          <w:sz w:val="16"/>
          <w:szCs w:val="16"/>
          <w:b w:val="1"/>
          <w:bCs w:val="1"/>
          <w:color w:val="auto"/>
        </w:rPr>
        <w:t>This news release contains forward-looking statements within the meaning of the Private Securities Litigation Reform Act of 1995 that involve risks, uncertainties and reflect the Company’s judgment as of the date of this release. Forward-looking statements include, but are not limited to, statements concerning future financial performance, including projections for revenues, GAAP and adjusted net income, GAAP and adjusted earnings per diluted share, stock-based compensation, non-GAAP adjustments such as acquisition-related charges, non-cash interest expense related to the application of FSP APB 14-1, intangible asset amortization, and income tax expense (benefit) related to non-GAAP adjustments, and adjusted EBITDA. Such forward-looking statements involve risks and uncertainties that could cause actual results to differ materially from predicted or expected results. Such risks and uncertainties include, but are not limited to: the Company’s ability to maintain relationships with customers of acquired entities; physicians’ willingness to adopt and third-party payors’ willingness to provide reimbursement for the Company’s recently launched and planned products; the Company’s ability to manufacture sufficient quantities of its products to meet its customers’ demand; initiatives launched by the Company’s competitors; the Company’s ability to secure regulatory approval for products in development; fluctuations in hospital spending for capital equipment; the Company’s ability to comply with and obtain approvals for products of human origin and comply with recently enacted regulations regarding products containing materials derived from animal sources; difficulties in controlling expenses, including costs of legal compliance matters or internal controls review, improvement and remediation; the impact of changes in management or staff levels; the Company’s ability to integrate acquired businesses; the Company’s ability to leverage its existing selling organizations and administrative infrastructure; the Company’s ability to increase product sales and gross margins, and control non-product costs; the amount and timing of acquisition and integration related costs; the geographic distribution of where the Company generates its taxable income; the effect of legislation effecting healthcare reform in the United States; the timing and amount of share-based awards granted to employees; fluctuations in foreign currency exchange rates; the amount of our convertible notes outstanding, and the economic, competitive, governmental, technological and other risk factors and uncertainties identified under the heading “Risk Factors” included in Item 1A of Integra’s Annual Report on Form 10-K for the year ended December 31, 2009 and information contained in subsequent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Adjusted Financial Measures</w:t>
      </w:r>
    </w:p>
    <w:p>
      <w:pPr>
        <w:spacing w:after="0" w:line="19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In addition to our GAAP results, we provide adjusted revenues, adjusted earnings before interest, taxes, depreciation and amortization (EBITDA), adjusted EBITDA excluding stock-based compensation, adjusted net income and adjusted earnings per diluted share (which excludes intangible asset amortization expense). Adjusted revenues consist of growth in total revenues excluding the effects of currency exchange rates on the current period’s revenues. The various measures of adjusted EBITDA consist of GAAP net income, excluding: (i) depreciation and amortization, (ii) other income (expense), net, (iii) interest income and expense, (iv) income taxes, (v) those operating expenses also excluded from adjusted net income and, as appropriate (vi) stock-based compensation expense. The measure of adjusted net income consists of GAAP net income, excluding: (i) acquisition-related charges; (ii) charges associated with discontinued or withdrawn product lines; (iii) systems implementation charges; (iv) facility consolidation, manufacturing and distribution transfer charges; (v) incremental professional and bank fees related to the possibility of obtaining a waiver under our revolving credit facility; (vi) charges related to restructuring our European subsidiaries; (vii) gain related to the early extinguishment of convertible notes; (viii) certain employee termination and related costs; (ix) non-cash interest expense related to the application of FSP APB 14-1; (x) intangible asset amortization expense; (xi) quarterly adjustments to income tax expense/benefit related to the cumulative impact of changes in estimated tax rates and certain infrequently occurring items; and (xii) the income tax expense/benefit related to these adjustments. Adjusted net income attributable to diluted shares is calculated by multiplying adjusted net income by the diluted share percentage. The adjusted earnings per diluted share measure is calculated by dividing adjusted net income attributable to diluted shares by diluted weighted average shares outstanding. Reconciliations of GAAP revenues to adjusted revenues for the quarter ended March 31, 2010 and GAAP net income to adjusted EBITDA, adjusted EBITDA excluding stock-based compensation and adjusted net income, and GAAP earnings per diluted share to adjusted earnings per diluted share for the quarters ended March 31, 2010 and 2009 appear in the financial tables in this release.</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Integra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t>
      </w:r>
      <w:r>
        <w:rPr>
          <w:rFonts w:ascii="Arial" w:cs="Arial" w:eastAsia="Arial" w:hAnsi="Arial"/>
          <w:sz w:val="17"/>
          <w:szCs w:val="17"/>
          <w:b w:val="1"/>
          <w:bCs w:val="1"/>
          <w:i w:val="1"/>
          <w:iCs w:val="1"/>
          <w:color w:val="auto"/>
        </w:rPr>
        <w:t xml:space="preserve">www.sec.gov </w:t>
      </w:r>
      <w:r>
        <w:rPr>
          <w:rFonts w:ascii="Arial" w:cs="Arial" w:eastAsia="Arial" w:hAnsi="Arial"/>
          <w:sz w:val="17"/>
          <w:szCs w:val="17"/>
          <w:b w:val="1"/>
          <w:bCs w:val="1"/>
          <w:color w:val="auto"/>
        </w:rPr>
        <w:t>or on our website at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u w:val="single" w:color="auto"/>
          <w:color w:val="auto"/>
        </w:rPr>
        <w:t>www.Integra-LS.com</w:t>
      </w:r>
      <w:r>
        <w:rPr>
          <w:rFonts w:ascii="Arial" w:cs="Arial" w:eastAsia="Arial" w:hAnsi="Arial"/>
          <w:sz w:val="17"/>
          <w:szCs w:val="17"/>
          <w:b w:val="1"/>
          <w:bCs w:val="1"/>
          <w:color w:val="auto"/>
        </w:rPr>
        <w: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 share amounts)</w:t>
      </w:r>
    </w:p>
    <w:p>
      <w:pPr>
        <w:spacing w:after="0" w:line="3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108"/>
              <w:spacing w:after="0"/>
              <w:rPr>
                <w:sz w:val="20"/>
                <w:szCs w:val="20"/>
                <w:color w:val="auto"/>
              </w:rPr>
            </w:pPr>
            <w:r>
              <w:rPr>
                <w:rFonts w:ascii="Arial" w:cs="Arial" w:eastAsia="Arial" w:hAnsi="Arial"/>
                <w:sz w:val="14"/>
                <w:szCs w:val="14"/>
                <w:color w:val="auto"/>
                <w:w w:val="99"/>
              </w:rPr>
              <w:t>Three Months Ended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color w:val="auto"/>
              </w:rPr>
              <w:t>March 31,</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vMerge w:val="restart"/>
          </w:tcPr>
          <w:p>
            <w:pPr>
              <w:spacing w:after="0"/>
              <w:rPr>
                <w:sz w:val="20"/>
                <w:szCs w:val="20"/>
                <w:color w:val="auto"/>
              </w:rPr>
            </w:pPr>
            <w:r>
              <w:rPr>
                <w:rFonts w:ascii="Arial" w:cs="Arial" w:eastAsia="Arial" w:hAnsi="Arial"/>
                <w:sz w:val="14"/>
                <w:szCs w:val="14"/>
                <w:color w:val="auto"/>
              </w:rPr>
              <w:t>Total revenues</w:t>
            </w: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7140" w:type="dxa"/>
            <w:vAlign w:val="bottom"/>
            <w:vMerge w:val="continue"/>
          </w:tcPr>
          <w:p>
            <w:pPr>
              <w:spacing w:after="0"/>
              <w:rPr>
                <w:sz w:val="10"/>
                <w:szCs w:val="10"/>
                <w:color w:val="auto"/>
              </w:rPr>
            </w:pPr>
          </w:p>
        </w:tc>
        <w:tc>
          <w:tcPr>
            <w:tcW w:w="5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w w:val="90"/>
              </w:rPr>
              <w:t>172,698</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86"/>
              </w:rPr>
              <w:t>160,950</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Cost of product revenues</w:t>
            </w: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63,224</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58,148</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11,301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10,643</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72,511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66,451</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140" w:type="dxa"/>
            <w:vAlign w:val="bottom"/>
          </w:tcPr>
          <w:p>
            <w:pPr>
              <w:spacing w:after="0"/>
              <w:rPr>
                <w:sz w:val="20"/>
                <w:szCs w:val="20"/>
                <w:color w:val="auto"/>
              </w:rPr>
            </w:pPr>
            <w:r>
              <w:rPr>
                <w:rFonts w:ascii="Arial" w:cs="Arial" w:eastAsia="Arial" w:hAnsi="Arial"/>
                <w:sz w:val="14"/>
                <w:szCs w:val="14"/>
                <w:color w:val="auto"/>
              </w:rPr>
              <w:t>Intangible asset amortization</w:t>
            </w:r>
          </w:p>
        </w:tc>
        <w:tc>
          <w:tcPr>
            <w:tcW w:w="5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3,456</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140" w:type="dxa"/>
            <w:vAlign w:val="bottom"/>
          </w:tcPr>
          <w:p>
            <w:pPr>
              <w:ind w:left="260"/>
              <w:spacing w:after="0" w:line="137" w:lineRule="exact"/>
              <w:rPr>
                <w:sz w:val="20"/>
                <w:szCs w:val="20"/>
                <w:color w:val="auto"/>
              </w:rPr>
            </w:pPr>
            <w:r>
              <w:rPr>
                <w:rFonts w:ascii="Arial" w:cs="Arial" w:eastAsia="Arial" w:hAnsi="Arial"/>
                <w:sz w:val="14"/>
                <w:szCs w:val="14"/>
                <w:color w:val="auto"/>
              </w:rPr>
              <w:t>Total costs and expenses</w:t>
            </w:r>
          </w:p>
        </w:tc>
        <w:tc>
          <w:tcPr>
            <w:tcW w:w="50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4"/>
                <w:szCs w:val="14"/>
                <w:color w:val="auto"/>
                <w:w w:val="90"/>
              </w:rPr>
              <w:t>150,055</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w w:val="86"/>
              </w:rPr>
              <w:t>138,698</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22,643</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22,252</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5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5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(4,541)</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(6,684)</w:t>
            </w:r>
          </w:p>
        </w:tc>
        <w:tc>
          <w:tcPr>
            <w:tcW w:w="0" w:type="dxa"/>
            <w:vAlign w:val="bottom"/>
          </w:tcPr>
          <w:p>
            <w:pPr>
              <w:spacing w:after="0"/>
              <w:rPr>
                <w:sz w:val="1"/>
                <w:szCs w:val="1"/>
                <w:color w:val="auto"/>
              </w:rPr>
            </w:pPr>
          </w:p>
        </w:tc>
      </w:tr>
      <w:tr>
        <w:trPr>
          <w:trHeight w:val="167"/>
        </w:trPr>
        <w:tc>
          <w:tcPr>
            <w:tcW w:w="714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5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1,146</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37"/>
        </w:trPr>
        <w:tc>
          <w:tcPr>
            <w:tcW w:w="7140" w:type="dxa"/>
            <w:vAlign w:val="bottom"/>
          </w:tcPr>
          <w:p>
            <w:pPr>
              <w:spacing w:after="0" w:line="137" w:lineRule="exact"/>
              <w:rPr>
                <w:sz w:val="20"/>
                <w:szCs w:val="20"/>
                <w:color w:val="auto"/>
              </w:rPr>
            </w:pPr>
            <w:r>
              <w:rPr>
                <w:rFonts w:ascii="Arial" w:cs="Arial" w:eastAsia="Arial" w:hAnsi="Arial"/>
                <w:sz w:val="14"/>
                <w:szCs w:val="14"/>
                <w:color w:val="auto"/>
              </w:rPr>
              <w:t>Income before income taxes</w:t>
            </w:r>
          </w:p>
        </w:tc>
        <w:tc>
          <w:tcPr>
            <w:tcW w:w="500" w:type="dxa"/>
            <w:vAlign w:val="bottom"/>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19,309</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14,947</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140" w:type="dxa"/>
            <w:vAlign w:val="bottom"/>
          </w:tcPr>
          <w:p>
            <w:pPr>
              <w:spacing w:after="0"/>
              <w:rPr>
                <w:sz w:val="20"/>
                <w:szCs w:val="20"/>
                <w:color w:val="auto"/>
              </w:rPr>
            </w:pPr>
            <w:r>
              <w:rPr>
                <w:rFonts w:ascii="Arial" w:cs="Arial" w:eastAsia="Arial" w:hAnsi="Arial"/>
                <w:sz w:val="14"/>
                <w:szCs w:val="14"/>
                <w:color w:val="auto"/>
              </w:rPr>
              <w:t>Income tax expense</w:t>
            </w:r>
          </w:p>
        </w:tc>
        <w:tc>
          <w:tcPr>
            <w:tcW w:w="5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4,087</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140" w:type="dxa"/>
            <w:vAlign w:val="bottom"/>
          </w:tcPr>
          <w:p>
            <w:pPr>
              <w:spacing w:after="0" w:line="137" w:lineRule="exact"/>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4"/>
                <w:szCs w:val="14"/>
                <w:color w:val="auto"/>
              </w:rPr>
              <w:t>15,222</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rPr>
              <w:t>9,567</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140" w:type="dxa"/>
            <w:vAlign w:val="bottom"/>
          </w:tcPr>
          <w:p>
            <w:pPr>
              <w:spacing w:after="0"/>
              <w:rPr>
                <w:sz w:val="20"/>
                <w:szCs w:val="20"/>
                <w:color w:val="auto"/>
              </w:rPr>
            </w:pPr>
            <w:r>
              <w:rPr>
                <w:rFonts w:ascii="Arial" w:cs="Arial" w:eastAsia="Arial" w:hAnsi="Arial"/>
                <w:sz w:val="14"/>
                <w:szCs w:val="14"/>
                <w:color w:val="auto"/>
              </w:rPr>
              <w:t>Diluted net income per share *</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4"/>
                <w:szCs w:val="14"/>
                <w:color w:val="auto"/>
              </w:rPr>
              <w:t>Weighted average common shares</w:t>
            </w: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1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40" w:type="dxa"/>
            <w:vAlign w:val="bottom"/>
          </w:tcPr>
          <w:p>
            <w:pPr>
              <w:ind w:left="140"/>
              <w:spacing w:after="0" w:line="149" w:lineRule="exact"/>
              <w:rPr>
                <w:sz w:val="20"/>
                <w:szCs w:val="20"/>
                <w:color w:val="auto"/>
              </w:rPr>
            </w:pPr>
            <w:r>
              <w:rPr>
                <w:rFonts w:ascii="Arial" w:cs="Arial" w:eastAsia="Arial" w:hAnsi="Arial"/>
                <w:sz w:val="14"/>
                <w:szCs w:val="14"/>
                <w:color w:val="auto"/>
              </w:rPr>
              <w:t>outstanding for diluted net</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140" w:type="dxa"/>
            <w:vAlign w:val="bottom"/>
          </w:tcPr>
          <w:p>
            <w:pPr>
              <w:ind w:left="140"/>
              <w:spacing w:after="0"/>
              <w:rPr>
                <w:sz w:val="20"/>
                <w:szCs w:val="20"/>
                <w:color w:val="auto"/>
              </w:rPr>
            </w:pPr>
            <w:r>
              <w:rPr>
                <w:rFonts w:ascii="Arial" w:cs="Arial" w:eastAsia="Arial" w:hAnsi="Arial"/>
                <w:sz w:val="14"/>
                <w:szCs w:val="14"/>
                <w:color w:val="auto"/>
              </w:rPr>
              <w:t>income per share</w:t>
            </w:r>
          </w:p>
        </w:tc>
        <w:tc>
          <w:tcPr>
            <w:tcW w:w="5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29,982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29,252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400"/>
          </w:cols>
          <w:pgMar w:left="240" w:top="121" w:right="259" w:bottom="0" w:gutter="0" w:footer="0" w:header="0"/>
        </w:sectPr>
      </w:pPr>
    </w:p>
    <w:p>
      <w:pPr>
        <w:ind w:left="220" w:right="380" w:hanging="185"/>
        <w:spacing w:after="0" w:line="278" w:lineRule="auto"/>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calculation of earnings per share for common stock shown above excludes the income attributable to the unvested restricted share units from the numerator and excludes the dilutive impact of those units from the denominator. The authoritative guidance had an insignificant impact (impacts the rounding by $0.01 per share) on diluted net income per share for both periods.</w:t>
      </w:r>
    </w:p>
    <w:p>
      <w:pPr>
        <w:sectPr>
          <w:pgSz w:w="11900" w:h="16838" w:orient="portrait"/>
          <w:cols w:equalWidth="0" w:num="1">
            <w:col w:w="11400"/>
          </w:cols>
          <w:pgMar w:left="240" w:top="121" w:right="259" w:bottom="0" w:gutter="0" w:footer="0" w:header="0"/>
          <w:type w:val="continuous"/>
        </w:sectPr>
      </w:pPr>
    </w:p>
    <w:bookmarkStart w:id="8" w:name="page9"/>
    <w:bookmarkEnd w:id="8"/>
    <w:p>
      <w:pPr>
        <w:spacing w:after="0" w:line="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Listed below are the items included in GAAP revenues and GAAP net income that management excludes in computing the adjusted financial measures referred to in the text of this press release and further described under Discussion of Adjusted Financial Measures.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Growth in total revenues excluding the effects of currency exchange rates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thousands)</w:t>
      </w:r>
    </w:p>
    <w:p>
      <w:pPr>
        <w:spacing w:after="0" w:line="3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80" w:type="dxa"/>
            <w:vAlign w:val="bottom"/>
            <w:gridSpan w:val="4"/>
          </w:tcPr>
          <w:p>
            <w:pPr>
              <w:ind w:left="120"/>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March 31,</w:t>
            </w: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vMerge w:val="restart"/>
          </w:tcPr>
          <w:p>
            <w:pPr>
              <w:spacing w:after="0"/>
              <w:rPr>
                <w:sz w:val="20"/>
                <w:szCs w:val="20"/>
                <w:color w:val="auto"/>
              </w:rPr>
            </w:pPr>
            <w:r>
              <w:rPr>
                <w:rFonts w:ascii="Arial" w:cs="Arial" w:eastAsia="Arial" w:hAnsi="Arial"/>
                <w:sz w:val="14"/>
                <w:szCs w:val="14"/>
                <w:color w:val="auto"/>
              </w:rPr>
              <w:t>Integra Orthopedics</w:t>
            </w:r>
          </w:p>
        </w:tc>
        <w:tc>
          <w:tcPr>
            <w:tcW w:w="60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2010</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2009</w:t>
            </w:r>
          </w:p>
        </w:tc>
        <w:tc>
          <w:tcPr>
            <w:tcW w:w="700" w:type="dxa"/>
            <w:vAlign w:val="bottom"/>
          </w:tcPr>
          <w:p>
            <w:pPr>
              <w:spacing w:after="0"/>
              <w:rPr>
                <w:sz w:val="12"/>
                <w:szCs w:val="12"/>
                <w:color w:val="auto"/>
              </w:rPr>
            </w:pPr>
          </w:p>
        </w:tc>
        <w:tc>
          <w:tcPr>
            <w:tcW w:w="940" w:type="dxa"/>
            <w:vAlign w:val="bottom"/>
            <w:gridSpan w:val="4"/>
          </w:tcPr>
          <w:p>
            <w:pPr>
              <w:jc w:val="right"/>
              <w:ind w:right="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23"/>
        </w:trPr>
        <w:tc>
          <w:tcPr>
            <w:tcW w:w="5860" w:type="dxa"/>
            <w:vAlign w:val="bottom"/>
            <w:vMerge w:val="continue"/>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70,187</w:t>
            </w:r>
          </w:p>
        </w:tc>
        <w:tc>
          <w:tcPr>
            <w:tcW w:w="6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64,366</w:t>
            </w:r>
          </w:p>
        </w:tc>
        <w:tc>
          <w:tcPr>
            <w:tcW w:w="7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Borders>
              <w:top w:val="single" w:sz="8" w:color="auto"/>
            </w:tcBorders>
            <w:gridSpan w:val="3"/>
          </w:tcPr>
          <w:p>
            <w:pPr>
              <w:jc w:val="right"/>
              <w:ind w:right="40"/>
              <w:spacing w:after="0" w:line="123"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Integra NeuroSciences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64,774</w:t>
            </w:r>
          </w:p>
        </w:tc>
        <w:tc>
          <w:tcPr>
            <w:tcW w:w="6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59,731</w:t>
            </w:r>
          </w:p>
        </w:tc>
        <w:tc>
          <w:tcPr>
            <w:tcW w:w="700" w:type="dxa"/>
            <w:vAlign w:val="bottom"/>
          </w:tcPr>
          <w:p>
            <w:pPr>
              <w:spacing w:after="0"/>
              <w:rPr>
                <w:sz w:val="12"/>
                <w:szCs w:val="12"/>
                <w:color w:val="auto"/>
              </w:rPr>
            </w:pPr>
          </w:p>
        </w:tc>
        <w:tc>
          <w:tcPr>
            <w:tcW w:w="9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5860" w:type="dxa"/>
            <w:vAlign w:val="bottom"/>
          </w:tcPr>
          <w:p>
            <w:pPr>
              <w:spacing w:after="0"/>
              <w:rPr>
                <w:sz w:val="20"/>
                <w:szCs w:val="20"/>
                <w:color w:val="auto"/>
              </w:rPr>
            </w:pPr>
            <w:r>
              <w:rPr>
                <w:rFonts w:ascii="Arial" w:cs="Arial" w:eastAsia="Arial" w:hAnsi="Arial"/>
                <w:sz w:val="14"/>
                <w:szCs w:val="14"/>
                <w:color w:val="auto"/>
              </w:rPr>
              <w:t>Integra Medical Instruments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37,737</w:t>
            </w:r>
          </w:p>
        </w:tc>
        <w:tc>
          <w:tcPr>
            <w:tcW w:w="6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36,853</w:t>
            </w:r>
          </w:p>
        </w:tc>
        <w:tc>
          <w:tcPr>
            <w:tcW w:w="7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line="157" w:lineRule="exact"/>
              <w:rPr>
                <w:sz w:val="20"/>
                <w:szCs w:val="20"/>
                <w:color w:val="auto"/>
              </w:rPr>
            </w:pPr>
            <w:r>
              <w:rPr>
                <w:rFonts w:ascii="Arial" w:cs="Arial" w:eastAsia="Arial" w:hAnsi="Arial"/>
                <w:sz w:val="14"/>
                <w:szCs w:val="14"/>
                <w:color w:val="auto"/>
              </w:rPr>
              <w:t>Net Sales</w:t>
            </w:r>
          </w:p>
        </w:tc>
        <w:tc>
          <w:tcPr>
            <w:tcW w:w="600" w:type="dxa"/>
            <w:vAlign w:val="bottom"/>
            <w:vMerge w:val="restart"/>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vMerge w:val="restart"/>
          </w:tcPr>
          <w:p>
            <w:pPr>
              <w:jc w:val="right"/>
              <w:spacing w:after="0" w:line="157" w:lineRule="exact"/>
              <w:rPr>
                <w:sz w:val="20"/>
                <w:szCs w:val="20"/>
                <w:color w:val="auto"/>
              </w:rPr>
            </w:pPr>
            <w:r>
              <w:rPr>
                <w:rFonts w:ascii="Arial" w:cs="Arial" w:eastAsia="Arial" w:hAnsi="Arial"/>
                <w:sz w:val="14"/>
                <w:szCs w:val="14"/>
                <w:color w:val="auto"/>
              </w:rPr>
              <w:t>$</w:t>
            </w:r>
          </w:p>
        </w:tc>
        <w:tc>
          <w:tcPr>
            <w:tcW w:w="4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4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8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w w:val="82"/>
              </w:rPr>
              <w:t>172,698</w:t>
            </w:r>
          </w:p>
        </w:tc>
        <w:tc>
          <w:tcPr>
            <w:tcW w:w="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4"/>
                <w:szCs w:val="14"/>
                <w:color w:val="auto"/>
                <w:w w:val="90"/>
              </w:rPr>
              <w:t>160,950</w:t>
            </w:r>
          </w:p>
        </w:tc>
        <w:tc>
          <w:tcPr>
            <w:tcW w:w="7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gridSpan w:val="2"/>
          </w:tcPr>
          <w:p>
            <w:pPr>
              <w:jc w:val="right"/>
              <w:ind w:right="40"/>
              <w:spacing w:after="0" w:line="137"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Impact of changes in</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60" w:type="dxa"/>
            <w:vAlign w:val="bottom"/>
          </w:tcPr>
          <w:p>
            <w:pPr>
              <w:ind w:left="140"/>
              <w:spacing w:after="0"/>
              <w:rPr>
                <w:sz w:val="20"/>
                <w:szCs w:val="20"/>
                <w:color w:val="auto"/>
              </w:rPr>
            </w:pPr>
            <w:r>
              <w:rPr>
                <w:rFonts w:ascii="Arial" w:cs="Arial" w:eastAsia="Arial" w:hAnsi="Arial"/>
                <w:sz w:val="14"/>
                <w:szCs w:val="14"/>
                <w:color w:val="auto"/>
              </w:rPr>
              <w:t>currency exchange rates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40"/>
              <w:spacing w:after="0"/>
              <w:rPr>
                <w:sz w:val="20"/>
                <w:szCs w:val="20"/>
                <w:color w:val="auto"/>
              </w:rPr>
            </w:pPr>
            <w:r>
              <w:rPr>
                <w:rFonts w:ascii="Arial" w:cs="Arial" w:eastAsia="Arial" w:hAnsi="Arial"/>
                <w:sz w:val="14"/>
                <w:szCs w:val="14"/>
                <w:color w:val="auto"/>
              </w:rPr>
              <w:t>(2,664)</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860" w:type="dxa"/>
            <w:vAlign w:val="bottom"/>
          </w:tcPr>
          <w:p>
            <w:pPr>
              <w:spacing w:after="0" w:line="137" w:lineRule="exact"/>
              <w:rPr>
                <w:sz w:val="20"/>
                <w:szCs w:val="20"/>
                <w:color w:val="auto"/>
              </w:rPr>
            </w:pPr>
            <w:r>
              <w:rPr>
                <w:rFonts w:ascii="Arial" w:cs="Arial" w:eastAsia="Arial" w:hAnsi="Arial"/>
                <w:sz w:val="14"/>
                <w:szCs w:val="14"/>
                <w:color w:val="auto"/>
              </w:rPr>
              <w:t>Growth in total revenues</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140"/>
              <w:spacing w:after="0" w:line="149" w:lineRule="exact"/>
              <w:rPr>
                <w:sz w:val="20"/>
                <w:szCs w:val="20"/>
                <w:color w:val="auto"/>
              </w:rPr>
            </w:pPr>
            <w:r>
              <w:rPr>
                <w:rFonts w:ascii="Arial" w:cs="Arial" w:eastAsia="Arial" w:hAnsi="Arial"/>
                <w:sz w:val="14"/>
                <w:szCs w:val="14"/>
                <w:color w:val="auto"/>
              </w:rPr>
              <w:t>excluding the effects of</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60" w:type="dxa"/>
            <w:vAlign w:val="bottom"/>
          </w:tcPr>
          <w:p>
            <w:pPr>
              <w:ind w:left="140"/>
              <w:spacing w:after="0"/>
              <w:rPr>
                <w:sz w:val="20"/>
                <w:szCs w:val="20"/>
                <w:color w:val="auto"/>
              </w:rPr>
            </w:pPr>
            <w:r>
              <w:rPr>
                <w:rFonts w:ascii="Arial" w:cs="Arial" w:eastAsia="Arial" w:hAnsi="Arial"/>
                <w:sz w:val="14"/>
                <w:szCs w:val="14"/>
                <w:color w:val="auto"/>
              </w:rPr>
              <w:t>currency exchange rates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86"/>
              </w:rPr>
              <w:t>170,034</w:t>
            </w:r>
          </w:p>
        </w:tc>
        <w:tc>
          <w:tcPr>
            <w:tcW w:w="6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160,950</w:t>
            </w:r>
          </w:p>
        </w:tc>
        <w:tc>
          <w:tcPr>
            <w:tcW w:w="700" w:type="dxa"/>
            <w:vAlign w:val="bottom"/>
          </w:tcPr>
          <w:p>
            <w:pPr>
              <w:spacing w:after="0"/>
              <w:rPr>
                <w:sz w:val="14"/>
                <w:szCs w:val="14"/>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Items included in GAAP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thousands)</w:t>
      </w:r>
    </w:p>
    <w:p>
      <w:pPr>
        <w:spacing w:after="0" w:line="3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gridSpan w:val="3"/>
          </w:tcPr>
          <w:p>
            <w:pPr>
              <w:jc w:val="right"/>
              <w:ind w:right="728"/>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67"/>
        </w:trPr>
        <w:tc>
          <w:tcPr>
            <w:tcW w:w="8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8060" w:type="dxa"/>
            <w:vAlign w:val="bottom"/>
            <w:vMerge w:val="restart"/>
          </w:tcPr>
          <w:p>
            <w:pPr>
              <w:spacing w:after="0"/>
              <w:rPr>
                <w:sz w:val="20"/>
                <w:szCs w:val="20"/>
                <w:color w:val="auto"/>
              </w:rPr>
            </w:pPr>
            <w:r>
              <w:rPr>
                <w:rFonts w:ascii="Arial" w:cs="Arial" w:eastAsia="Arial" w:hAnsi="Arial"/>
                <w:sz w:val="14"/>
                <w:szCs w:val="14"/>
                <w:color w:val="auto"/>
              </w:rPr>
              <w:t>Acquisition-related charges (a)</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2010</w:t>
            </w:r>
          </w:p>
        </w:tc>
        <w:tc>
          <w:tcPr>
            <w:tcW w:w="2020" w:type="dxa"/>
            <w:vAlign w:val="bottom"/>
            <w:gridSpan w:val="3"/>
          </w:tcPr>
          <w:p>
            <w:pPr>
              <w:jc w:val="right"/>
              <w:ind w:right="368"/>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23"/>
        </w:trPr>
        <w:tc>
          <w:tcPr>
            <w:tcW w:w="8060" w:type="dxa"/>
            <w:vAlign w:val="bottom"/>
            <w:vMerge w:val="continue"/>
          </w:tcPr>
          <w:p>
            <w:pPr>
              <w:spacing w:after="0"/>
              <w:rPr>
                <w:sz w:val="10"/>
                <w:szCs w:val="10"/>
                <w:color w:val="auto"/>
              </w:rPr>
            </w:pPr>
          </w:p>
        </w:tc>
        <w:tc>
          <w:tcPr>
            <w:tcW w:w="76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  555</w:t>
            </w:r>
          </w:p>
        </w:tc>
        <w:tc>
          <w:tcPr>
            <w:tcW w:w="3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Borders>
              <w:top w:val="single" w:sz="8" w:color="auto"/>
            </w:tcBorders>
          </w:tcPr>
          <w:p>
            <w:pPr>
              <w:jc w:val="right"/>
              <w:ind w:right="368"/>
              <w:spacing w:after="0" w:line="123" w:lineRule="exact"/>
              <w:rPr>
                <w:sz w:val="20"/>
                <w:szCs w:val="20"/>
                <w:color w:val="auto"/>
              </w:rPr>
            </w:pPr>
            <w:r>
              <w:rPr>
                <w:rFonts w:ascii="Arial" w:cs="Arial" w:eastAsia="Arial" w:hAnsi="Arial"/>
                <w:sz w:val="14"/>
                <w:szCs w:val="14"/>
                <w:color w:val="auto"/>
              </w:rPr>
              <w:t>$ 2,007</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Employee termination and related costs (b)</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628</w:t>
            </w:r>
          </w:p>
        </w:tc>
        <w:tc>
          <w:tcPr>
            <w:tcW w:w="2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Charges associated with discontinued or withdrawn</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product lines (c)</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74</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Systems implementation charges (d)</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136</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Facility consolidation, manufacturing and</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distribution transfer charges (e)</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326</w:t>
            </w:r>
          </w:p>
        </w:tc>
        <w:tc>
          <w:tcPr>
            <w:tcW w:w="2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Incremental professional and bank fees related to</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the possibility of obtaining a waiver</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under our revolving credit facility (f)</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Charges related to restructuring</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European subsidiaries (g)</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(Gain) related to early extinguishment of</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convertible notes (h)</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tcPr>
          <w:p>
            <w:pPr>
              <w:jc w:val="right"/>
              <w:ind w:right="328"/>
              <w:spacing w:after="0" w:line="149" w:lineRule="exact"/>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Non-cash interest expense related to the</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implementation of FSP APB 14-1 (i)</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2,053</w:t>
            </w:r>
          </w:p>
        </w:tc>
        <w:tc>
          <w:tcPr>
            <w:tcW w:w="2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Intangible asset amortization expense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4,482</w:t>
            </w:r>
          </w:p>
        </w:tc>
        <w:tc>
          <w:tcPr>
            <w:tcW w:w="2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Income tax expense related to</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above adjustments, quarterly adjustments to</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income tax expense related to the</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cumulative impact of changes in estimated tax</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rates and certain infrequently occurring items</w:t>
            </w: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140"/>
              <w:spacing w:after="0" w:line="149" w:lineRule="exact"/>
              <w:rPr>
                <w:sz w:val="20"/>
                <w:szCs w:val="20"/>
                <w:color w:val="auto"/>
              </w:rPr>
            </w:pPr>
            <w:r>
              <w:rPr>
                <w:rFonts w:ascii="Arial" w:cs="Arial" w:eastAsia="Arial" w:hAnsi="Arial"/>
                <w:sz w:val="14"/>
                <w:szCs w:val="14"/>
                <w:color w:val="auto"/>
              </w:rPr>
              <w:t>that affected the reported tax rate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(4,458)</w:t>
            </w:r>
          </w:p>
        </w:tc>
        <w:tc>
          <w:tcPr>
            <w:tcW w:w="2020" w:type="dxa"/>
            <w:vAlign w:val="bottom"/>
            <w:gridSpan w:val="3"/>
          </w:tcPr>
          <w:p>
            <w:pPr>
              <w:jc w:val="right"/>
              <w:ind w:right="328"/>
              <w:spacing w:after="0" w:line="149" w:lineRule="exact"/>
              <w:rPr>
                <w:sz w:val="20"/>
                <w:szCs w:val="20"/>
                <w:color w:val="auto"/>
              </w:rPr>
            </w:pPr>
            <w:r>
              <w:rPr>
                <w:rFonts w:ascii="Arial" w:cs="Arial" w:eastAsia="Arial" w:hAnsi="Arial"/>
                <w:sz w:val="14"/>
                <w:szCs w:val="14"/>
                <w:color w:val="auto"/>
              </w:rPr>
              <w:t>(3,843)</w:t>
            </w:r>
          </w:p>
        </w:tc>
        <w:tc>
          <w:tcPr>
            <w:tcW w:w="0" w:type="dxa"/>
            <w:vAlign w:val="bottom"/>
          </w:tcPr>
          <w:p>
            <w:pPr>
              <w:spacing w:after="0"/>
              <w:rPr>
                <w:sz w:val="1"/>
                <w:szCs w:val="1"/>
                <w:color w:val="auto"/>
              </w:rPr>
            </w:pPr>
          </w:p>
        </w:tc>
      </w:tr>
      <w:tr>
        <w:trPr>
          <w:trHeight w:val="149"/>
        </w:trPr>
        <w:tc>
          <w:tcPr>
            <w:tcW w:w="80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3,843</w:t>
            </w:r>
          </w:p>
        </w:tc>
        <w:tc>
          <w:tcPr>
            <w:tcW w:w="2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3,760</w:t>
            </w:r>
          </w:p>
        </w:tc>
        <w:tc>
          <w:tcPr>
            <w:tcW w:w="0" w:type="dxa"/>
            <w:vAlign w:val="bottom"/>
          </w:tcPr>
          <w:p>
            <w:pPr>
              <w:spacing w:after="0"/>
              <w:rPr>
                <w:sz w:val="1"/>
                <w:szCs w:val="1"/>
                <w:color w:val="auto"/>
              </w:rPr>
            </w:pPr>
          </w:p>
        </w:tc>
      </w:tr>
      <w:tr>
        <w:trPr>
          <w:trHeight w:val="182"/>
        </w:trPr>
        <w:tc>
          <w:tcPr>
            <w:tcW w:w="8060" w:type="dxa"/>
            <w:vAlign w:val="bottom"/>
          </w:tcPr>
          <w:p>
            <w:pPr>
              <w:spacing w:after="0"/>
              <w:rPr>
                <w:sz w:val="20"/>
                <w:szCs w:val="20"/>
                <w:color w:val="auto"/>
              </w:rPr>
            </w:pPr>
            <w:r>
              <w:rPr>
                <w:rFonts w:ascii="Arial" w:cs="Arial" w:eastAsia="Arial" w:hAnsi="Arial"/>
                <w:sz w:val="14"/>
                <w:szCs w:val="14"/>
                <w:color w:val="auto"/>
              </w:rPr>
              <w:t>Depreciation expense</w:t>
            </w:r>
          </w:p>
        </w:tc>
        <w:tc>
          <w:tcPr>
            <w:tcW w:w="760" w:type="dxa"/>
            <w:vAlign w:val="bottom"/>
          </w:tcPr>
          <w:p>
            <w:pPr>
              <w:jc w:val="right"/>
              <w:spacing w:after="0"/>
              <w:rPr>
                <w:sz w:val="20"/>
                <w:szCs w:val="20"/>
                <w:color w:val="auto"/>
              </w:rPr>
            </w:pPr>
            <w:r>
              <w:rPr>
                <w:rFonts w:ascii="Arial" w:cs="Arial" w:eastAsia="Arial" w:hAnsi="Arial"/>
                <w:sz w:val="14"/>
                <w:szCs w:val="14"/>
                <w:color w:val="auto"/>
              </w:rPr>
              <w:t>4,949</w:t>
            </w:r>
          </w:p>
        </w:tc>
        <w:tc>
          <w:tcPr>
            <w:tcW w:w="2020" w:type="dxa"/>
            <w:vAlign w:val="bottom"/>
            <w:gridSpan w:val="3"/>
          </w:tcPr>
          <w:p>
            <w:pPr>
              <w:jc w:val="right"/>
              <w:ind w:right="368"/>
              <w:spacing w:after="0"/>
              <w:rPr>
                <w:sz w:val="20"/>
                <w:szCs w:val="20"/>
                <w:color w:val="auto"/>
              </w:rPr>
            </w:pPr>
            <w:r>
              <w:rPr>
                <w:rFonts w:ascii="Arial" w:cs="Arial" w:eastAsia="Arial" w:hAnsi="Arial"/>
                <w:sz w:val="14"/>
                <w:szCs w:val="14"/>
                <w:color w:val="auto"/>
              </w:rPr>
              <w:t>3,800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Q1 2010 — $406 recorded in cost of product revenues, $28 recorded in research and</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development, $121 recorded in selling general and administrative;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Q1 2009 – all recorded in cost of product revenues.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  Q1 2010 – all recorded in selling general and administrative.</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Q1 2009 — $57 recorded in cost of product revenues, $233 recorded in selling general and administrative, $160 recorded in research and development.</w:t>
      </w:r>
    </w:p>
    <w:p>
      <w:pPr>
        <w:spacing w:after="0" w:line="284" w:lineRule="exact"/>
        <w:rPr>
          <w:sz w:val="20"/>
          <w:szCs w:val="20"/>
          <w:color w:val="auto"/>
        </w:rPr>
      </w:pPr>
    </w:p>
    <w:p>
      <w:pPr>
        <w:ind w:left="1180" w:hanging="882"/>
        <w:spacing w:after="0"/>
        <w:tabs>
          <w:tab w:leader="none" w:pos="1180" w:val="left"/>
        </w:tabs>
        <w:numPr>
          <w:ilvl w:val="1"/>
          <w:numId w:val="8"/>
        </w:numPr>
        <w:rPr>
          <w:rFonts w:ascii="Arial" w:cs="Arial" w:eastAsia="Arial" w:hAnsi="Arial"/>
          <w:sz w:val="14"/>
          <w:szCs w:val="14"/>
          <w:color w:val="auto"/>
        </w:rPr>
      </w:pPr>
      <w:r>
        <w:rPr>
          <w:rFonts w:ascii="Arial" w:cs="Arial" w:eastAsia="Arial" w:hAnsi="Arial"/>
          <w:sz w:val="14"/>
          <w:szCs w:val="14"/>
          <w:color w:val="auto"/>
        </w:rPr>
        <w:t>Q1 2010 – all recorded in cost of product revenues.</w:t>
      </w:r>
    </w:p>
    <w:p>
      <w:pPr>
        <w:ind w:left="1180" w:hanging="882"/>
        <w:spacing w:after="0"/>
        <w:tabs>
          <w:tab w:leader="none" w:pos="1180" w:val="left"/>
        </w:tabs>
        <w:numPr>
          <w:ilvl w:val="1"/>
          <w:numId w:val="8"/>
        </w:numPr>
        <w:rPr>
          <w:rFonts w:ascii="Arial" w:cs="Arial" w:eastAsia="Arial" w:hAnsi="Arial"/>
          <w:sz w:val="14"/>
          <w:szCs w:val="14"/>
          <w:color w:val="auto"/>
        </w:rPr>
      </w:pPr>
      <w:r>
        <w:rPr>
          <w:rFonts w:ascii="Arial" w:cs="Arial" w:eastAsia="Arial" w:hAnsi="Arial"/>
          <w:sz w:val="14"/>
          <w:szCs w:val="14"/>
          <w:color w:val="auto"/>
        </w:rPr>
        <w:t>Q1 2010 — all recorded in selling general and administrative.</w:t>
      </w:r>
    </w:p>
    <w:p>
      <w:pPr>
        <w:spacing w:after="0" w:line="191" w:lineRule="exact"/>
        <w:rPr>
          <w:rFonts w:ascii="Arial" w:cs="Arial" w:eastAsia="Arial" w:hAnsi="Arial"/>
          <w:sz w:val="14"/>
          <w:szCs w:val="14"/>
          <w:color w:val="auto"/>
        </w:rPr>
      </w:pPr>
    </w:p>
    <w:p>
      <w:pPr>
        <w:ind w:left="240" w:right="2480" w:hanging="229"/>
        <w:spacing w:after="0" w:line="543" w:lineRule="auto"/>
        <w:tabs>
          <w:tab w:leader="none" w:pos="282" w:val="left"/>
        </w:tabs>
        <w:numPr>
          <w:ilvl w:val="0"/>
          <w:numId w:val="9"/>
        </w:numPr>
        <w:rPr>
          <w:rFonts w:ascii="Arial" w:cs="Arial" w:eastAsia="Arial" w:hAnsi="Arial"/>
          <w:sz w:val="14"/>
          <w:szCs w:val="14"/>
          <w:color w:val="auto"/>
        </w:rPr>
      </w:pPr>
      <w:r>
        <w:rPr>
          <w:rFonts w:ascii="Arial" w:cs="Arial" w:eastAsia="Arial" w:hAnsi="Arial"/>
          <w:sz w:val="14"/>
          <w:szCs w:val="14"/>
          <w:color w:val="auto"/>
        </w:rPr>
        <w:t>Q1 2010 — $256 recorded in cost of product revenues, $26 recorded in research and development, $44 recorded in selling general and administrative. Q1 2009 – $134 recorded in cost of product revenues, $69 recorded in selling general and administrative.</w:t>
      </w:r>
    </w:p>
    <w:p>
      <w:pPr>
        <w:ind w:left="260" w:hanging="247"/>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Q1 2009 – $200 recorded in selling general and administrative, $150 recorded in interest expense.</w:t>
      </w:r>
    </w:p>
    <w:p>
      <w:pPr>
        <w:spacing w:after="0" w:line="203"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Q1 2009 – all recorded in other income (expense), net.</w:t>
      </w:r>
    </w:p>
    <w:p>
      <w:pPr>
        <w:ind w:left="220" w:hanging="212"/>
        <w:spacing w:after="0" w:line="221"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Q1 2009 – all recorded in other income (expense), net.</w:t>
      </w:r>
    </w:p>
    <w:p>
      <w:pPr>
        <w:ind w:left="180" w:hanging="172"/>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recorded in interest expense.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INTEGRA LIFESCIENCES HOLDINGS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RECONCILIATION OF NON-GAAP ADJUSTMENTS – GAAP NET INCOME TO ADJUSTED EBITDA AND ADJUSTED EBITDA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EXCLUDING STOCK BASED COMPENSATION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thousands)</w:t>
      </w:r>
    </w:p>
    <w:p>
      <w:pPr>
        <w:spacing w:after="0" w:line="320" w:lineRule="exact"/>
        <w:rPr>
          <w:sz w:val="20"/>
          <w:szCs w:val="20"/>
          <w:color w:val="auto"/>
        </w:rPr>
      </w:pPr>
    </w:p>
    <w:p>
      <w:pPr>
        <w:jc w:val="center"/>
        <w:ind w:left="8200"/>
        <w:spacing w:after="0"/>
        <w:rPr>
          <w:sz w:val="20"/>
          <w:szCs w:val="20"/>
          <w:color w:val="auto"/>
        </w:rPr>
      </w:pPr>
      <w:r>
        <w:rPr>
          <w:rFonts w:ascii="Arial" w:cs="Arial" w:eastAsia="Arial" w:hAnsi="Arial"/>
          <w:sz w:val="14"/>
          <w:szCs w:val="14"/>
          <w:color w:val="auto"/>
        </w:rPr>
        <w:t>Three Months Ended</w:t>
      </w:r>
    </w:p>
    <w:p>
      <w:pPr>
        <w:jc w:val="center"/>
        <w:ind w:left="8200"/>
        <w:spacing w:after="0" w:line="231" w:lineRule="auto"/>
        <w:rPr>
          <w:sz w:val="20"/>
          <w:szCs w:val="20"/>
          <w:color w:val="auto"/>
        </w:rPr>
      </w:pPr>
      <w:r>
        <w:rPr>
          <w:rFonts w:ascii="Arial" w:cs="Arial" w:eastAsia="Arial" w:hAnsi="Arial"/>
          <w:sz w:val="14"/>
          <w:szCs w:val="14"/>
          <w:color w:val="auto"/>
        </w:rPr>
        <w:t>March 31,</w:t>
      </w:r>
    </w:p>
    <w:tbl>
      <w:tblPr>
        <w:tblLayout w:type="fixed"/>
        <w:tblInd w:w="300" w:type="dxa"/>
        <w:tblCellMar>
          <w:top w:w="0" w:type="dxa"/>
          <w:left w:w="0" w:type="dxa"/>
          <w:bottom w:w="0" w:type="dxa"/>
          <w:right w:w="0" w:type="dxa"/>
        </w:tblCellMar>
      </w:tblPr>
      <w:tr>
        <w:trPr>
          <w:trHeight w:val="142"/>
        </w:trPr>
        <w:tc>
          <w:tcPr>
            <w:tcW w:w="8200" w:type="dxa"/>
            <w:vAlign w:val="bottom"/>
            <w:vMerge w:val="restart"/>
          </w:tcPr>
          <w:p>
            <w:pPr>
              <w:spacing w:after="0"/>
              <w:rPr>
                <w:sz w:val="20"/>
                <w:szCs w:val="20"/>
                <w:color w:val="auto"/>
              </w:rPr>
            </w:pPr>
            <w:r>
              <w:rPr>
                <w:rFonts w:ascii="Arial" w:cs="Arial" w:eastAsia="Arial" w:hAnsi="Arial"/>
                <w:sz w:val="14"/>
                <w:szCs w:val="14"/>
                <w:color w:val="auto"/>
              </w:rPr>
              <w:t>GAAP net income</w:t>
            </w:r>
          </w:p>
        </w:tc>
        <w:tc>
          <w:tcPr>
            <w:tcW w:w="106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color w:val="auto"/>
              </w:rPr>
              <w:t>2010</w:t>
            </w:r>
          </w:p>
        </w:tc>
        <w:tc>
          <w:tcPr>
            <w:tcW w:w="1580" w:type="dxa"/>
            <w:vAlign w:val="bottom"/>
            <w:tcBorders>
              <w:top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23"/>
        </w:trPr>
        <w:tc>
          <w:tcPr>
            <w:tcW w:w="8200" w:type="dxa"/>
            <w:vAlign w:val="bottom"/>
            <w:vMerge w:val="continue"/>
          </w:tcPr>
          <w:p>
            <w:pPr>
              <w:spacing w:after="0"/>
              <w:rPr>
                <w:sz w:val="10"/>
                <w:szCs w:val="10"/>
                <w:color w:val="auto"/>
              </w:rPr>
            </w:pPr>
          </w:p>
        </w:tc>
        <w:tc>
          <w:tcPr>
            <w:tcW w:w="1060" w:type="dxa"/>
            <w:vAlign w:val="bottom"/>
            <w:tcBorders>
              <w:top w:val="single" w:sz="8" w:color="auto"/>
            </w:tcBorders>
          </w:tcPr>
          <w:p>
            <w:pPr>
              <w:jc w:val="right"/>
              <w:ind w:right="268"/>
              <w:spacing w:after="0" w:line="123" w:lineRule="exact"/>
              <w:rPr>
                <w:sz w:val="20"/>
                <w:szCs w:val="20"/>
                <w:color w:val="auto"/>
              </w:rPr>
            </w:pPr>
            <w:r>
              <w:rPr>
                <w:rFonts w:ascii="Arial" w:cs="Arial" w:eastAsia="Arial" w:hAnsi="Arial"/>
                <w:sz w:val="14"/>
                <w:szCs w:val="14"/>
                <w:color w:val="auto"/>
              </w:rPr>
              <w:t>$15,222</w:t>
            </w:r>
          </w:p>
        </w:tc>
        <w:tc>
          <w:tcPr>
            <w:tcW w:w="520" w:type="dxa"/>
            <w:vAlign w:val="bottom"/>
          </w:tcPr>
          <w:p>
            <w:pPr>
              <w:spacing w:after="0"/>
              <w:rPr>
                <w:sz w:val="10"/>
                <w:szCs w:val="10"/>
                <w:color w:val="auto"/>
              </w:rPr>
            </w:pPr>
          </w:p>
        </w:tc>
        <w:tc>
          <w:tcPr>
            <w:tcW w:w="1060" w:type="dxa"/>
            <w:vAlign w:val="bottom"/>
            <w:tcBorders>
              <w:top w:val="single" w:sz="8" w:color="auto"/>
            </w:tcBorders>
          </w:tcPr>
          <w:p>
            <w:pPr>
              <w:jc w:val="right"/>
              <w:ind w:right="268"/>
              <w:spacing w:after="0" w:line="123" w:lineRule="exact"/>
              <w:rPr>
                <w:sz w:val="20"/>
                <w:szCs w:val="20"/>
                <w:color w:val="auto"/>
              </w:rPr>
            </w:pPr>
            <w:r>
              <w:rPr>
                <w:rFonts w:ascii="Arial" w:cs="Arial" w:eastAsia="Arial" w:hAnsi="Arial"/>
                <w:sz w:val="14"/>
                <w:szCs w:val="14"/>
                <w:color w:val="auto"/>
              </w:rPr>
              <w:t>$ 9,567</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Non-GAAP adjustments:</w:t>
            </w: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Depreciation and intangible asset amortization</w:t>
            </w: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140"/>
              <w:spacing w:after="0" w:line="149" w:lineRule="exact"/>
              <w:rPr>
                <w:sz w:val="20"/>
                <w:szCs w:val="20"/>
                <w:color w:val="auto"/>
              </w:rPr>
            </w:pPr>
            <w:r>
              <w:rPr>
                <w:rFonts w:ascii="Arial" w:cs="Arial" w:eastAsia="Arial" w:hAnsi="Arial"/>
                <w:sz w:val="14"/>
                <w:szCs w:val="14"/>
                <w:color w:val="auto"/>
              </w:rPr>
              <w:t>Expense</w:t>
            </w: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9,431</w:t>
            </w:r>
          </w:p>
        </w:tc>
        <w:tc>
          <w:tcPr>
            <w:tcW w:w="15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8,676</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0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(1,146)</w:t>
            </w:r>
          </w:p>
        </w:tc>
        <w:tc>
          <w:tcPr>
            <w:tcW w:w="15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Interest (income) expense, net</w:t>
            </w: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4,480</w:t>
            </w:r>
          </w:p>
        </w:tc>
        <w:tc>
          <w:tcPr>
            <w:tcW w:w="15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4,087</w:t>
            </w:r>
          </w:p>
        </w:tc>
        <w:tc>
          <w:tcPr>
            <w:tcW w:w="15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5,380</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Acquisition-related charges</w:t>
            </w: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555</w:t>
            </w:r>
          </w:p>
        </w:tc>
        <w:tc>
          <w:tcPr>
            <w:tcW w:w="15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Employee termination and related costs</w:t>
            </w: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628</w:t>
            </w:r>
          </w:p>
        </w:tc>
        <w:tc>
          <w:tcPr>
            <w:tcW w:w="15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Charges associated with discontinued or withdrawn</w:t>
            </w: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140"/>
              <w:spacing w:after="0" w:line="149" w:lineRule="exact"/>
              <w:rPr>
                <w:sz w:val="20"/>
                <w:szCs w:val="20"/>
                <w:color w:val="auto"/>
              </w:rPr>
            </w:pPr>
            <w:r>
              <w:rPr>
                <w:rFonts w:ascii="Arial" w:cs="Arial" w:eastAsia="Arial" w:hAnsi="Arial"/>
                <w:sz w:val="14"/>
                <w:szCs w:val="14"/>
                <w:color w:val="auto"/>
              </w:rPr>
              <w:t>product lines</w:t>
            </w: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74</w:t>
            </w:r>
          </w:p>
        </w:tc>
        <w:tc>
          <w:tcPr>
            <w:tcW w:w="520" w:type="dxa"/>
            <w:vAlign w:val="bottom"/>
          </w:tcPr>
          <w:p>
            <w:pPr>
              <w:spacing w:after="0"/>
              <w:rPr>
                <w:sz w:val="12"/>
                <w:szCs w:val="12"/>
                <w:color w:val="auto"/>
              </w:rPr>
            </w:pP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00" w:type="dxa"/>
            <w:vAlign w:val="bottom"/>
          </w:tcPr>
          <w:p>
            <w:pPr>
              <w:spacing w:after="0"/>
              <w:rPr>
                <w:sz w:val="20"/>
                <w:szCs w:val="20"/>
                <w:color w:val="auto"/>
              </w:rPr>
            </w:pPr>
            <w:r>
              <w:rPr>
                <w:rFonts w:ascii="Arial" w:cs="Arial" w:eastAsia="Arial" w:hAnsi="Arial"/>
                <w:sz w:val="14"/>
                <w:szCs w:val="14"/>
                <w:color w:val="auto"/>
              </w:rPr>
              <w:t>Systems implementation charges</w:t>
            </w: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136</w:t>
            </w:r>
          </w:p>
        </w:tc>
        <w:tc>
          <w:tcPr>
            <w:tcW w:w="520" w:type="dxa"/>
            <w:vAlign w:val="bottom"/>
          </w:tcPr>
          <w:p>
            <w:pPr>
              <w:spacing w:after="0"/>
              <w:rPr>
                <w:sz w:val="15"/>
                <w:szCs w:val="15"/>
                <w:color w:val="auto"/>
              </w:rPr>
            </w:pPr>
          </w:p>
        </w:tc>
        <w:tc>
          <w:tcPr>
            <w:tcW w:w="10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912" w:orient="portrait"/>
          <w:cols w:equalWidth="0" w:num="1">
            <w:col w:w="11400"/>
          </w:cols>
          <w:pgMar w:left="240" w:top="130" w:right="259" w:bottom="0" w:gutter="0" w:footer="0" w:header="0"/>
        </w:sectPr>
      </w:pPr>
    </w:p>
    <w:bookmarkStart w:id="9" w:name="page10"/>
    <w:bookmarkEnd w:id="9"/>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20"/>
                <w:szCs w:val="20"/>
                <w:color w:val="auto"/>
              </w:rPr>
            </w:pPr>
            <w:r>
              <w:rPr>
                <w:rFonts w:ascii="Arial" w:cs="Arial" w:eastAsia="Arial" w:hAnsi="Arial"/>
                <w:sz w:val="14"/>
                <w:szCs w:val="14"/>
                <w:color w:val="auto"/>
              </w:rPr>
              <w:t>Facility consolidation, manufacturing and</w:t>
            </w: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49"/>
        </w:trPr>
        <w:tc>
          <w:tcPr>
            <w:tcW w:w="5840" w:type="dxa"/>
            <w:vAlign w:val="bottom"/>
          </w:tcPr>
          <w:p>
            <w:pPr>
              <w:ind w:left="140"/>
              <w:spacing w:after="0" w:line="149" w:lineRule="exact"/>
              <w:rPr>
                <w:sz w:val="20"/>
                <w:szCs w:val="20"/>
                <w:color w:val="auto"/>
              </w:rPr>
            </w:pPr>
            <w:r>
              <w:rPr>
                <w:rFonts w:ascii="Arial" w:cs="Arial" w:eastAsia="Arial" w:hAnsi="Arial"/>
                <w:sz w:val="14"/>
                <w:szCs w:val="14"/>
                <w:color w:val="auto"/>
              </w:rPr>
              <w:t>distribution transfer charges</w:t>
            </w:r>
          </w:p>
        </w:tc>
        <w:tc>
          <w:tcPr>
            <w:tcW w:w="3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w:t>
            </w: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w:t>
            </w: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Incremental professional and bank fees related to</w:t>
            </w: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9"/>
        </w:trPr>
        <w:tc>
          <w:tcPr>
            <w:tcW w:w="5840" w:type="dxa"/>
            <w:vAlign w:val="bottom"/>
          </w:tcPr>
          <w:p>
            <w:pPr>
              <w:ind w:left="140"/>
              <w:spacing w:after="0" w:line="149" w:lineRule="exact"/>
              <w:rPr>
                <w:sz w:val="20"/>
                <w:szCs w:val="20"/>
                <w:color w:val="auto"/>
              </w:rPr>
            </w:pPr>
            <w:r>
              <w:rPr>
                <w:rFonts w:ascii="Arial" w:cs="Arial" w:eastAsia="Arial" w:hAnsi="Arial"/>
                <w:sz w:val="14"/>
                <w:szCs w:val="14"/>
                <w:color w:val="auto"/>
              </w:rPr>
              <w:t>the possibility of obtaining a waiver</w:t>
            </w: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7"/>
        </w:trPr>
        <w:tc>
          <w:tcPr>
            <w:tcW w:w="5840" w:type="dxa"/>
            <w:vAlign w:val="bottom"/>
          </w:tcPr>
          <w:p>
            <w:pPr>
              <w:ind w:left="140"/>
              <w:spacing w:after="0"/>
              <w:rPr>
                <w:sz w:val="20"/>
                <w:szCs w:val="20"/>
                <w:color w:val="auto"/>
              </w:rPr>
            </w:pPr>
            <w:r>
              <w:rPr>
                <w:rFonts w:ascii="Arial" w:cs="Arial" w:eastAsia="Arial" w:hAnsi="Arial"/>
                <w:sz w:val="14"/>
                <w:szCs w:val="14"/>
                <w:color w:val="auto"/>
              </w:rPr>
              <w:t>under our revolving credit facility *</w:t>
            </w:r>
          </w:p>
        </w:tc>
        <w:tc>
          <w:tcPr>
            <w:tcW w:w="2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200</w:t>
            </w:r>
          </w:p>
        </w:tc>
      </w:tr>
      <w:tr>
        <w:trPr>
          <w:trHeight w:val="156"/>
        </w:trPr>
        <w:tc>
          <w:tcPr>
            <w:tcW w:w="5840" w:type="dxa"/>
            <w:vAlign w:val="bottom"/>
          </w:tcPr>
          <w:p>
            <w:pPr>
              <w:ind w:left="140"/>
              <w:spacing w:after="0" w:line="155" w:lineRule="exact"/>
              <w:rPr>
                <w:sz w:val="20"/>
                <w:szCs w:val="20"/>
                <w:color w:val="auto"/>
              </w:rPr>
            </w:pPr>
            <w:r>
              <w:rPr>
                <w:rFonts w:ascii="Arial" w:cs="Arial" w:eastAsia="Arial" w:hAnsi="Arial"/>
                <w:sz w:val="14"/>
                <w:szCs w:val="14"/>
                <w:color w:val="auto"/>
              </w:rPr>
              <w:t>Total of non-GAAP adjustments</w:t>
            </w:r>
          </w:p>
        </w:tc>
        <w:tc>
          <w:tcPr>
            <w:tcW w:w="26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18,571</w:t>
            </w:r>
          </w:p>
        </w:tc>
        <w:tc>
          <w:tcPr>
            <w:tcW w:w="116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24,221</w:t>
            </w:r>
          </w:p>
        </w:tc>
      </w:tr>
      <w:tr>
        <w:trPr>
          <w:trHeight w:val="137"/>
        </w:trPr>
        <w:tc>
          <w:tcPr>
            <w:tcW w:w="5840" w:type="dxa"/>
            <w:vAlign w:val="bottom"/>
          </w:tcPr>
          <w:p>
            <w:pPr>
              <w:spacing w:after="0" w:line="137" w:lineRule="exact"/>
              <w:rPr>
                <w:sz w:val="20"/>
                <w:szCs w:val="20"/>
                <w:color w:val="auto"/>
              </w:rPr>
            </w:pPr>
            <w:r>
              <w:rPr>
                <w:rFonts w:ascii="Arial" w:cs="Arial" w:eastAsia="Arial" w:hAnsi="Arial"/>
                <w:sz w:val="14"/>
                <w:szCs w:val="14"/>
                <w:color w:val="auto"/>
              </w:rPr>
              <w:t>Adjusted EBITDA</w:t>
            </w:r>
          </w:p>
        </w:tc>
        <w:tc>
          <w:tcPr>
            <w:tcW w:w="268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w w:val="88"/>
              </w:rPr>
              <w:t>33,793</w:t>
            </w:r>
          </w:p>
        </w:tc>
        <w:tc>
          <w:tcPr>
            <w:tcW w:w="116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37" w:lineRule="exact"/>
              <w:rPr>
                <w:sz w:val="20"/>
                <w:szCs w:val="20"/>
                <w:color w:val="auto"/>
              </w:rPr>
            </w:pPr>
            <w:r>
              <w:rPr>
                <w:rFonts w:ascii="Arial" w:cs="Arial" w:eastAsia="Arial" w:hAnsi="Arial"/>
                <w:sz w:val="14"/>
                <w:szCs w:val="14"/>
                <w:color w:val="auto"/>
                <w:w w:val="88"/>
              </w:rPr>
              <w:t>33,788</w:t>
            </w:r>
          </w:p>
        </w:tc>
      </w:tr>
      <w:tr>
        <w:trPr>
          <w:trHeight w:val="167"/>
        </w:trPr>
        <w:tc>
          <w:tcPr>
            <w:tcW w:w="5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3100" w:type="dxa"/>
            <w:vAlign w:val="bottom"/>
            <w:gridSpan w:val="2"/>
          </w:tcPr>
          <w:p>
            <w:pPr>
              <w:jc w:val="right"/>
              <w:spacing w:after="0"/>
              <w:rPr>
                <w:sz w:val="20"/>
                <w:szCs w:val="20"/>
                <w:color w:val="auto"/>
              </w:rPr>
            </w:pPr>
            <w:r>
              <w:rPr>
                <w:rFonts w:ascii="Arial" w:cs="Arial" w:eastAsia="Arial" w:hAnsi="Arial"/>
                <w:sz w:val="14"/>
                <w:szCs w:val="14"/>
                <w:color w:val="auto"/>
              </w:rPr>
              <w:t>3,843</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3,760</w:t>
            </w: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Adjusted EBITDA excluding stock-based compensation</w:t>
            </w:r>
          </w:p>
        </w:tc>
        <w:tc>
          <w:tcPr>
            <w:tcW w:w="26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37,636</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37,548</w:t>
            </w:r>
          </w:p>
        </w:tc>
      </w:tr>
    </w:tbl>
    <w:p>
      <w:pPr>
        <w:spacing w:after="0" w:line="186" w:lineRule="exact"/>
        <w:rPr>
          <w:sz w:val="20"/>
          <w:szCs w:val="20"/>
          <w:color w:val="auto"/>
        </w:rPr>
      </w:pPr>
    </w:p>
    <w:p>
      <w:pPr>
        <w:ind w:left="220" w:right="380" w:hanging="185"/>
        <w:spacing w:after="0" w:line="293" w:lineRule="auto"/>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$350 charge related to this item included $200 recorded in selling general and administrative, excluded here, and $150 recorded in interest expense, excluded in “interest (income) expense, net” above.</w:t>
      </w: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INTEGRA LIFESCIENCES HOLDINGS CORPORATION</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RECONCILIATION OF NON-GAAP ADJUSTMENTS – GAAP NET INCOME TO MEASURES OF ADJUSTED NET INCOME AND</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ADJUSTED EARNINGS PER SHARE</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 share amounts)</w:t>
      </w:r>
    </w:p>
    <w:p>
      <w:pPr>
        <w:spacing w:after="0" w:line="3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5"/>
          </w:tcPr>
          <w:p>
            <w:pPr>
              <w:jc w:val="right"/>
              <w:ind w:right="78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67"/>
        </w:trPr>
        <w:tc>
          <w:tcPr>
            <w:tcW w:w="8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w w:val="96"/>
              </w:rPr>
              <w:t>March 31,</w:t>
            </w: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00" w:type="dxa"/>
            <w:vAlign w:val="bottom"/>
            <w:vMerge w:val="restart"/>
          </w:tcPr>
          <w:p>
            <w:pPr>
              <w:spacing w:after="0"/>
              <w:rPr>
                <w:sz w:val="20"/>
                <w:szCs w:val="20"/>
                <w:color w:val="auto"/>
              </w:rPr>
            </w:pPr>
            <w:r>
              <w:rPr>
                <w:rFonts w:ascii="Arial" w:cs="Arial" w:eastAsia="Arial" w:hAnsi="Arial"/>
                <w:sz w:val="14"/>
                <w:szCs w:val="14"/>
                <w:color w:val="auto"/>
              </w:rPr>
              <w:t>GAAP net income</w:t>
            </w: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3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23" w:lineRule="exact"/>
              <w:rPr>
                <w:sz w:val="20"/>
                <w:szCs w:val="20"/>
                <w:color w:val="auto"/>
              </w:rPr>
            </w:pPr>
            <w:r>
              <w:rPr>
                <w:rFonts w:ascii="Arial" w:cs="Arial" w:eastAsia="Arial" w:hAnsi="Arial"/>
                <w:sz w:val="14"/>
                <w:szCs w:val="14"/>
                <w:color w:val="auto"/>
                <w:w w:val="88"/>
              </w:rPr>
              <w:t>15,222</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23" w:lineRule="exact"/>
              <w:rPr>
                <w:sz w:val="20"/>
                <w:szCs w:val="20"/>
                <w:color w:val="auto"/>
              </w:rPr>
            </w:pPr>
            <w:r>
              <w:rPr>
                <w:rFonts w:ascii="Arial" w:cs="Arial" w:eastAsia="Arial" w:hAnsi="Arial"/>
                <w:sz w:val="14"/>
                <w:szCs w:val="14"/>
                <w:color w:val="auto"/>
              </w:rPr>
              <w:t>9,567</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Non-GAAP adjustments:</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Acquisition-related charges</w:t>
            </w: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2,007</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Employee termination and related costs</w:t>
            </w: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Charges associated with discontinued or withdrawn</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product lines</w:t>
            </w: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Systems implementation charges</w:t>
            </w: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Facility consolidation, manufacturing and</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distribution transfer charges</w:t>
            </w: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Incremental professional and bank fees related to</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the possibility of obtaining a waiver</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under our revolving credit facility</w:t>
            </w:r>
          </w:p>
        </w:tc>
        <w:tc>
          <w:tcPr>
            <w:tcW w:w="320" w:type="dxa"/>
            <w:vAlign w:val="bottom"/>
          </w:tcPr>
          <w:p>
            <w:pPr>
              <w:spacing w:after="0"/>
              <w:rPr>
                <w:sz w:val="12"/>
                <w:szCs w:val="12"/>
                <w:color w:val="auto"/>
              </w:rPr>
            </w:pPr>
          </w:p>
        </w:tc>
        <w:tc>
          <w:tcPr>
            <w:tcW w:w="7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Charges related to restructuring</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European subsidiaries</w:t>
            </w:r>
          </w:p>
        </w:tc>
        <w:tc>
          <w:tcPr>
            <w:tcW w:w="320" w:type="dxa"/>
            <w:vAlign w:val="bottom"/>
          </w:tcPr>
          <w:p>
            <w:pPr>
              <w:spacing w:after="0"/>
              <w:rPr>
                <w:sz w:val="12"/>
                <w:szCs w:val="12"/>
                <w:color w:val="auto"/>
              </w:rPr>
            </w:pPr>
          </w:p>
        </w:tc>
        <w:tc>
          <w:tcPr>
            <w:tcW w:w="7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1,876</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(Gain) related to early extinguishment of</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convertible notes</w:t>
            </w:r>
          </w:p>
        </w:tc>
        <w:tc>
          <w:tcPr>
            <w:tcW w:w="320" w:type="dxa"/>
            <w:vAlign w:val="bottom"/>
          </w:tcPr>
          <w:p>
            <w:pPr>
              <w:spacing w:after="0"/>
              <w:rPr>
                <w:sz w:val="12"/>
                <w:szCs w:val="12"/>
                <w:color w:val="auto"/>
              </w:rPr>
            </w:pPr>
          </w:p>
        </w:tc>
        <w:tc>
          <w:tcPr>
            <w:tcW w:w="7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4"/>
              </w:rPr>
              <w:t>(1,213)</w:t>
            </w: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Non-cash interest expense related to the</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implementation of FSP APB 14-1</w:t>
            </w: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2,053</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2,762</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Intangible asset amortization expense</w:t>
            </w: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4,482</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4,876</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spacing w:after="0" w:line="149" w:lineRule="exact"/>
              <w:rPr>
                <w:sz w:val="20"/>
                <w:szCs w:val="20"/>
                <w:color w:val="auto"/>
              </w:rPr>
            </w:pPr>
            <w:r>
              <w:rPr>
                <w:rFonts w:ascii="Arial" w:cs="Arial" w:eastAsia="Arial" w:hAnsi="Arial"/>
                <w:sz w:val="14"/>
                <w:szCs w:val="14"/>
                <w:color w:val="auto"/>
              </w:rPr>
              <w:t>Income tax expense related to</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above adjustments, quarterly adjustments to</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income tax expense related to the</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cumulative impact of changes in estimated tax</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tcPr>
          <w:p>
            <w:pPr>
              <w:ind w:left="140"/>
              <w:spacing w:after="0" w:line="149" w:lineRule="exact"/>
              <w:rPr>
                <w:sz w:val="20"/>
                <w:szCs w:val="20"/>
                <w:color w:val="auto"/>
              </w:rPr>
            </w:pPr>
            <w:r>
              <w:rPr>
                <w:rFonts w:ascii="Arial" w:cs="Arial" w:eastAsia="Arial" w:hAnsi="Arial"/>
                <w:sz w:val="14"/>
                <w:szCs w:val="14"/>
                <w:color w:val="auto"/>
              </w:rPr>
              <w:t>rates and certain infrequently occurring items</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00" w:type="dxa"/>
            <w:vAlign w:val="bottom"/>
          </w:tcPr>
          <w:p>
            <w:pPr>
              <w:ind w:left="140"/>
              <w:spacing w:after="0"/>
              <w:rPr>
                <w:sz w:val="20"/>
                <w:szCs w:val="20"/>
                <w:color w:val="auto"/>
              </w:rPr>
            </w:pPr>
            <w:r>
              <w:rPr>
                <w:rFonts w:ascii="Arial" w:cs="Arial" w:eastAsia="Arial" w:hAnsi="Arial"/>
                <w:sz w:val="14"/>
                <w:szCs w:val="14"/>
                <w:color w:val="auto"/>
              </w:rPr>
              <w:t>that affected the reported tax rate</w:t>
            </w:r>
          </w:p>
        </w:tc>
        <w:tc>
          <w:tcPr>
            <w:tcW w:w="320" w:type="dxa"/>
            <w:vAlign w:val="bottom"/>
          </w:tcPr>
          <w:p>
            <w:pPr>
              <w:spacing w:after="0"/>
              <w:rPr>
                <w:sz w:val="14"/>
                <w:szCs w:val="14"/>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4"/>
                <w:szCs w:val="14"/>
                <w:color w:val="auto"/>
                <w:w w:val="94"/>
              </w:rPr>
              <w:t>(4,458)</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94"/>
              </w:rPr>
              <w:t>(3,843)</w:t>
            </w:r>
          </w:p>
        </w:tc>
        <w:tc>
          <w:tcPr>
            <w:tcW w:w="0" w:type="dxa"/>
            <w:vAlign w:val="bottom"/>
          </w:tcPr>
          <w:p>
            <w:pPr>
              <w:spacing w:after="0"/>
              <w:rPr>
                <w:sz w:val="1"/>
                <w:szCs w:val="1"/>
                <w:color w:val="auto"/>
              </w:rPr>
            </w:pPr>
          </w:p>
        </w:tc>
      </w:tr>
      <w:tr>
        <w:trPr>
          <w:trHeight w:val="156"/>
        </w:trPr>
        <w:tc>
          <w:tcPr>
            <w:tcW w:w="8100" w:type="dxa"/>
            <w:vAlign w:val="bottom"/>
          </w:tcPr>
          <w:p>
            <w:pPr>
              <w:ind w:left="140"/>
              <w:spacing w:after="0" w:line="155" w:lineRule="exact"/>
              <w:rPr>
                <w:sz w:val="20"/>
                <w:szCs w:val="20"/>
                <w:color w:val="auto"/>
              </w:rPr>
            </w:pPr>
            <w:r>
              <w:rPr>
                <w:rFonts w:ascii="Arial" w:cs="Arial" w:eastAsia="Arial" w:hAnsi="Arial"/>
                <w:sz w:val="14"/>
                <w:szCs w:val="14"/>
                <w:color w:val="auto"/>
              </w:rPr>
              <w:t>Total of non-GAAP adjustments</w:t>
            </w:r>
          </w:p>
        </w:tc>
        <w:tc>
          <w:tcPr>
            <w:tcW w:w="3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3,796</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7,468</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100" w:type="dxa"/>
            <w:vAlign w:val="bottom"/>
          </w:tcPr>
          <w:p>
            <w:pPr>
              <w:spacing w:after="0" w:line="137" w:lineRule="exact"/>
              <w:rPr>
                <w:sz w:val="20"/>
                <w:szCs w:val="20"/>
                <w:color w:val="auto"/>
              </w:rPr>
            </w:pPr>
            <w:r>
              <w:rPr>
                <w:rFonts w:ascii="Arial" w:cs="Arial" w:eastAsia="Arial" w:hAnsi="Arial"/>
                <w:sz w:val="14"/>
                <w:szCs w:val="14"/>
                <w:color w:val="auto"/>
              </w:rPr>
              <w:t>Adjusted net income</w:t>
            </w:r>
          </w:p>
        </w:tc>
        <w:tc>
          <w:tcPr>
            <w:tcW w:w="32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37" w:lineRule="exact"/>
              <w:rPr>
                <w:sz w:val="20"/>
                <w:szCs w:val="20"/>
                <w:color w:val="auto"/>
              </w:rPr>
            </w:pPr>
            <w:r>
              <w:rPr>
                <w:rFonts w:ascii="Arial" w:cs="Arial" w:eastAsia="Arial" w:hAnsi="Arial"/>
                <w:sz w:val="14"/>
                <w:szCs w:val="14"/>
                <w:color w:val="auto"/>
                <w:w w:val="88"/>
              </w:rPr>
              <w:t>19,018</w:t>
            </w:r>
          </w:p>
        </w:tc>
        <w:tc>
          <w:tcPr>
            <w:tcW w:w="320" w:type="dxa"/>
            <w:vAlign w:val="bottom"/>
          </w:tcPr>
          <w:p>
            <w:pPr>
              <w:spacing w:after="0"/>
              <w:rPr>
                <w:sz w:val="11"/>
                <w:szCs w:val="11"/>
                <w:color w:val="auto"/>
              </w:rPr>
            </w:pPr>
          </w:p>
        </w:tc>
        <w:tc>
          <w:tcPr>
            <w:tcW w:w="86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37" w:lineRule="exact"/>
              <w:rPr>
                <w:sz w:val="20"/>
                <w:szCs w:val="20"/>
                <w:color w:val="auto"/>
              </w:rPr>
            </w:pPr>
            <w:r>
              <w:rPr>
                <w:rFonts w:ascii="Arial" w:cs="Arial" w:eastAsia="Arial" w:hAnsi="Arial"/>
                <w:sz w:val="14"/>
                <w:szCs w:val="14"/>
                <w:color w:val="auto"/>
                <w:w w:val="88"/>
              </w:rPr>
              <w:t>17,035</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100" w:type="dxa"/>
            <w:vAlign w:val="bottom"/>
          </w:tcPr>
          <w:p>
            <w:pPr>
              <w:spacing w:after="0"/>
              <w:rPr>
                <w:sz w:val="20"/>
                <w:szCs w:val="20"/>
                <w:color w:val="auto"/>
              </w:rPr>
            </w:pPr>
            <w:r>
              <w:rPr>
                <w:rFonts w:ascii="Arial" w:cs="Arial" w:eastAsia="Arial" w:hAnsi="Arial"/>
                <w:sz w:val="14"/>
                <w:szCs w:val="14"/>
                <w:color w:val="auto"/>
              </w:rPr>
              <w:t>Adjusted diluted net income per share *</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w:t>
            </w:r>
          </w:p>
        </w:tc>
        <w:tc>
          <w:tcPr>
            <w:tcW w:w="3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 for</w:t>
            </w: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1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100" w:type="dxa"/>
            <w:vAlign w:val="bottom"/>
          </w:tcPr>
          <w:p>
            <w:pPr>
              <w:ind w:left="140"/>
              <w:spacing w:after="0"/>
              <w:rPr>
                <w:sz w:val="20"/>
                <w:szCs w:val="20"/>
                <w:color w:val="auto"/>
              </w:rPr>
            </w:pPr>
            <w:r>
              <w:rPr>
                <w:rFonts w:ascii="Arial" w:cs="Arial" w:eastAsia="Arial" w:hAnsi="Arial"/>
                <w:sz w:val="14"/>
                <w:szCs w:val="14"/>
                <w:color w:val="auto"/>
              </w:rPr>
              <w:t>diluted net income per share</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29,982</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29,252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20" w:hanging="185"/>
        <w:spacing w:after="0" w:line="278"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calculation of earnings per share for common stock shown above excludes the income attributable to the unvested restricted share units from the numerator and excludes the dilutive impact of those units from the denominator. The authoritative guidance had an insignificant impact (less than $0.01 per share) on diluted net income per share for both periods.</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INTEGRA LIFESCIENCES HOLDINGS CORPORATION</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CONDENSED BALANCE SHEET DATA</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thousands)</w:t>
      </w:r>
    </w:p>
    <w:p>
      <w:pPr>
        <w:spacing w:after="0" w:line="30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780" w:type="dxa"/>
            <w:vAlign w:val="bottom"/>
          </w:tcPr>
          <w:p>
            <w:pPr>
              <w:jc w:val="right"/>
              <w:ind w:right="528"/>
              <w:spacing w:after="0"/>
              <w:rPr>
                <w:sz w:val="20"/>
                <w:szCs w:val="20"/>
                <w:color w:val="auto"/>
              </w:rPr>
            </w:pPr>
            <w:r>
              <w:rPr>
                <w:rFonts w:ascii="Arial" w:cs="Arial" w:eastAsia="Arial" w:hAnsi="Arial"/>
                <w:sz w:val="14"/>
                <w:szCs w:val="14"/>
                <w:color w:val="auto"/>
              </w:rPr>
              <w:t>March 31,</w:t>
            </w:r>
          </w:p>
        </w:tc>
        <w:tc>
          <w:tcPr>
            <w:tcW w:w="500" w:type="dxa"/>
            <w:vAlign w:val="bottom"/>
          </w:tcPr>
          <w:p>
            <w:pPr>
              <w:spacing w:after="0"/>
              <w:rPr>
                <w:sz w:val="14"/>
                <w:szCs w:val="14"/>
                <w:color w:val="auto"/>
              </w:rPr>
            </w:pPr>
          </w:p>
        </w:tc>
        <w:tc>
          <w:tcPr>
            <w:tcW w:w="1840" w:type="dxa"/>
            <w:vAlign w:val="bottom"/>
          </w:tcPr>
          <w:p>
            <w:pPr>
              <w:jc w:val="right"/>
              <w:ind w:right="44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6720" w:type="dxa"/>
            <w:vAlign w:val="bottom"/>
            <w:vMerge w:val="restart"/>
          </w:tcPr>
          <w:p>
            <w:pPr>
              <w:spacing w:after="0"/>
              <w:rPr>
                <w:sz w:val="20"/>
                <w:szCs w:val="20"/>
                <w:color w:val="auto"/>
              </w:rPr>
            </w:pPr>
            <w:r>
              <w:rPr>
                <w:rFonts w:ascii="Arial" w:cs="Arial" w:eastAsia="Arial" w:hAnsi="Arial"/>
                <w:sz w:val="14"/>
                <w:szCs w:val="14"/>
                <w:color w:val="auto"/>
              </w:rPr>
              <w:t>Cash and cash equivalents</w:t>
            </w:r>
          </w:p>
        </w:tc>
        <w:tc>
          <w:tcPr>
            <w:tcW w:w="1780" w:type="dxa"/>
            <w:vAlign w:val="bottom"/>
          </w:tcPr>
          <w:p>
            <w:pPr>
              <w:jc w:val="right"/>
              <w:ind w:right="688"/>
              <w:spacing w:after="0"/>
              <w:rPr>
                <w:sz w:val="20"/>
                <w:szCs w:val="20"/>
                <w:color w:val="auto"/>
              </w:rPr>
            </w:pPr>
            <w:r>
              <w:rPr>
                <w:rFonts w:ascii="Arial" w:cs="Arial" w:eastAsia="Arial" w:hAnsi="Arial"/>
                <w:sz w:val="14"/>
                <w:szCs w:val="14"/>
                <w:color w:val="auto"/>
              </w:rPr>
              <w:t>2010</w:t>
            </w:r>
          </w:p>
        </w:tc>
        <w:tc>
          <w:tcPr>
            <w:tcW w:w="2340" w:type="dxa"/>
            <w:vAlign w:val="bottom"/>
            <w:gridSpan w:val="2"/>
          </w:tcPr>
          <w:p>
            <w:pPr>
              <w:jc w:val="right"/>
              <w:ind w:right="70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23"/>
        </w:trPr>
        <w:tc>
          <w:tcPr>
            <w:tcW w:w="6720" w:type="dxa"/>
            <w:vAlign w:val="bottom"/>
            <w:vMerge w:val="continue"/>
          </w:tcPr>
          <w:p>
            <w:pPr>
              <w:spacing w:after="0"/>
              <w:rPr>
                <w:sz w:val="10"/>
                <w:szCs w:val="10"/>
                <w:color w:val="auto"/>
              </w:rPr>
            </w:pPr>
          </w:p>
        </w:tc>
        <w:tc>
          <w:tcPr>
            <w:tcW w:w="1780" w:type="dxa"/>
            <w:vAlign w:val="bottom"/>
            <w:tcBorders>
              <w:top w:val="single" w:sz="8" w:color="auto"/>
            </w:tcBorders>
          </w:tcPr>
          <w:p>
            <w:pPr>
              <w:jc w:val="right"/>
              <w:ind w:right="628"/>
              <w:spacing w:after="0" w:line="123" w:lineRule="exact"/>
              <w:rPr>
                <w:sz w:val="20"/>
                <w:szCs w:val="20"/>
                <w:color w:val="auto"/>
              </w:rPr>
            </w:pPr>
            <w:r>
              <w:rPr>
                <w:rFonts w:ascii="Arial" w:cs="Arial" w:eastAsia="Arial" w:hAnsi="Arial"/>
                <w:sz w:val="14"/>
                <w:szCs w:val="14"/>
                <w:color w:val="auto"/>
              </w:rPr>
              <w:t>$ 81,674</w:t>
            </w:r>
          </w:p>
        </w:tc>
        <w:tc>
          <w:tcPr>
            <w:tcW w:w="500" w:type="dxa"/>
            <w:vAlign w:val="bottom"/>
          </w:tcPr>
          <w:p>
            <w:pPr>
              <w:spacing w:after="0"/>
              <w:rPr>
                <w:sz w:val="10"/>
                <w:szCs w:val="10"/>
                <w:color w:val="auto"/>
              </w:rPr>
            </w:pPr>
          </w:p>
        </w:tc>
        <w:tc>
          <w:tcPr>
            <w:tcW w:w="1840" w:type="dxa"/>
            <w:vAlign w:val="bottom"/>
            <w:tcBorders>
              <w:top w:val="single" w:sz="8" w:color="auto"/>
            </w:tcBorders>
          </w:tcPr>
          <w:p>
            <w:pPr>
              <w:jc w:val="right"/>
              <w:ind w:right="668"/>
              <w:spacing w:after="0" w:line="123" w:lineRule="exact"/>
              <w:rPr>
                <w:sz w:val="20"/>
                <w:szCs w:val="20"/>
                <w:color w:val="auto"/>
              </w:rPr>
            </w:pPr>
            <w:r>
              <w:rPr>
                <w:rFonts w:ascii="Arial" w:cs="Arial" w:eastAsia="Arial" w:hAnsi="Arial"/>
                <w:sz w:val="14"/>
                <w:szCs w:val="14"/>
                <w:color w:val="auto"/>
              </w:rPr>
              <w:t>$ 71,891</w:t>
            </w:r>
          </w:p>
        </w:tc>
        <w:tc>
          <w:tcPr>
            <w:tcW w:w="0" w:type="dxa"/>
            <w:vAlign w:val="bottom"/>
          </w:tcPr>
          <w:p>
            <w:pPr>
              <w:spacing w:after="0"/>
              <w:rPr>
                <w:sz w:val="1"/>
                <w:szCs w:val="1"/>
                <w:color w:val="auto"/>
              </w:rPr>
            </w:pPr>
          </w:p>
        </w:tc>
      </w:tr>
      <w:tr>
        <w:trPr>
          <w:trHeight w:val="149"/>
        </w:trPr>
        <w:tc>
          <w:tcPr>
            <w:tcW w:w="6720" w:type="dxa"/>
            <w:vAlign w:val="bottom"/>
          </w:tcPr>
          <w:p>
            <w:pPr>
              <w:spacing w:after="0" w:line="149" w:lineRule="exact"/>
              <w:rPr>
                <w:sz w:val="20"/>
                <w:szCs w:val="20"/>
                <w:color w:val="auto"/>
              </w:rPr>
            </w:pPr>
            <w:r>
              <w:rPr>
                <w:rFonts w:ascii="Arial" w:cs="Arial" w:eastAsia="Arial" w:hAnsi="Arial"/>
                <w:sz w:val="14"/>
                <w:szCs w:val="14"/>
                <w:color w:val="auto"/>
              </w:rPr>
              <w:t>Accounts receivable, net</w:t>
            </w:r>
          </w:p>
        </w:tc>
        <w:tc>
          <w:tcPr>
            <w:tcW w:w="178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98,532</w:t>
            </w:r>
          </w:p>
        </w:tc>
        <w:tc>
          <w:tcPr>
            <w:tcW w:w="2340" w:type="dxa"/>
            <w:vAlign w:val="bottom"/>
            <w:gridSpan w:val="2"/>
          </w:tcPr>
          <w:p>
            <w:pPr>
              <w:jc w:val="right"/>
              <w:ind w:right="668"/>
              <w:spacing w:after="0" w:line="149" w:lineRule="exact"/>
              <w:rPr>
                <w:sz w:val="20"/>
                <w:szCs w:val="20"/>
                <w:color w:val="auto"/>
              </w:rPr>
            </w:pPr>
            <w:r>
              <w:rPr>
                <w:rFonts w:ascii="Arial" w:cs="Arial" w:eastAsia="Arial" w:hAnsi="Arial"/>
                <w:sz w:val="14"/>
                <w:szCs w:val="14"/>
                <w:color w:val="auto"/>
              </w:rPr>
              <w:t>103,228</w:t>
            </w:r>
          </w:p>
        </w:tc>
        <w:tc>
          <w:tcPr>
            <w:tcW w:w="0" w:type="dxa"/>
            <w:vAlign w:val="bottom"/>
          </w:tcPr>
          <w:p>
            <w:pPr>
              <w:spacing w:after="0"/>
              <w:rPr>
                <w:sz w:val="1"/>
                <w:szCs w:val="1"/>
                <w:color w:val="auto"/>
              </w:rPr>
            </w:pPr>
          </w:p>
        </w:tc>
      </w:tr>
      <w:tr>
        <w:trPr>
          <w:trHeight w:val="149"/>
        </w:trPr>
        <w:tc>
          <w:tcPr>
            <w:tcW w:w="6720" w:type="dxa"/>
            <w:vAlign w:val="bottom"/>
          </w:tcPr>
          <w:p>
            <w:pPr>
              <w:spacing w:after="0" w:line="149" w:lineRule="exact"/>
              <w:rPr>
                <w:sz w:val="20"/>
                <w:szCs w:val="20"/>
                <w:color w:val="auto"/>
              </w:rPr>
            </w:pPr>
            <w:r>
              <w:rPr>
                <w:rFonts w:ascii="Arial" w:cs="Arial" w:eastAsia="Arial" w:hAnsi="Arial"/>
                <w:sz w:val="14"/>
                <w:szCs w:val="14"/>
                <w:color w:val="auto"/>
              </w:rPr>
              <w:t>Inventory, net</w:t>
            </w:r>
          </w:p>
        </w:tc>
        <w:tc>
          <w:tcPr>
            <w:tcW w:w="178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142,113</w:t>
            </w:r>
          </w:p>
        </w:tc>
        <w:tc>
          <w:tcPr>
            <w:tcW w:w="2340" w:type="dxa"/>
            <w:vAlign w:val="bottom"/>
            <w:gridSpan w:val="2"/>
          </w:tcPr>
          <w:p>
            <w:pPr>
              <w:jc w:val="right"/>
              <w:ind w:right="668"/>
              <w:spacing w:after="0" w:line="149" w:lineRule="exact"/>
              <w:rPr>
                <w:sz w:val="20"/>
                <w:szCs w:val="20"/>
                <w:color w:val="auto"/>
              </w:rPr>
            </w:pPr>
            <w:r>
              <w:rPr>
                <w:rFonts w:ascii="Arial" w:cs="Arial" w:eastAsia="Arial" w:hAnsi="Arial"/>
                <w:sz w:val="14"/>
                <w:szCs w:val="14"/>
                <w:color w:val="auto"/>
              </w:rPr>
              <w:t>140,240</w:t>
            </w:r>
          </w:p>
        </w:tc>
        <w:tc>
          <w:tcPr>
            <w:tcW w:w="0" w:type="dxa"/>
            <w:vAlign w:val="bottom"/>
          </w:tcPr>
          <w:p>
            <w:pPr>
              <w:spacing w:after="0"/>
              <w:rPr>
                <w:sz w:val="1"/>
                <w:szCs w:val="1"/>
                <w:color w:val="auto"/>
              </w:rPr>
            </w:pPr>
          </w:p>
        </w:tc>
      </w:tr>
      <w:tr>
        <w:trPr>
          <w:trHeight w:val="149"/>
        </w:trPr>
        <w:tc>
          <w:tcPr>
            <w:tcW w:w="6720" w:type="dxa"/>
            <w:vAlign w:val="bottom"/>
          </w:tcPr>
          <w:p>
            <w:pPr>
              <w:spacing w:after="0" w:line="149" w:lineRule="exact"/>
              <w:rPr>
                <w:sz w:val="20"/>
                <w:szCs w:val="20"/>
                <w:color w:val="auto"/>
              </w:rPr>
            </w:pPr>
            <w:r>
              <w:rPr>
                <w:rFonts w:ascii="Arial" w:cs="Arial" w:eastAsia="Arial" w:hAnsi="Arial"/>
                <w:sz w:val="14"/>
                <w:szCs w:val="14"/>
                <w:color w:val="auto"/>
              </w:rPr>
              <w:t>Bank line of credit</w:t>
            </w:r>
          </w:p>
        </w:tc>
        <w:tc>
          <w:tcPr>
            <w:tcW w:w="178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145,000</w:t>
            </w:r>
          </w:p>
        </w:tc>
        <w:tc>
          <w:tcPr>
            <w:tcW w:w="2340" w:type="dxa"/>
            <w:vAlign w:val="bottom"/>
            <w:gridSpan w:val="2"/>
          </w:tcPr>
          <w:p>
            <w:pPr>
              <w:jc w:val="right"/>
              <w:ind w:right="668"/>
              <w:spacing w:after="0" w:line="149" w:lineRule="exact"/>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149"/>
        </w:trPr>
        <w:tc>
          <w:tcPr>
            <w:tcW w:w="6720" w:type="dxa"/>
            <w:vAlign w:val="bottom"/>
          </w:tcPr>
          <w:p>
            <w:pPr>
              <w:spacing w:after="0" w:line="149" w:lineRule="exact"/>
              <w:rPr>
                <w:sz w:val="20"/>
                <w:szCs w:val="20"/>
                <w:color w:val="auto"/>
              </w:rPr>
            </w:pPr>
            <w:r>
              <w:rPr>
                <w:rFonts w:ascii="Arial" w:cs="Arial" w:eastAsia="Arial" w:hAnsi="Arial"/>
                <w:sz w:val="14"/>
                <w:szCs w:val="14"/>
                <w:color w:val="auto"/>
              </w:rPr>
              <w:t>Convertible securities</w:t>
            </w:r>
          </w:p>
        </w:tc>
        <w:tc>
          <w:tcPr>
            <w:tcW w:w="178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227,783</w:t>
            </w:r>
          </w:p>
        </w:tc>
        <w:tc>
          <w:tcPr>
            <w:tcW w:w="2340" w:type="dxa"/>
            <w:vAlign w:val="bottom"/>
            <w:gridSpan w:val="2"/>
          </w:tcPr>
          <w:p>
            <w:pPr>
              <w:jc w:val="right"/>
              <w:ind w:right="668"/>
              <w:spacing w:after="0" w:line="149" w:lineRule="exact"/>
              <w:rPr>
                <w:sz w:val="20"/>
                <w:szCs w:val="20"/>
                <w:color w:val="auto"/>
              </w:rPr>
            </w:pPr>
            <w:r>
              <w:rPr>
                <w:rFonts w:ascii="Arial" w:cs="Arial" w:eastAsia="Arial" w:hAnsi="Arial"/>
                <w:sz w:val="14"/>
                <w:szCs w:val="14"/>
                <w:color w:val="auto"/>
              </w:rPr>
              <w:t>225,514</w:t>
            </w:r>
          </w:p>
        </w:tc>
        <w:tc>
          <w:tcPr>
            <w:tcW w:w="0" w:type="dxa"/>
            <w:vAlign w:val="bottom"/>
          </w:tcPr>
          <w:p>
            <w:pPr>
              <w:spacing w:after="0"/>
              <w:rPr>
                <w:sz w:val="1"/>
                <w:szCs w:val="1"/>
                <w:color w:val="auto"/>
              </w:rPr>
            </w:pPr>
          </w:p>
        </w:tc>
      </w:tr>
      <w:tr>
        <w:trPr>
          <w:trHeight w:val="182"/>
        </w:trPr>
        <w:tc>
          <w:tcPr>
            <w:tcW w:w="6720" w:type="dxa"/>
            <w:vAlign w:val="bottom"/>
          </w:tcPr>
          <w:p>
            <w:pPr>
              <w:spacing w:after="0"/>
              <w:rPr>
                <w:sz w:val="20"/>
                <w:szCs w:val="20"/>
                <w:color w:val="auto"/>
              </w:rPr>
            </w:pPr>
            <w:r>
              <w:rPr>
                <w:rFonts w:ascii="Arial" w:cs="Arial" w:eastAsia="Arial" w:hAnsi="Arial"/>
                <w:sz w:val="14"/>
                <w:szCs w:val="14"/>
                <w:color w:val="auto"/>
              </w:rPr>
              <w:t>Stockholders’ equity</w:t>
            </w:r>
          </w:p>
        </w:tc>
        <w:tc>
          <w:tcPr>
            <w:tcW w:w="1780" w:type="dxa"/>
            <w:vAlign w:val="bottom"/>
          </w:tcPr>
          <w:p>
            <w:pPr>
              <w:jc w:val="right"/>
              <w:ind w:right="628"/>
              <w:spacing w:after="0"/>
              <w:rPr>
                <w:sz w:val="20"/>
                <w:szCs w:val="20"/>
                <w:color w:val="auto"/>
              </w:rPr>
            </w:pPr>
            <w:r>
              <w:rPr>
                <w:rFonts w:ascii="Arial" w:cs="Arial" w:eastAsia="Arial" w:hAnsi="Arial"/>
                <w:sz w:val="14"/>
                <w:szCs w:val="14"/>
                <w:color w:val="auto"/>
              </w:rPr>
              <w:t>457,920</w:t>
            </w:r>
          </w:p>
        </w:tc>
        <w:tc>
          <w:tcPr>
            <w:tcW w:w="2340" w:type="dxa"/>
            <w:vAlign w:val="bottom"/>
            <w:gridSpan w:val="2"/>
          </w:tcPr>
          <w:p>
            <w:pPr>
              <w:jc w:val="right"/>
              <w:ind w:right="668"/>
              <w:spacing w:after="0"/>
              <w:rPr>
                <w:sz w:val="20"/>
                <w:szCs w:val="20"/>
                <w:color w:val="auto"/>
              </w:rPr>
            </w:pPr>
            <w:r>
              <w:rPr>
                <w:rFonts w:ascii="Arial" w:cs="Arial" w:eastAsia="Arial" w:hAnsi="Arial"/>
                <w:sz w:val="14"/>
                <w:szCs w:val="14"/>
                <w:color w:val="auto"/>
              </w:rPr>
              <w:t>444,885</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RECONCILIATION OF NON-GAAP ADJUSTMENTS – GUIDANCE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thousands, except per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3"/>
          </w:tcPr>
          <w:p>
            <w:pPr>
              <w:jc w:val="center"/>
              <w:ind w:right="900"/>
              <w:spacing w:after="0"/>
              <w:rPr>
                <w:sz w:val="20"/>
                <w:szCs w:val="20"/>
                <w:color w:val="auto"/>
              </w:rPr>
            </w:pPr>
            <w:r>
              <w:rPr>
                <w:rFonts w:ascii="Arial" w:cs="Arial" w:eastAsia="Arial" w:hAnsi="Arial"/>
                <w:sz w:val="14"/>
                <w:szCs w:val="14"/>
                <w:color w:val="auto"/>
                <w:w w:val="90"/>
              </w:rPr>
              <w:t>Projected Year Ended</w:t>
            </w:r>
          </w:p>
        </w:tc>
      </w:tr>
      <w:tr>
        <w:trPr>
          <w:trHeight w:val="167"/>
        </w:trPr>
        <w:tc>
          <w:tcPr>
            <w:tcW w:w="7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color w:val="auto"/>
                <w:w w:val="91"/>
              </w:rPr>
              <w:t>December 31, 2010</w:t>
            </w:r>
          </w:p>
        </w:tc>
      </w:tr>
      <w:tr>
        <w:trPr>
          <w:trHeight w:val="156"/>
        </w:trPr>
        <w:tc>
          <w:tcPr>
            <w:tcW w:w="7780" w:type="dxa"/>
            <w:vAlign w:val="bottom"/>
          </w:tcPr>
          <w:p>
            <w:pPr>
              <w:spacing w:after="0"/>
              <w:rPr>
                <w:sz w:val="13"/>
                <w:szCs w:val="13"/>
                <w:color w:val="auto"/>
              </w:rPr>
            </w:pPr>
          </w:p>
        </w:tc>
        <w:tc>
          <w:tcPr>
            <w:tcW w:w="300" w:type="dxa"/>
            <w:vAlign w:val="bottom"/>
          </w:tcPr>
          <w:p>
            <w:pPr>
              <w:spacing w:after="0" w:line="155" w:lineRule="exact"/>
              <w:rPr>
                <w:sz w:val="20"/>
                <w:szCs w:val="20"/>
                <w:color w:val="auto"/>
              </w:rPr>
            </w:pPr>
            <w:r>
              <w:rPr>
                <w:rFonts w:ascii="Arial" w:cs="Arial" w:eastAsia="Arial" w:hAnsi="Arial"/>
                <w:sz w:val="14"/>
                <w:szCs w:val="14"/>
                <w:color w:val="auto"/>
              </w:rPr>
              <w:t>Low</w:t>
            </w:r>
          </w:p>
        </w:tc>
        <w:tc>
          <w:tcPr>
            <w:tcW w:w="580" w:type="dxa"/>
            <w:vAlign w:val="bottom"/>
          </w:tcPr>
          <w:p>
            <w:pPr>
              <w:spacing w:after="0"/>
              <w:rPr>
                <w:sz w:val="13"/>
                <w:szCs w:val="13"/>
                <w:color w:val="auto"/>
              </w:rPr>
            </w:pPr>
          </w:p>
        </w:tc>
        <w:tc>
          <w:tcPr>
            <w:tcW w:w="2180" w:type="dxa"/>
            <w:vAlign w:val="bottom"/>
            <w:gridSpan w:val="3"/>
          </w:tcPr>
          <w:p>
            <w:pPr>
              <w:ind w:left="900"/>
              <w:spacing w:after="0" w:line="155" w:lineRule="exact"/>
              <w:rPr>
                <w:sz w:val="20"/>
                <w:szCs w:val="20"/>
                <w:color w:val="auto"/>
              </w:rPr>
            </w:pPr>
            <w:r>
              <w:rPr>
                <w:rFonts w:ascii="Arial" w:cs="Arial" w:eastAsia="Arial" w:hAnsi="Arial"/>
                <w:sz w:val="14"/>
                <w:szCs w:val="14"/>
                <w:color w:val="auto"/>
              </w:rPr>
              <w:t>High</w:t>
            </w:r>
          </w:p>
        </w:tc>
      </w:tr>
      <w:tr>
        <w:trPr>
          <w:trHeight w:val="137"/>
        </w:trPr>
        <w:tc>
          <w:tcPr>
            <w:tcW w:w="8080" w:type="dxa"/>
            <w:vAlign w:val="bottom"/>
            <w:gridSpan w:val="2"/>
          </w:tcPr>
          <w:p>
            <w:pPr>
              <w:spacing w:after="0" w:line="137" w:lineRule="exact"/>
              <w:rPr>
                <w:sz w:val="20"/>
                <w:szCs w:val="20"/>
                <w:color w:val="auto"/>
              </w:rPr>
            </w:pPr>
            <w:r>
              <w:rPr>
                <w:rFonts w:ascii="Arial" w:cs="Arial" w:eastAsia="Arial" w:hAnsi="Arial"/>
                <w:sz w:val="14"/>
                <w:szCs w:val="14"/>
                <w:color w:val="auto"/>
              </w:rPr>
              <w:t>GAAP net income</w:t>
            </w:r>
          </w:p>
        </w:tc>
        <w:tc>
          <w:tcPr>
            <w:tcW w:w="580" w:type="dxa"/>
            <w:vAlign w:val="bottom"/>
          </w:tcPr>
          <w:p>
            <w:pPr>
              <w:jc w:val="right"/>
              <w:spacing w:after="0" w:line="137" w:lineRule="exact"/>
              <w:rPr>
                <w:sz w:val="20"/>
                <w:szCs w:val="20"/>
                <w:color w:val="auto"/>
              </w:rPr>
            </w:pPr>
            <w:r>
              <w:rPr>
                <w:rFonts w:ascii="Arial" w:cs="Arial" w:eastAsia="Arial" w:hAnsi="Arial"/>
                <w:sz w:val="14"/>
                <w:szCs w:val="14"/>
                <w:color w:val="auto"/>
                <w:w w:val="99"/>
              </w:rPr>
              <w:t>$ 58,460</w:t>
            </w:r>
          </w:p>
        </w:tc>
        <w:tc>
          <w:tcPr>
            <w:tcW w:w="132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7"/>
              </w:rPr>
              <w:t>63,160</w:t>
            </w:r>
          </w:p>
        </w:tc>
        <w:tc>
          <w:tcPr>
            <w:tcW w:w="400" w:type="dxa"/>
            <w:vAlign w:val="bottom"/>
          </w:tcPr>
          <w:p>
            <w:pPr>
              <w:spacing w:after="0"/>
              <w:rPr>
                <w:sz w:val="11"/>
                <w:szCs w:val="11"/>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Non-GAAP adjustments:</w:t>
            </w: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Acquisition-related charges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1,020</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400" w:type="dxa"/>
            <w:vAlign w:val="bottom"/>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Employee termination and related charges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w:t>
            </w:r>
          </w:p>
        </w:tc>
        <w:tc>
          <w:tcPr>
            <w:tcW w:w="400" w:type="dxa"/>
            <w:vAlign w:val="bottom"/>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Charges associated with discontinued or withdrawn</w:t>
            </w: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8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product lines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400" w:type="dxa"/>
            <w:vAlign w:val="bottom"/>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Systems implementation charges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4,370</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4,370</w:t>
            </w:r>
          </w:p>
        </w:tc>
        <w:tc>
          <w:tcPr>
            <w:tcW w:w="400" w:type="dxa"/>
            <w:vAlign w:val="bottom"/>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Facility consolidation, manufacturing</w:t>
            </w: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8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and distribution transfer charges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2,380</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2,380</w:t>
            </w:r>
          </w:p>
        </w:tc>
        <w:tc>
          <w:tcPr>
            <w:tcW w:w="400" w:type="dxa"/>
            <w:vAlign w:val="bottom"/>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Non-cash interest expense related to</w:t>
            </w: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8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the application of FSP APB 14-1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7,130</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7,130</w:t>
            </w:r>
          </w:p>
        </w:tc>
        <w:tc>
          <w:tcPr>
            <w:tcW w:w="400" w:type="dxa"/>
            <w:vAlign w:val="bottom"/>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Intangible asset amortization expense</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17,170</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17,170</w:t>
            </w:r>
          </w:p>
        </w:tc>
        <w:tc>
          <w:tcPr>
            <w:tcW w:w="400" w:type="dxa"/>
            <w:vAlign w:val="bottom"/>
          </w:tcPr>
          <w:p>
            <w:pPr>
              <w:spacing w:after="0"/>
              <w:rPr>
                <w:sz w:val="12"/>
                <w:szCs w:val="12"/>
                <w:color w:val="auto"/>
              </w:rPr>
            </w:pPr>
          </w:p>
        </w:tc>
      </w:tr>
      <w:tr>
        <w:trPr>
          <w:trHeight w:val="182"/>
        </w:trPr>
        <w:tc>
          <w:tcPr>
            <w:tcW w:w="8080" w:type="dxa"/>
            <w:vAlign w:val="bottom"/>
            <w:gridSpan w:val="2"/>
          </w:tcPr>
          <w:p>
            <w:pPr>
              <w:spacing w:after="0"/>
              <w:rPr>
                <w:sz w:val="20"/>
                <w:szCs w:val="20"/>
                <w:color w:val="auto"/>
              </w:rPr>
            </w:pPr>
            <w:r>
              <w:rPr>
                <w:rFonts w:ascii="Arial" w:cs="Arial" w:eastAsia="Arial" w:hAnsi="Arial"/>
                <w:sz w:val="14"/>
                <w:szCs w:val="14"/>
                <w:color w:val="auto"/>
              </w:rPr>
              <w:t>Income tax expense related</w:t>
            </w: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r>
    </w:tbl>
    <w:p>
      <w:pPr>
        <w:sectPr>
          <w:pgSz w:w="11900" w:h="16912" w:orient="portrait"/>
          <w:cols w:equalWidth="0" w:num="1">
            <w:col w:w="11260"/>
          </w:cols>
          <w:pgMar w:left="240" w:top="108" w:right="399" w:bottom="0" w:gutter="0" w:footer="0" w:header="0"/>
        </w:sectPr>
      </w:pPr>
    </w:p>
    <w:bookmarkStart w:id="10" w:name="page11"/>
    <w:bookmarkEnd w:id="1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tcPr>
          <w:p>
            <w:pPr>
              <w:ind w:left="140"/>
              <w:spacing w:after="0"/>
              <w:rPr>
                <w:sz w:val="20"/>
                <w:szCs w:val="20"/>
                <w:color w:val="auto"/>
              </w:rPr>
            </w:pPr>
            <w:r>
              <w:rPr>
                <w:rFonts w:ascii="Arial" w:cs="Arial" w:eastAsia="Arial" w:hAnsi="Arial"/>
                <w:sz w:val="14"/>
                <w:szCs w:val="14"/>
                <w:color w:val="auto"/>
              </w:rPr>
              <w:t>to above adjustments and certain</w:t>
            </w:r>
          </w:p>
        </w:tc>
        <w:tc>
          <w:tcPr>
            <w:tcW w:w="3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00" w:type="dxa"/>
            <w:vAlign w:val="bottom"/>
          </w:tcPr>
          <w:p>
            <w:pPr>
              <w:ind w:left="140"/>
              <w:spacing w:after="0"/>
              <w:rPr>
                <w:sz w:val="20"/>
                <w:szCs w:val="20"/>
                <w:color w:val="auto"/>
              </w:rPr>
            </w:pPr>
            <w:r>
              <w:rPr>
                <w:rFonts w:ascii="Arial" w:cs="Arial" w:eastAsia="Arial" w:hAnsi="Arial"/>
                <w:sz w:val="14"/>
                <w:szCs w:val="14"/>
                <w:color w:val="auto"/>
              </w:rPr>
              <w:t>infrequently occurring items</w:t>
            </w:r>
          </w:p>
        </w:tc>
        <w:tc>
          <w:tcPr>
            <w:tcW w:w="30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color w:val="auto"/>
                <w:w w:val="88"/>
              </w:rPr>
              <w:t>(11,930)</w:t>
            </w:r>
          </w:p>
        </w:tc>
        <w:tc>
          <w:tcPr>
            <w:tcW w:w="6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1"/>
              </w:rPr>
              <w:t>(11,930)</w:t>
            </w:r>
          </w:p>
        </w:tc>
        <w:tc>
          <w:tcPr>
            <w:tcW w:w="0" w:type="dxa"/>
            <w:vAlign w:val="bottom"/>
          </w:tcPr>
          <w:p>
            <w:pPr>
              <w:spacing w:after="0"/>
              <w:rPr>
                <w:sz w:val="1"/>
                <w:szCs w:val="1"/>
                <w:color w:val="auto"/>
              </w:rPr>
            </w:pPr>
          </w:p>
        </w:tc>
      </w:tr>
      <w:tr>
        <w:trPr>
          <w:trHeight w:val="156"/>
        </w:trPr>
        <w:tc>
          <w:tcPr>
            <w:tcW w:w="5200" w:type="dxa"/>
            <w:vAlign w:val="bottom"/>
          </w:tcPr>
          <w:p>
            <w:pPr>
              <w:spacing w:after="0" w:line="155" w:lineRule="exact"/>
              <w:rPr>
                <w:sz w:val="20"/>
                <w:szCs w:val="20"/>
                <w:color w:val="auto"/>
              </w:rPr>
            </w:pPr>
            <w:r>
              <w:rPr>
                <w:rFonts w:ascii="Arial" w:cs="Arial" w:eastAsia="Arial" w:hAnsi="Arial"/>
                <w:sz w:val="14"/>
                <w:szCs w:val="14"/>
                <w:color w:val="auto"/>
              </w:rPr>
              <w:t>Total of non-GAAP adjustments</w:t>
            </w:r>
          </w:p>
        </w:tc>
        <w:tc>
          <w:tcPr>
            <w:tcW w:w="30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20,840</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20,840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line="137" w:lineRule="exact"/>
              <w:rPr>
                <w:sz w:val="20"/>
                <w:szCs w:val="20"/>
                <w:color w:val="auto"/>
              </w:rPr>
            </w:pPr>
            <w:r>
              <w:rPr>
                <w:rFonts w:ascii="Arial" w:cs="Arial" w:eastAsia="Arial" w:hAnsi="Arial"/>
                <w:sz w:val="14"/>
                <w:szCs w:val="14"/>
                <w:color w:val="auto"/>
              </w:rPr>
              <w:t>Adjusted net income</w:t>
            </w:r>
          </w:p>
        </w:tc>
        <w:tc>
          <w:tcPr>
            <w:tcW w:w="300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7" w:lineRule="exact"/>
              <w:rPr>
                <w:sz w:val="20"/>
                <w:szCs w:val="20"/>
                <w:color w:val="auto"/>
              </w:rPr>
            </w:pPr>
            <w:r>
              <w:rPr>
                <w:rFonts w:ascii="Arial" w:cs="Arial" w:eastAsia="Arial" w:hAnsi="Arial"/>
                <w:sz w:val="14"/>
                <w:szCs w:val="14"/>
                <w:color w:val="auto"/>
                <w:w w:val="97"/>
              </w:rPr>
              <w:t>79,300</w:t>
            </w:r>
          </w:p>
        </w:tc>
        <w:tc>
          <w:tcPr>
            <w:tcW w:w="66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w w:val="97"/>
              </w:rPr>
              <w:t>84,000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line="149" w:lineRule="exact"/>
              <w:rPr>
                <w:sz w:val="20"/>
                <w:szCs w:val="20"/>
                <w:color w:val="auto"/>
              </w:rPr>
            </w:pPr>
            <w:r>
              <w:rPr>
                <w:rFonts w:ascii="Arial" w:cs="Arial" w:eastAsia="Arial" w:hAnsi="Arial"/>
                <w:sz w:val="14"/>
                <w:szCs w:val="14"/>
                <w:color w:val="auto"/>
              </w:rPr>
              <w:t>GAAP diluted net income per share</w:t>
            </w:r>
          </w:p>
        </w:tc>
        <w:tc>
          <w:tcPr>
            <w:tcW w:w="3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6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line="149" w:lineRule="exact"/>
              <w:rPr>
                <w:sz w:val="20"/>
                <w:szCs w:val="20"/>
                <w:color w:val="auto"/>
              </w:rPr>
            </w:pPr>
            <w:r>
              <w:rPr>
                <w:rFonts w:ascii="Arial" w:cs="Arial" w:eastAsia="Arial" w:hAnsi="Arial"/>
                <w:sz w:val="14"/>
                <w:szCs w:val="14"/>
                <w:color w:val="auto"/>
              </w:rPr>
              <w:t>Non-GAAP adjustments detailed above</w:t>
            </w:r>
          </w:p>
        </w:tc>
        <w:tc>
          <w:tcPr>
            <w:tcW w:w="3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ind w:left="140"/>
              <w:spacing w:after="0"/>
              <w:rPr>
                <w:sz w:val="20"/>
                <w:szCs w:val="20"/>
                <w:color w:val="auto"/>
              </w:rPr>
            </w:pPr>
            <w:r>
              <w:rPr>
                <w:rFonts w:ascii="Arial" w:cs="Arial" w:eastAsia="Arial" w:hAnsi="Arial"/>
                <w:sz w:val="14"/>
                <w:szCs w:val="14"/>
                <w:color w:val="auto"/>
              </w:rPr>
              <w:t>(per share)</w:t>
            </w:r>
          </w:p>
        </w:tc>
        <w:tc>
          <w:tcPr>
            <w:tcW w:w="30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line="155" w:lineRule="exact"/>
              <w:rPr>
                <w:sz w:val="20"/>
                <w:szCs w:val="20"/>
                <w:color w:val="auto"/>
              </w:rPr>
            </w:pPr>
            <w:r>
              <w:rPr>
                <w:rFonts w:ascii="Arial" w:cs="Arial" w:eastAsia="Arial" w:hAnsi="Arial"/>
                <w:sz w:val="14"/>
                <w:szCs w:val="14"/>
                <w:color w:val="auto"/>
              </w:rPr>
              <w:t>Adjusted diluted net income per share</w:t>
            </w:r>
          </w:p>
        </w:tc>
        <w:tc>
          <w:tcPr>
            <w:tcW w:w="3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w:t>
            </w:r>
          </w:p>
        </w:tc>
        <w:tc>
          <w:tcPr>
            <w:tcW w:w="6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4"/>
                <w:szCs w:val="14"/>
                <w:color w:val="auto"/>
              </w:rPr>
              <w:t>Weighted average common shares</w:t>
            </w:r>
          </w:p>
        </w:tc>
        <w:tc>
          <w:tcPr>
            <w:tcW w:w="3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0" w:type="dxa"/>
            <w:vAlign w:val="bottom"/>
            <w:vMerge w:val="continue"/>
          </w:tcPr>
          <w:p>
            <w:pPr>
              <w:spacing w:after="0"/>
              <w:rPr>
                <w:sz w:val="10"/>
                <w:szCs w:val="10"/>
                <w:color w:val="auto"/>
              </w:rPr>
            </w:pPr>
          </w:p>
        </w:tc>
        <w:tc>
          <w:tcPr>
            <w:tcW w:w="3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ind w:left="140"/>
              <w:spacing w:after="0" w:line="149" w:lineRule="exact"/>
              <w:rPr>
                <w:sz w:val="20"/>
                <w:szCs w:val="20"/>
                <w:color w:val="auto"/>
              </w:rPr>
            </w:pPr>
            <w:r>
              <w:rPr>
                <w:rFonts w:ascii="Arial" w:cs="Arial" w:eastAsia="Arial" w:hAnsi="Arial"/>
                <w:sz w:val="14"/>
                <w:szCs w:val="14"/>
                <w:color w:val="auto"/>
              </w:rPr>
              <w:t>outstanding for diluted net</w:t>
            </w:r>
          </w:p>
        </w:tc>
        <w:tc>
          <w:tcPr>
            <w:tcW w:w="3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0" w:type="dxa"/>
            <w:vAlign w:val="bottom"/>
          </w:tcPr>
          <w:p>
            <w:pPr>
              <w:ind w:left="140"/>
              <w:spacing w:after="0"/>
              <w:rPr>
                <w:sz w:val="20"/>
                <w:szCs w:val="20"/>
                <w:color w:val="auto"/>
              </w:rPr>
            </w:pPr>
            <w:r>
              <w:rPr>
                <w:rFonts w:ascii="Arial" w:cs="Arial" w:eastAsia="Arial" w:hAnsi="Arial"/>
                <w:sz w:val="14"/>
                <w:szCs w:val="14"/>
                <w:color w:val="auto"/>
              </w:rPr>
              <w:t>income per share</w:t>
            </w:r>
          </w:p>
        </w:tc>
        <w:tc>
          <w:tcPr>
            <w:tcW w:w="30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30,500</w:t>
            </w: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30,500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IART-F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Integra LifeSciences Holdings Corporation</w:t>
      </w:r>
    </w:p>
    <w:sectPr>
      <w:pgSz w:w="11900" w:h="16838" w:orient="portrait"/>
      <w:cols w:equalWidth="0" w:num="1">
        <w:col w:w="10780"/>
      </w:cols>
      <w:pgMar w:left="240" w:top="108"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8"/>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lvl w:ilvl="1">
      <w:lvlJc w:val="left"/>
      <w:lvlText w:val="(%2)"/>
      <w:numFmt w:val="lowerLetter"/>
      <w:start w:val="3"/>
    </w:lvl>
  </w:abstractNum>
  <w:abstractNum w:abstractNumId="8">
    <w:nsid w:val="4DB127F8"/>
    <w:multiLevelType w:val="hybridMultilevel"/>
    <w:lvl w:ilvl="0">
      <w:lvlJc w:val="left"/>
      <w:lvlText w:val="(%1)"/>
      <w:numFmt w:val="lowerLetter"/>
      <w:start w:val="5"/>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2019-12-10T11:56:53Z</dcterms:created>
  <dcterms:modified xsi:type="dcterms:W3CDTF">2019-12-10T11:56:53Z</dcterms:modified>
</cp:coreProperties>
</file>