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June 30,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6240" w:type="dxa"/>
            <w:vAlign w:val="bottom"/>
          </w:tcPr>
          <w:p>
            <w:pPr>
              <w:ind w:left="280"/>
              <w:spacing w:after="0"/>
              <w:rPr>
                <w:sz w:val="20"/>
                <w:szCs w:val="20"/>
                <w:color w:val="auto"/>
              </w:rPr>
            </w:pPr>
            <w:r>
              <w:rPr>
                <w:rFonts w:ascii="Arial" w:cs="Arial" w:eastAsia="Arial" w:hAnsi="Arial"/>
                <w:sz w:val="16"/>
                <w:szCs w:val="16"/>
                <w:color w:val="auto"/>
              </w:rPr>
              <w:t>x</w:t>
            </w:r>
          </w:p>
        </w:tc>
        <w:tc>
          <w:tcPr>
            <w:tcW w:w="224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6240" w:type="dxa"/>
            <w:vAlign w:val="bottom"/>
          </w:tcPr>
          <w:p>
            <w:pPr>
              <w:ind w:left="280"/>
              <w:spacing w:after="0"/>
              <w:rPr>
                <w:sz w:val="20"/>
                <w:szCs w:val="20"/>
                <w:color w:val="auto"/>
              </w:rPr>
            </w:pPr>
            <w:r>
              <w:rPr>
                <w:rFonts w:ascii="Arial" w:cs="Arial" w:eastAsia="Arial" w:hAnsi="Arial"/>
                <w:sz w:val="16"/>
                <w:szCs w:val="16"/>
                <w:color w:val="auto"/>
              </w:rPr>
              <w:t>o (Do not check if a smaller reporting company)</w:t>
            </w:r>
          </w:p>
        </w:tc>
        <w:tc>
          <w:tcPr>
            <w:tcW w:w="224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20" w:type="dxa"/>
            <w:vAlign w:val="bottom"/>
            <w:gridSpan w:val="2"/>
          </w:tcPr>
          <w:p>
            <w:pPr>
              <w:spacing w:after="0"/>
              <w:rPr>
                <w:sz w:val="20"/>
                <w:szCs w:val="20"/>
                <w:color w:val="auto"/>
              </w:rPr>
            </w:pPr>
            <w:r>
              <w:rPr>
                <w:rFonts w:ascii="Arial" w:cs="Arial" w:eastAsia="Arial" w:hAnsi="Arial"/>
                <w:sz w:val="16"/>
                <w:szCs w:val="16"/>
                <w:color w:val="auto"/>
                <w:w w:val="94"/>
              </w:rPr>
              <w:t>Indicate by check mark whether the registrant is a shell company (as defined in Rule 12b-2 of the Exchange Act).  Yes o</w:t>
            </w:r>
          </w:p>
        </w:tc>
        <w:tc>
          <w:tcPr>
            <w:tcW w:w="2240" w:type="dxa"/>
            <w:vAlign w:val="bottom"/>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r>
        <w:trPr>
          <w:trHeight w:val="333"/>
        </w:trPr>
        <w:tc>
          <w:tcPr>
            <w:tcW w:w="8020" w:type="dxa"/>
            <w:vAlign w:val="bottom"/>
            <w:gridSpan w:val="2"/>
          </w:tcPr>
          <w:p>
            <w:pPr>
              <w:spacing w:after="0"/>
              <w:rPr>
                <w:sz w:val="20"/>
                <w:szCs w:val="20"/>
                <w:color w:val="auto"/>
              </w:rPr>
            </w:pPr>
            <w:r>
              <w:rPr>
                <w:rFonts w:ascii="Arial" w:cs="Arial" w:eastAsia="Arial" w:hAnsi="Arial"/>
                <w:sz w:val="16"/>
                <w:szCs w:val="16"/>
                <w:color w:val="auto"/>
                <w:w w:val="92"/>
              </w:rPr>
              <w:t>The number of shares of the registrant’s Common Stock, $0.01 par value, outstanding as of July 29, 2015 was 33,163,415.</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6"/>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4"/>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sz w:val="20"/>
                <w:szCs w:val="20"/>
                <w:color w:val="auto"/>
              </w:rPr>
            </w:pPr>
            <w:r>
              <w:rPr>
                <w:rFonts w:ascii="Arial" w:cs="Arial" w:eastAsia="Arial" w:hAnsi="Arial"/>
                <w:sz w:val="16"/>
                <w:szCs w:val="16"/>
                <w:color w:val="0000FF"/>
                <w:w w:val="96"/>
              </w:rPr>
              <w:t>Condensed Consolidated Statements of Operations and Comprehensive Income (Loss) for the three and six months ended June 30, 2015 and 2014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tcPr>
          <w:p>
            <w:pPr>
              <w:spacing w:after="0" w:line="183" w:lineRule="exact"/>
              <w:rPr>
                <w:sz w:val="20"/>
                <w:szCs w:val="20"/>
                <w:color w:val="auto"/>
              </w:rPr>
            </w:pPr>
            <w:r>
              <w:rPr>
                <w:rFonts w:ascii="Arial" w:cs="Arial" w:eastAsia="Arial" w:hAnsi="Arial"/>
                <w:sz w:val="16"/>
                <w:szCs w:val="16"/>
                <w:color w:val="0000FF"/>
                <w:w w:val="90"/>
              </w:rPr>
              <w:t>(Unaudited)</w:t>
            </w:r>
          </w:p>
        </w:tc>
        <w:tc>
          <w:tcPr>
            <w:tcW w:w="8680" w:type="dxa"/>
            <w:vAlign w:val="bottom"/>
            <w:tcBorders>
              <w:top w:val="single" w:sz="8" w:color="0000FF"/>
            </w:tcBorders>
            <w:gridSpan w:val="12"/>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sz w:val="20"/>
                <w:szCs w:val="20"/>
                <w:color w:val="auto"/>
              </w:rPr>
            </w:pPr>
            <w:r>
              <w:rPr>
                <w:rFonts w:ascii="Arial" w:cs="Arial" w:eastAsia="Arial" w:hAnsi="Arial"/>
                <w:sz w:val="16"/>
                <w:szCs w:val="16"/>
                <w:color w:val="0000FF"/>
              </w:rPr>
              <w:t>Condensed Consolidated Balance Sheets as of June 30, 2015 and December 31, 2014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2"/>
          </w:tcPr>
          <w:p>
            <w:pPr>
              <w:spacing w:after="0"/>
              <w:rPr>
                <w:sz w:val="20"/>
                <w:szCs w:val="20"/>
                <w:color w:val="auto"/>
              </w:rPr>
            </w:pPr>
            <w:r>
              <w:rPr>
                <w:rFonts w:ascii="Arial" w:cs="Arial" w:eastAsia="Arial" w:hAnsi="Arial"/>
                <w:sz w:val="16"/>
                <w:szCs w:val="16"/>
                <w:color w:val="0000FF"/>
                <w:w w:val="90"/>
              </w:rPr>
              <w:t>Condensed Consolidated Statements of Cash Flows for the six months ended June 30, 2015 and 2014 (Unaudited)</w:t>
            </w:r>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1"/>
              </w:rPr>
            </w:pPr>
            <w:hyperlink w:anchor="page22">
              <w:r>
                <w:rPr>
                  <w:rFonts w:ascii="Arial" w:cs="Arial" w:eastAsia="Arial" w:hAnsi="Arial"/>
                  <w:sz w:val="16"/>
                  <w:szCs w:val="16"/>
                  <w:color w:val="0000FF"/>
                  <w:w w:val="91"/>
                </w:rPr>
                <w:t>Item 2. Management’s Discussion and Analysis of Financial Condition and Results of Operations</w:t>
              </w:r>
            </w:hyperlink>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34">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4. Controls and Procedures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35">
              <w:r>
                <w:rPr>
                  <w:rFonts w:ascii="Arial" w:cs="Arial" w:eastAsia="Arial" w:hAnsi="Arial"/>
                  <w:sz w:val="16"/>
                  <w:szCs w:val="16"/>
                  <w:color w:val="0000FF"/>
                  <w:w w:val="96"/>
                </w:rPr>
                <w:t>PART II. OTHER INFORMATION</w:t>
              </w:r>
            </w:hyperlink>
          </w:p>
        </w:tc>
        <w:tc>
          <w:tcPr>
            <w:tcW w:w="782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Arial" w:cs="Arial" w:eastAsia="Arial" w:hAnsi="Arial"/>
                <w:sz w:val="16"/>
                <w:szCs w:val="16"/>
                <w:color w:val="0000FF"/>
                <w:w w:val="88"/>
              </w:rPr>
            </w:pPr>
            <w:hyperlink w:anchor="page36">
              <w:r>
                <w:rPr>
                  <w:rFonts w:ascii="Arial" w:cs="Arial" w:eastAsia="Arial" w:hAnsi="Arial"/>
                  <w:sz w:val="16"/>
                  <w:szCs w:val="16"/>
                  <w:color w:val="0000FF"/>
                  <w:w w:val="88"/>
                </w:rPr>
                <w:t>Item 1. Legal Proceedings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Item 1A. Risk Factors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6">
              <w:r>
                <w:rPr>
                  <w:rFonts w:ascii="Arial" w:cs="Arial" w:eastAsia="Arial" w:hAnsi="Arial"/>
                  <w:sz w:val="16"/>
                  <w:szCs w:val="16"/>
                  <w:color w:val="0000FF"/>
                </w:rPr>
                <w:t>36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 Mine Safety Disclosures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1">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3">
              <w:r>
                <w:rPr>
                  <w:rFonts w:ascii="Arial" w:cs="Arial" w:eastAsia="Arial" w:hAnsi="Arial"/>
                  <w:sz w:val="16"/>
                  <w:szCs w:val="16"/>
                  <w:color w:val="0000FF"/>
                  <w:w w:val="90"/>
                </w:rPr>
                <w:t>SIGNATURES</w:t>
              </w:r>
            </w:hyperlink>
          </w:p>
        </w:tc>
        <w:tc>
          <w:tcPr>
            <w:tcW w:w="91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2.3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10.1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23.1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99.3</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99.4</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22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244,078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231,351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477,743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446,410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86,539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173,261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169,359</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13,891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13,745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26,447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26,312</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126,590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115,253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240,654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223,591</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3,104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2,985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6,639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6,018</w:t>
            </w:r>
          </w:p>
        </w:tc>
      </w:tr>
      <w:tr>
        <w:trPr>
          <w:trHeight w:val="27"/>
        </w:trPr>
        <w:tc>
          <w:tcPr>
            <w:tcW w:w="6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230,124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218,959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447,001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425,280</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13,954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12,392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30,742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21,130</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(5,382)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(10,963)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(10,524)</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7,572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7,186</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20,189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11,161</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6,807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4,998</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4,825</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13,382</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7,031</w:t>
            </w:r>
          </w:p>
        </w:tc>
      </w:tr>
      <w:tr>
        <w:trPr>
          <w:trHeight w:val="237"/>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net income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0.15</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0.22</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Diluted net income per common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0.15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0.21</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54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33,032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32,398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32,884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32,336</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32,804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32,796</w:t>
            </w:r>
          </w:p>
        </w:tc>
      </w:tr>
      <w:tr>
        <w:trPr>
          <w:trHeight w:val="264"/>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 (See Note 11)</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12,325</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4,752</w:t>
            </w:r>
          </w:p>
        </w:tc>
        <w:tc>
          <w:tcPr>
            <w:tcW w:w="2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2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7,957</w:t>
            </w: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2015</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2014</w:t>
            </w:r>
          </w:p>
        </w:tc>
        <w:tc>
          <w:tcPr>
            <w:tcW w:w="0" w:type="dxa"/>
            <w:vAlign w:val="bottom"/>
          </w:tcPr>
          <w:p>
            <w:pPr>
              <w:spacing w:after="0"/>
              <w:rPr>
                <w:sz w:val="1"/>
                <w:szCs w:val="1"/>
                <w:color w:val="auto"/>
              </w:rPr>
            </w:pPr>
          </w:p>
        </w:tc>
      </w:tr>
      <w:tr>
        <w:trPr>
          <w:trHeight w:val="372"/>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131,296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71,994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Trade accounts receivable, net of allowances of $6,447 and $6,184</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134,546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131,918</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241,835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237,114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58,663</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42,397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29,632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608,247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529,321</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215,460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209,986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440,583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459,459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357,022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363,888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10,368</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1,637,894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1,578,625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Borrowings under senior credit facility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Convertible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Accounts payable, trade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58,197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34,060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5,176</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40,019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40,943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42,831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42,096</w:t>
            </w:r>
          </w:p>
        </w:tc>
        <w:tc>
          <w:tcPr>
            <w:tcW w:w="0" w:type="dxa"/>
            <w:vAlign w:val="bottom"/>
          </w:tcPr>
          <w:p>
            <w:pPr>
              <w:spacing w:after="0"/>
              <w:rPr>
                <w:sz w:val="1"/>
                <w:szCs w:val="1"/>
                <w:color w:val="auto"/>
              </w:rPr>
            </w:pP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155,753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126,025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413,125</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convertible securities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214,358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213,121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91,623</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31,984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30,409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926,171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874,303</w:t>
            </w:r>
          </w:p>
        </w:tc>
        <w:tc>
          <w:tcPr>
            <w:tcW w:w="0" w:type="dxa"/>
            <w:vAlign w:val="bottom"/>
          </w:tcPr>
          <w:p>
            <w:pPr>
              <w:spacing w:after="0"/>
              <w:rPr>
                <w:sz w:val="1"/>
                <w:szCs w:val="1"/>
                <w:color w:val="auto"/>
              </w:rPr>
            </w:pP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Common stock; $0.01 par value; 60,000 authorized shares; 42,012 and 41,644 issued at June 30, 2015 and</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2014,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Additional paid-in capital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790,371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779,555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8,903 shares at June 30, 2015 and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c>
          <w:tcPr>
            <w:tcW w:w="0" w:type="dxa"/>
            <w:vAlign w:val="bottom"/>
          </w:tcPr>
          <w:p>
            <w:pPr>
              <w:spacing w:after="0"/>
              <w:rPr>
                <w:sz w:val="1"/>
                <w:szCs w:val="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(40,288)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(23,488)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314,960</w:t>
            </w:r>
          </w:p>
        </w:tc>
        <w:tc>
          <w:tcPr>
            <w:tcW w:w="0" w:type="dxa"/>
            <w:vAlign w:val="bottom"/>
          </w:tcPr>
          <w:p>
            <w:pPr>
              <w:spacing w:after="0"/>
              <w:rPr>
                <w:sz w:val="1"/>
                <w:szCs w:val="1"/>
                <w:color w:val="auto"/>
              </w:rPr>
            </w:pP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711,723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704,322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1,637,894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1,578,625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3"/>
        </w:trPr>
        <w:tc>
          <w:tcPr>
            <w:tcW w:w="78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r>
      <w:tr>
        <w:trPr>
          <w:trHeight w:val="386"/>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13,382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7,031</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31,159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29,164</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Non-cash impairment charges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Amortization of debt issuance costs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1,243</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Non-cash interest expense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3,433</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Loss on disposal of property and equipment</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378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fair value of contingent consideration</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Share-based compensation</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5,616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8,302</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r>
      <w:tr>
        <w:trPr>
          <w:trHeight w:val="224"/>
        </w:trPr>
        <w:tc>
          <w:tcPr>
            <w:tcW w:w="7860" w:type="dxa"/>
            <w:vAlign w:val="bottom"/>
          </w:tcPr>
          <w:p>
            <w:pPr>
              <w:ind w:left="40"/>
              <w:spacing w:after="0"/>
              <w:rPr>
                <w:sz w:val="20"/>
                <w:szCs w:val="20"/>
                <w:color w:val="auto"/>
              </w:rPr>
            </w:pPr>
            <w:r>
              <w:rPr>
                <w:rFonts w:ascii="Arial" w:cs="Arial" w:eastAsia="Arial" w:hAnsi="Arial"/>
                <w:sz w:val="16"/>
                <w:szCs w:val="16"/>
                <w:color w:val="auto"/>
              </w:rPr>
              <w:t>Changes in assets and liabilities, net of business acquisitions:</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7"/>
        </w:trPr>
        <w:tc>
          <w:tcPr>
            <w:tcW w:w="78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(9,875)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(17,367)</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(2,832)</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Other non-current assets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(1,846)</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4,848</w:t>
            </w:r>
          </w:p>
        </w:tc>
      </w:tr>
      <w:tr>
        <w:trPr>
          <w:trHeight w:val="237"/>
        </w:trPr>
        <w:tc>
          <w:tcPr>
            <w:tcW w:w="78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188</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non-current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(2,952)</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49,742</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27,631</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Purchases of property and equipment</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7"/>
              </w:rPr>
              <w:t>(22,013)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(20,691)</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of property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Cash used in business acquisition, net of cash acquired</w:t>
            </w:r>
          </w:p>
        </w:tc>
        <w:tc>
          <w:tcPr>
            <w:tcW w:w="106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0"/>
              </w:rPr>
              <w:t>(235,000)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working capital purchase price adjustment</w:t>
            </w:r>
          </w:p>
        </w:tc>
        <w:tc>
          <w:tcPr>
            <w:tcW w:w="10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(18,744)</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(255,691)</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Borrowings under senior credit facility</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235,000</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under senior credit facility</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Principal payments under capital lease obligations</w:t>
            </w:r>
          </w:p>
        </w:tc>
        <w:tc>
          <w:tcPr>
            <w:tcW w:w="10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33"/>
        </w:trPr>
        <w:tc>
          <w:tcPr>
            <w:tcW w:w="7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exercised stock options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7,345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8,317</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color w:val="auto"/>
              </w:rPr>
              <w:t>Excess tax benefits from stock-based compensation arrangements</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3,501</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1,164</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30,450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244,236</w:t>
            </w:r>
          </w:p>
        </w:tc>
      </w:tr>
      <w:tr>
        <w:trPr>
          <w:trHeight w:val="217"/>
        </w:trPr>
        <w:tc>
          <w:tcPr>
            <w:tcW w:w="78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(2,146)</w:t>
            </w: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59,302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16,546</w:t>
            </w:r>
          </w:p>
        </w:tc>
      </w:tr>
      <w:tr>
        <w:trPr>
          <w:trHeight w:val="237"/>
        </w:trPr>
        <w:tc>
          <w:tcPr>
            <w:tcW w:w="786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106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71,994</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120,614</w:t>
            </w:r>
          </w:p>
        </w:tc>
      </w:tr>
      <w:tr>
        <w:trPr>
          <w:trHeight w:val="33"/>
        </w:trPr>
        <w:tc>
          <w:tcPr>
            <w:tcW w:w="7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060" w:type="dxa"/>
            <w:vAlign w:val="bottom"/>
            <w:tcBorders>
              <w:bottom w:val="single" w:sz="8" w:color="CCEEFF"/>
            </w:tcBorders>
            <w:shd w:val="clear" w:color="auto" w:fill="CCEEFF"/>
          </w:tcPr>
          <w:p>
            <w:pPr>
              <w:jc w:val="right"/>
              <w:ind w:right="86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131,296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137,160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June 30, 2015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2014 included in the Company’s Annual Report on Form 10-K. The December 31, 2014 consolidated balance sheet was derived from audited financial statements, but does not include all disclosures required by accounting principles generally accepted in the United States. Operating results for the three- and six-month periods ended June 30, 2015 are not necessarily indicative of the results to be expected for the entire year.</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ind w:right="1680"/>
        <w:spacing w:after="0" w:line="465" w:lineRule="auto"/>
        <w:rPr>
          <w:sz w:val="20"/>
          <w:szCs w:val="20"/>
          <w:color w:val="auto"/>
        </w:rPr>
      </w:pPr>
      <w:r>
        <w:rPr>
          <w:rFonts w:ascii="Arial" w:cs="Arial" w:eastAsia="Arial" w:hAnsi="Arial"/>
          <w:sz w:val="18"/>
          <w:szCs w:val="18"/>
          <w:color w:val="auto"/>
        </w:rPr>
        <w:t xml:space="preserve">Certain amounts from the prior year’s financial statements have been reclassified in order to conform to the current year’s presentation. </w:t>
      </w:r>
      <w:r>
        <w:rPr>
          <w:rFonts w:ascii="Arial" w:cs="Arial" w:eastAsia="Arial" w:hAnsi="Arial"/>
          <w:sz w:val="18"/>
          <w:szCs w:val="18"/>
          <w:i w:val="1"/>
          <w:iCs w:val="1"/>
          <w:u w:val="single" w:color="auto"/>
          <w:color w:val="auto"/>
        </w:rPr>
        <w:t>Recently Issued Accounting Standards</w:t>
      </w:r>
    </w:p>
    <w:p>
      <w:pPr>
        <w:spacing w:after="0" w:line="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new guidance is effective for Integra prospectively for all disposals (or classifications as held for sale) of components of an entity that occur after January 1, 2015 and will be in effect for the spin-off of the spine business in the Company's third quarter 2015 results.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In July 2015, the FASB deferred for one year the effective date of the new revenue standard, but early adoption will be permitted. The new standard will be effective for the Company on January 1, 2018. The Company is in the process of evaluating the impact of this standard on its financial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June 2014, the FASB issued Update No. 2014-12, </w:t>
      </w:r>
      <w:r>
        <w:rPr>
          <w:rFonts w:ascii="Arial" w:cs="Arial" w:eastAsia="Arial" w:hAnsi="Arial"/>
          <w:sz w:val="18"/>
          <w:szCs w:val="18"/>
          <w:i w:val="1"/>
          <w:iCs w:val="1"/>
          <w:color w:val="auto"/>
        </w:rPr>
        <w:t>Accounting for Share-Based Payments When the Terms of an Award Provide That a Performance Target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Could Be Achieved after the Requisite Service Period (Topic 718). </w:t>
      </w:r>
      <w:r>
        <w:rPr>
          <w:rFonts w:ascii="Arial" w:cs="Arial" w:eastAsia="Arial" w:hAnsi="Arial"/>
          <w:sz w:val="18"/>
          <w:szCs w:val="18"/>
          <w:color w:val="auto"/>
        </w:rPr>
        <w:t>The amendments require that a performance target that affects vesting and that could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after the requisite service period be treated as a performance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the consolidated financial position or results of operations.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Update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amendment requires that all costs incurred to issue debt be presented in the balance sheet as a direct deduction from the carrying value of the debt. The new standard is limited to the presentation of debt issuance costs and does not affect the recognition or measurement of debt issuance costs. This update will become effective for all annual periods and interim reporting periods beginning after December 15, 2015. The implementation of the amended guidance is not expected to have a material impact on the consolidated results of operations and will result in a reclassification of the debt issuance costs from other long-term assets to long-term debt when adopted.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financial position, results of operations or cash flows.</w:t>
      </w:r>
    </w:p>
    <w:p>
      <w:pPr>
        <w:spacing w:after="0" w:line="329" w:lineRule="exact"/>
        <w:rPr>
          <w:sz w:val="20"/>
          <w:szCs w:val="20"/>
          <w:color w:val="auto"/>
        </w:rPr>
      </w:pPr>
    </w:p>
    <w:p>
      <w:pPr>
        <w:ind w:right="89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i w:val="1"/>
          <w:iCs w:val="1"/>
          <w:u w:val="single" w:color="auto"/>
          <w:color w:val="auto"/>
        </w:rPr>
        <w:t>Metasurg</w:t>
      </w:r>
    </w:p>
    <w:p>
      <w:pPr>
        <w:spacing w:after="0" w:line="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5, 2014, the Company acquired certain assets of Koby Ventures II, L.P. dba Metasurg ("Metasurg") for an aggregate purchase price of $27.6 million (including working capital and purchase price adjustments of $0.4 million). The purchase price consists of an initial cash payment to Metasurg of $26.5 million, a separate purchase price adjustment cash payment of $0.4 million, and contingent consideration with an acquisition date fair value of $0.7 million. The potential maximum undiscounted contingent consideration of $38.5 million is based on reaching certain sales levels for acquired products from April 1, 2015 through June 30, 2016. The fair value of this liability is based on future sales projections of the Metasurg product under various potential scenarios and weighting the probability of these outcomes for the twelve-month period ended December 31, 2015. At the date of the acquisition, the cash flow projection was discounted using an internal rate of return of 19.9%. These fair value measurements were based on significant inputs not observed in the market and thus represented a Level 3 measurement.</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Metasurg of approximately $1.7 million and $3.3 million in the condensed consolidated statements of operations for the three- and six-month period ended June 30,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June 30, 2015 to reflect the $0.4 million working capital and purchase price adjustment. The following summarizes the preliminary allocation of the purchase price as of June 30, 2015 based on the fair value of the assets acquired and liabilities assumed: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6660" w:type="dxa"/>
            <w:vAlign w:val="bottom"/>
            <w:gridSpan w:val="3"/>
          </w:tcPr>
          <w:p>
            <w:pPr>
              <w:jc w:val="right"/>
              <w:ind w:right="1717"/>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9820" w:type="dxa"/>
            <w:vAlign w:val="bottom"/>
            <w:gridSpan w:val="4"/>
          </w:tcPr>
          <w:p>
            <w:pPr>
              <w:ind w:left="17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53"/>
        </w:trPr>
        <w:tc>
          <w:tcPr>
            <w:tcW w:w="3160" w:type="dxa"/>
            <w:vAlign w:val="bottom"/>
            <w:shd w:val="clear" w:color="auto" w:fill="CCEEFF"/>
          </w:tcPr>
          <w:p>
            <w:pPr>
              <w:spacing w:after="0"/>
              <w:rPr>
                <w:sz w:val="13"/>
                <w:szCs w:val="13"/>
                <w:color w:val="auto"/>
              </w:rPr>
            </w:pPr>
          </w:p>
        </w:tc>
        <w:tc>
          <w:tcPr>
            <w:tcW w:w="4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980" w:type="dxa"/>
            <w:vAlign w:val="bottom"/>
            <w:shd w:val="clear" w:color="auto" w:fill="CCEEFF"/>
          </w:tcPr>
          <w:p>
            <w:pPr>
              <w:jc w:val="center"/>
              <w:ind w:right="197"/>
              <w:spacing w:after="0" w:line="153" w:lineRule="exact"/>
              <w:rPr>
                <w:sz w:val="20"/>
                <w:szCs w:val="20"/>
                <w:color w:val="auto"/>
              </w:rPr>
            </w:pPr>
            <w:r>
              <w:rPr>
                <w:rFonts w:ascii="Arial" w:cs="Arial" w:eastAsia="Arial" w:hAnsi="Arial"/>
                <w:sz w:val="14"/>
                <w:szCs w:val="14"/>
                <w:b w:val="1"/>
                <w:bCs w:val="1"/>
                <w:color w:val="auto"/>
                <w:w w:val="96"/>
              </w:rPr>
              <w:t>Preliminary</w:t>
            </w:r>
          </w:p>
        </w:tc>
        <w:tc>
          <w:tcPr>
            <w:tcW w:w="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r>
        <w:trPr>
          <w:trHeight w:val="149"/>
        </w:trPr>
        <w:tc>
          <w:tcPr>
            <w:tcW w:w="31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92"/>
        </w:trPr>
        <w:tc>
          <w:tcPr>
            <w:tcW w:w="3160" w:type="dxa"/>
            <w:vAlign w:val="bottom"/>
            <w:shd w:val="clear" w:color="auto" w:fill="CCEEFF"/>
          </w:tcPr>
          <w:p>
            <w:pPr>
              <w:spacing w:after="0"/>
              <w:rPr>
                <w:sz w:val="16"/>
                <w:szCs w:val="16"/>
                <w:color w:val="auto"/>
              </w:rPr>
            </w:pPr>
          </w:p>
        </w:tc>
        <w:tc>
          <w:tcPr>
            <w:tcW w:w="43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center"/>
              <w:ind w:right="217"/>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50"/>
        </w:trPr>
        <w:tc>
          <w:tcPr>
            <w:tcW w:w="316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4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4,800</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1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43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316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Technology product rights</w:t>
            </w:r>
          </w:p>
        </w:tc>
        <w:tc>
          <w:tcPr>
            <w:tcW w:w="43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7"/>
              <w:spacing w:after="0"/>
              <w:rPr>
                <w:sz w:val="20"/>
                <w:szCs w:val="20"/>
                <w:color w:val="auto"/>
              </w:rPr>
            </w:pPr>
            <w:r>
              <w:rPr>
                <w:rFonts w:ascii="Arial" w:cs="Arial" w:eastAsia="Arial" w:hAnsi="Arial"/>
                <w:sz w:val="18"/>
                <w:szCs w:val="18"/>
                <w:color w:val="auto"/>
              </w:rPr>
              <w:t>20,590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8 - 14 Years</w:t>
            </w:r>
          </w:p>
        </w:tc>
        <w:tc>
          <w:tcPr>
            <w:tcW w:w="440" w:type="dxa"/>
            <w:vAlign w:val="bottom"/>
            <w:tcBorders>
              <w:top w:val="single" w:sz="8" w:color="CCEEFF"/>
            </w:tcBorders>
          </w:tcPr>
          <w:p>
            <w:pPr>
              <w:spacing w:after="0"/>
              <w:rPr>
                <w:sz w:val="21"/>
                <w:szCs w:val="21"/>
                <w:color w:val="auto"/>
              </w:rPr>
            </w:pPr>
          </w:p>
        </w:tc>
      </w:tr>
      <w:tr>
        <w:trPr>
          <w:trHeight w:val="27"/>
        </w:trPr>
        <w:tc>
          <w:tcPr>
            <w:tcW w:w="3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5"/>
              </w:rPr>
              <w:t>In-process research and development</w:t>
            </w:r>
          </w:p>
        </w:tc>
        <w:tc>
          <w:tcPr>
            <w:tcW w:w="43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4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31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4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27,558</w:t>
            </w:r>
          </w:p>
        </w:tc>
        <w:tc>
          <w:tcPr>
            <w:tcW w:w="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2014, the Company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MicroFrance of approximately $6.3 million and $12.1 million in the condensed consolidated statements of operations for the three- and six-month period ended June 30,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March 31, 2015 to reflect the $1.5 million working capital and purchase price adjustments. The following summarizes the final allocation of the purchase price as of June 30, 2015 based on the fair value of the assets acquired and liabilities assumed: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80" w:type="dxa"/>
            <w:vAlign w:val="bottom"/>
            <w:shd w:val="clear" w:color="auto" w:fill="CCEEFF"/>
          </w:tcPr>
          <w:p>
            <w:pPr>
              <w:jc w:val="center"/>
              <w:ind w:right="214"/>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r>
      <w:tr>
        <w:trPr>
          <w:trHeight w:val="149"/>
        </w:trPr>
        <w:tc>
          <w:tcPr>
            <w:tcW w:w="75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80" w:type="dxa"/>
            <w:vAlign w:val="bottom"/>
            <w:shd w:val="clear" w:color="auto" w:fill="CCEEFF"/>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r>
      <w:tr>
        <w:trPr>
          <w:trHeight w:val="192"/>
        </w:trPr>
        <w:tc>
          <w:tcPr>
            <w:tcW w:w="75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98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3,155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5,025</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4,580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15 - 16 Years</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18,130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12 - 16 Years</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16,607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65,977</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5,910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60,067</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the Company.</w:t>
      </w:r>
    </w:p>
    <w:p>
      <w:pPr>
        <w:sectPr>
          <w:pgSz w:w="11900" w:h="16838" w:orient="portrait"/>
          <w:cols w:equalWidth="0" w:num="1">
            <w:col w:w="11420"/>
          </w:cols>
          <w:pgMar w:left="240" w:top="121" w:right="239" w:bottom="1440" w:gutter="0" w:footer="0" w:header="0"/>
        </w:sect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revenue for Confluent Surgical of approximately $18.9 million and $36.6 million in the condensed consolidated statements of operations for the three- and six-month periods ended June 30, 2015 and $14.1 million and $32.4 million for the three- and six-month periods ended June 30, 2014. The net income or loss attributable to this acquisition cannot be identified on a stand-alone basis because it has been fully integrated into the Company's operations.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June 30, 2015 based on the fair value of the assets acquired and liabilities assumed: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75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62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750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3 - 20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5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Deferred tax assets - long term</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105,331</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750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349,981</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 long term</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87,464</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these acquisitions is based on (i) expected cost savings, operating synergies and other benefits expected to result from the combined operations, (ii) the value of the going-concern element of the existing businesses (that is, the higher rate of return on the assembled net assets versus if the Company had acquired all of the net assets separately), and (iii) intangible assets that do not qualify for separate recognition such as an assembled workforce. The acquisitions generated a combination of deductible and non-deductible 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increased the fair value of contingent consideration during the six-month period ended June 30, 2015 to reflect the change in the time value of money during the period. A reconciliation of the opening balances to the closing balances of these Level 3 measurements is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22,008</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239</w:t>
            </w: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June 30, 2015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22,247</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entire contingent consideration balance was included in Other liabilities at June 30, 2015 and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unaudited pro forma financial information summarizes the results of operations for the three and six months ended June 30, 2014 as if the acquisitions completed by the Company during 2014 had been completed as of January 1, 2013.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2013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4"/>
                <w:szCs w:val="14"/>
                <w:b w:val="1"/>
                <w:bCs w:val="1"/>
                <w:color w:val="auto"/>
                <w:w w:val="97"/>
              </w:rPr>
              <w:t>Three Months Ended June 30, 2014</w:t>
            </w:r>
          </w:p>
        </w:tc>
        <w:tc>
          <w:tcPr>
            <w:tcW w:w="28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Six Months Ended June 30, 2014</w:t>
            </w:r>
          </w:p>
        </w:tc>
      </w:t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 share amounts)</w:t>
            </w:r>
          </w:p>
        </w:tc>
        <w:tc>
          <w:tcPr>
            <w:tcW w:w="1560" w:type="dxa"/>
            <w:vAlign w:val="bottom"/>
          </w:tcPr>
          <w:p>
            <w:pPr>
              <w:spacing w:after="0"/>
              <w:rPr>
                <w:sz w:val="16"/>
                <w:szCs w:val="16"/>
                <w:color w:val="auto"/>
              </w:rPr>
            </w:pPr>
          </w:p>
        </w:tc>
      </w:tr>
      <w:tr>
        <w:trPr>
          <w:trHeight w:val="66"/>
        </w:trPr>
        <w:tc>
          <w:tcPr>
            <w:tcW w:w="5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tcPr>
          <w:p>
            <w:pPr>
              <w:spacing w:after="0"/>
              <w:rPr>
                <w:sz w:val="5"/>
                <w:szCs w:val="5"/>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7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241,801</w:t>
            </w:r>
          </w:p>
        </w:tc>
        <w:tc>
          <w:tcPr>
            <w:tcW w:w="94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467,310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700" w:type="dxa"/>
            <w:vAlign w:val="bottom"/>
            <w:gridSpan w:val="2"/>
          </w:tcPr>
          <w:p>
            <w:pPr>
              <w:jc w:val="right"/>
              <w:ind w:right="99"/>
              <w:spacing w:after="0"/>
              <w:rPr>
                <w:sz w:val="20"/>
                <w:szCs w:val="20"/>
                <w:color w:val="auto"/>
              </w:rPr>
            </w:pPr>
            <w:r>
              <w:rPr>
                <w:rFonts w:ascii="Arial" w:cs="Arial" w:eastAsia="Arial" w:hAnsi="Arial"/>
                <w:sz w:val="18"/>
                <w:szCs w:val="18"/>
                <w:color w:val="auto"/>
              </w:rPr>
              <w:t>7,009</w:t>
            </w:r>
          </w:p>
        </w:tc>
        <w:tc>
          <w:tcPr>
            <w:tcW w:w="94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12,581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2700" w:type="dxa"/>
            <w:vAlign w:val="bottom"/>
            <w:gridSpan w:val="2"/>
          </w:tcPr>
          <w:p>
            <w:pPr>
              <w:jc w:val="right"/>
              <w:ind w:right="99"/>
              <w:spacing w:after="0"/>
              <w:rPr>
                <w:sz w:val="20"/>
                <w:szCs w:val="20"/>
                <w:color w:val="auto"/>
              </w:rPr>
            </w:pPr>
            <w:r>
              <w:rPr>
                <w:rFonts w:ascii="Arial" w:cs="Arial" w:eastAsia="Arial" w:hAnsi="Arial"/>
                <w:sz w:val="18"/>
                <w:szCs w:val="18"/>
                <w:color w:val="auto"/>
              </w:rPr>
              <w:t>0.22</w:t>
            </w:r>
          </w:p>
        </w:tc>
        <w:tc>
          <w:tcPr>
            <w:tcW w:w="940" w:type="dxa"/>
            <w:vAlign w:val="bottom"/>
          </w:tcPr>
          <w:p>
            <w:pPr>
              <w:jc w:val="right"/>
              <w:ind w:right="59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0.39</w:t>
            </w:r>
          </w:p>
        </w:tc>
      </w:tr>
      <w:tr>
        <w:trPr>
          <w:trHeight w:val="702"/>
        </w:trPr>
        <w:tc>
          <w:tcPr>
            <w:tcW w:w="562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97"/>
        </w:trPr>
        <w:tc>
          <w:tcPr>
            <w:tcW w:w="5620" w:type="dxa"/>
            <w:vAlign w:val="bottom"/>
          </w:tcPr>
          <w:p>
            <w:pPr>
              <w:spacing w:after="0"/>
              <w:rPr>
                <w:sz w:val="20"/>
                <w:szCs w:val="20"/>
                <w:color w:val="auto"/>
              </w:rPr>
            </w:pPr>
            <w:r>
              <w:rPr>
                <w:rFonts w:ascii="Arial" w:cs="Arial" w:eastAsia="Arial" w:hAnsi="Arial"/>
                <w:sz w:val="18"/>
                <w:szCs w:val="18"/>
                <w:color w:val="auto"/>
              </w:rPr>
              <w:t>Inventories, net consisted of the following:</w:t>
            </w: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588"/>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94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5"/>
              </w:rPr>
              <w:t>December 31, 2014</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80" w:type="dxa"/>
            <w:vAlign w:val="bottom"/>
            <w:gridSpan w:val="4"/>
          </w:tcPr>
          <w:p>
            <w:pPr>
              <w:jc w:val="right"/>
              <w:ind w:right="1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146,912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150,483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54,707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50,166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40,216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36,465</w:t>
            </w:r>
          </w:p>
        </w:tc>
      </w:tr>
      <w:tr>
        <w:trPr>
          <w:trHeight w:val="237"/>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241,835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237,114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2015 the Company revised its reportable segments in connection with the realignment of its portfolio. Specifically, the Company integrated the five existing business divisions into three global divisions, no longer focusing on international as a separate reportable segment but managing each business globally. The change in reportable segments resulted in the Company's requirement to reallocate existing goodwill to the new reportable segments based on the relative-fair-value of</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four underlying reporting units. With the reportable segments now being managed at a global level, goodwill previously assigned to the EMEA, LAPAC, and Private Label reporting units was reallocated to the new global reporting units. The Company estimated the fair value of the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43"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 likely to be considered by a market participant. The weighted-average cost of capital is the Company's estimate of the overall after-tax rate of return required by equity and debt holders of a business enterprise.</w:t>
      </w:r>
    </w:p>
    <w:p>
      <w:pPr>
        <w:spacing w:after="0" w:line="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Based on the Company's fair value calculations, with the exception of the Spine reporting unit, given the excess of the Specialty Surgical Solutions Instruments, Specialty Surgical Solutions Neurosurgery, and Orthopedics and Tissue Technologies estimated fair value over their carrying value after the reallocation of goodwill, management concluded that any future goodwill impairment is not likely. The Company's allocation of goodwill to the Spine reporting unit has been impaired during the first quarter of 2015 as a result of the carrying value of its goodwill exceeding the implied fair value. Refer to Note 12 </w:t>
      </w:r>
      <w:r>
        <w:rPr>
          <w:rFonts w:ascii="Arial" w:cs="Arial" w:eastAsia="Arial" w:hAnsi="Arial"/>
          <w:sz w:val="17"/>
          <w:szCs w:val="17"/>
          <w:i w:val="1"/>
          <w:iCs w:val="1"/>
          <w:color w:val="auto"/>
        </w:rPr>
        <w:t>- Segment and Geographic Information</w:t>
      </w:r>
      <w:r>
        <w:rPr>
          <w:rFonts w:ascii="Arial" w:cs="Arial" w:eastAsia="Arial" w:hAnsi="Arial"/>
          <w:sz w:val="17"/>
          <w:szCs w:val="17"/>
          <w:color w:val="auto"/>
        </w:rPr>
        <w:t xml:space="preserve"> for more information on the change in reportable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Orthopedics and</w:t>
            </w: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Spine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0"/>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2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281,829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281,829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363,888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MicroFrance working capital and purchase price adjustments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Metasurg working capital and purchase price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28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Balance, June 30, 2015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276,550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80,472</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357,022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0"/>
              </w:rPr>
              <w:t>June 30, 2015</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720" w:type="dxa"/>
            <w:vAlign w:val="bottom"/>
          </w:tcPr>
          <w:p>
            <w:pPr>
              <w:jc w:val="center"/>
              <w:ind w:right="135"/>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Life</w:t>
            </w: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6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18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344,406</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272,013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720" w:type="dxa"/>
            <w:vAlign w:val="bottom"/>
          </w:tcPr>
          <w:p>
            <w:pPr>
              <w:jc w:val="center"/>
              <w:ind w:right="155"/>
              <w:spacing w:after="0"/>
              <w:rPr>
                <w:sz w:val="20"/>
                <w:szCs w:val="20"/>
                <w:color w:val="auto"/>
              </w:rPr>
            </w:pPr>
            <w:r>
              <w:rPr>
                <w:rFonts w:ascii="Arial" w:cs="Arial" w:eastAsia="Arial" w:hAnsi="Arial"/>
                <w:sz w:val="18"/>
                <w:szCs w:val="18"/>
                <w:color w:val="auto"/>
                <w:w w:val="86"/>
              </w:rPr>
              <w:t>12 years</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159,548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(91,621)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67,927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34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43,221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27,407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720" w:type="dxa"/>
            <w:vAlign w:val="bottom"/>
          </w:tcPr>
          <w:p>
            <w:pPr>
              <w:jc w:val="center"/>
              <w:ind w:right="135"/>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23,199</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720" w:type="dxa"/>
            <w:vAlign w:val="bottom"/>
            <w:tcBorders>
              <w:bottom w:val="single" w:sz="8" w:color="CCEEFF"/>
            </w:tcBorders>
          </w:tcPr>
          <w:p>
            <w:pPr>
              <w:jc w:val="center"/>
              <w:ind w:right="155"/>
              <w:spacing w:after="0"/>
              <w:rPr>
                <w:sz w:val="20"/>
                <w:szCs w:val="20"/>
                <w:color w:val="auto"/>
              </w:rPr>
            </w:pPr>
            <w:r>
              <w:rPr>
                <w:rFonts w:ascii="Arial" w:cs="Arial" w:eastAsia="Arial" w:hAnsi="Arial"/>
                <w:sz w:val="18"/>
                <w:szCs w:val="18"/>
                <w:color w:val="auto"/>
                <w:w w:val="88"/>
              </w:rPr>
              <w:t>4 years</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2,721</w:t>
            </w:r>
          </w:p>
        </w:tc>
        <w:tc>
          <w:tcPr>
            <w:tcW w:w="2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633,101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(192,518)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440,583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62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18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345,082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(62,920)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282,162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20" w:type="dxa"/>
            <w:vAlign w:val="bottom"/>
          </w:tcPr>
          <w:p>
            <w:pPr>
              <w:jc w:val="center"/>
              <w:ind w:right="136"/>
              <w:spacing w:after="0"/>
              <w:rPr>
                <w:sz w:val="20"/>
                <w:szCs w:val="20"/>
                <w:color w:val="auto"/>
              </w:rPr>
            </w:pPr>
            <w:r>
              <w:rPr>
                <w:rFonts w:ascii="Arial" w:cs="Arial" w:eastAsia="Arial" w:hAnsi="Arial"/>
                <w:sz w:val="18"/>
                <w:szCs w:val="18"/>
                <w:color w:val="auto"/>
                <w:w w:val="86"/>
              </w:rPr>
              <w:t>12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162,031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(87,653)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74,378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34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Trademarks/brand names</w:t>
            </w:r>
          </w:p>
        </w:tc>
        <w:tc>
          <w:tcPr>
            <w:tcW w:w="1620" w:type="dxa"/>
            <w:vAlign w:val="bottom"/>
          </w:tcPr>
          <w:p>
            <w:pPr>
              <w:jc w:val="center"/>
              <w:ind w:right="156"/>
              <w:spacing w:after="0"/>
              <w:rPr>
                <w:sz w:val="20"/>
                <w:szCs w:val="20"/>
                <w:color w:val="auto"/>
              </w:rPr>
            </w:pPr>
            <w:r>
              <w:rPr>
                <w:rFonts w:ascii="Arial" w:cs="Arial" w:eastAsia="Arial" w:hAnsi="Arial"/>
                <w:sz w:val="18"/>
                <w:szCs w:val="18"/>
                <w:color w:val="auto"/>
                <w:w w:val="95"/>
              </w:rPr>
              <w:t>Indefinite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Arial" w:cs="Arial" w:eastAsia="Arial" w:hAnsi="Arial"/>
                <w:sz w:val="18"/>
                <w:szCs w:val="18"/>
                <w:color w:val="auto"/>
                <w:w w:val="86"/>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620" w:type="dxa"/>
            <w:vAlign w:val="bottom"/>
            <w:tcBorders>
              <w:bottom w:val="single" w:sz="8" w:color="CCEEFF"/>
            </w:tcBorders>
          </w:tcPr>
          <w:p>
            <w:pPr>
              <w:jc w:val="center"/>
              <w:ind w:right="136"/>
              <w:spacing w:after="0"/>
              <w:rPr>
                <w:sz w:val="20"/>
                <w:szCs w:val="20"/>
                <w:color w:val="auto"/>
              </w:rPr>
            </w:pPr>
            <w:r>
              <w:rPr>
                <w:rFonts w:ascii="Arial" w:cs="Arial" w:eastAsia="Arial" w:hAnsi="Arial"/>
                <w:sz w:val="18"/>
                <w:szCs w:val="18"/>
                <w:color w:val="auto"/>
                <w:w w:val="88"/>
              </w:rPr>
              <w:t>4 years</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4,810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(3,052)</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639,648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(180,189)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459,459</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June 30, 2015 and December 31, 2014, all other included in-process research and development ("IPR&amp;D") of $1.4 million in both periods, which was indefinite-lived.</w:t>
      </w:r>
    </w:p>
    <w:p>
      <w:pPr>
        <w:spacing w:after="0" w:line="6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2014, the Company recorded an impairment charge of $0.6 million in cost of goods sold related to technology assets acquired from Confluent Surgical that will no longer be sold resulting from a regulatory event that occurred after the acquisition date.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$31.9 million in 2015, $29.7 million in 2016, $27.6 million in 2017, $27.3 million in 2018 and $26.5 million in 2019.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2014, the Company entered into an amendment to the amended and restated credit agreement (the "Senior Credit Facility") which modified covenants to permit the distribution and/or dividend by the Company of its spine business to the Company's public stockholders. The intent of the amendment was to permit the Company to consummate the spine business spin-off transaction.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2, 2014, the Company entered into the Senior Credit Facility with a syndicate of lending banks, Bank of America, N.A., as Administrative Agent, Swing Line Lender and L/C Issuer, Wells Fargo Bank, National Association, as Syndication Agent and HSBC Bank USA, National Association, Royal Bank of Canada, Citizens Bank, National Association, DNB Capital LLC, Credit Agricole-Corporate and Investment Bank and TD Bank, N.A., as Co-Documentation Agents. The Company's Senior Credit Facility was originally amended and restated on August 10, 2010, and that agreement was then amended on June 8, 2011, May 11, 2012, and June 21, 2013, as previously disclosed.</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2014 amended and restated Senior Credit Facility created an aggregate principal amount of up to $900.0 million available to the Company through the following facilities:</w:t>
      </w:r>
    </w:p>
    <w:p>
      <w:pPr>
        <w:spacing w:after="0" w:line="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$750.0 million revolving credit facility (increased from $600.0 million),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$150.0 million term loan facility.</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 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92"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2015 the Company was in compliance with all such covenants. In connection with the modification of the 2014 amendment and restatement of the Senior Credit Facility, the Company capitalized $3.2 million of incremental financing costs, and expensed $0.3 million of previously capitalized financing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2014, the Company borrowed $422.0 million under the Senior Credit Facility consisting of a $150.0 million term loan and $272.0 million under its revolving credit facility. The Company used the funds to repay the balance of its previous Senior Credit Facility. The outstanding borrowings have one, two, three, six months, or, if available, twelve months interest periods.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and December 31, 2014, there was $286.9 million and $266.9 million outstanding under the revolving credit component of the Senior Credit Facility at a weighted average interest rate of 2.0% and 1.7%, respectively. At June 30, 2015, there was approximately $463.1 million available for borrowing under the Senior Credit Facility.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2015 there was $150.0 million outstanding under the term loan component of the Senior Credit Facility at a weighted average interest rate of 1.8%. Contractual repayments of the term loan do not begin until September 30, 2015 and are due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2015</w:t>
            </w:r>
          </w:p>
        </w:tc>
        <w:tc>
          <w:tcPr>
            <w:tcW w:w="744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9,375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13,125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108,750</w:t>
            </w:r>
          </w:p>
        </w:tc>
      </w:tr>
      <w:tr>
        <w:trPr>
          <w:trHeight w:val="237"/>
        </w:trPr>
        <w:tc>
          <w:tcPr>
            <w:tcW w:w="2000" w:type="dxa"/>
            <w:vAlign w:val="bottom"/>
          </w:tcPr>
          <w:p>
            <w:pPr>
              <w:spacing w:after="0"/>
              <w:rPr>
                <w:sz w:val="20"/>
                <w:szCs w:val="20"/>
                <w:color w:val="auto"/>
              </w:rPr>
            </w:pPr>
          </w:p>
        </w:tc>
        <w:tc>
          <w:tcPr>
            <w:tcW w:w="7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150,000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outstanding borrowings of the Senior Credit Facility's revolving credit facility and term loan components at June 30, 2015 was approximately $269.1 million and $143.0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the carrying amount of the liability component was $217.3 million, the remaining unamortized discount was $12.7 million, and the principal amount outstanding was $230.0 million. The fair value of the 2016 Notes at June 30, 2015 was approximately $285.8 million. At December 31, 2014, the carrying amount of the liability component was $213.1 million, the remaining unamortized discount was $16.9 million and the principal amount outstanding was $230.0 million. The fair value of</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2,903 note holders provided notice to convert. The Company has classified the cash settlement of the conversion into short-term as of June 30, 2015. The remainder of the debt has continued to be classified as long-term as the conversion window has closed.</w:t>
      </w:r>
    </w:p>
    <w:p>
      <w:pPr>
        <w:spacing w:after="0" w:line="13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 Refer to Note 14 -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more information on the change in the conversion price as a result of the SeaSpine Separation.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3,433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2,709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5,413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5,072</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The Company uses an interest rate swap derivative instrument entered into on August 10, 2010 with an effective date of December 31, 2010 to manage its earnings and cash flow exposure to changes in interest rates by converting a portion of its floating-rate debt into fixed-rate debt beginning on December 31, 2010. This interest rate swap expires on August 10, 2015.</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this derivative instrument as a cash flow hedge. The Company records the effective portion of any change in the fair value of a derivative instrument designated as a cash flow hedge as unrealized gains or losses in accumulated other comprehensive income (“AOCI”), net of tax, until the hedged item affects earnings, at which point the effective portion of any gain or loss will be reclassified to earnings. If the hedged cash flow does not occur, or if it becomes probable that it will not occur, the Company will reclassify the amount of any gain or loss on the related cash flow hedge to interest expense at that time.</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that approximately $0.2 million of pre-tax losses recorded as net in AOCI related to the interest rate hedge could be reclassified to earnings prior to the date of expiration.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enters into foreign currency hedge contracts intended to protect the U.S. dollar value of certain forecasted foreign currency denominated transactions. The Company records the effective portion of any change in the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contracts outstanding as of June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June 30, 2015 and December 31,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Fair Value as of</w:t>
            </w:r>
          </w:p>
        </w:tc>
        <w:tc>
          <w:tcPr>
            <w:tcW w:w="820" w:type="dxa"/>
            <w:vAlign w:val="bottom"/>
            <w:tcBorders>
              <w:bottom w:val="single" w:sz="8" w:color="auto"/>
            </w:tcBorders>
          </w:tcPr>
          <w:p>
            <w:pPr>
              <w:spacing w:after="0"/>
              <w:rPr>
                <w:sz w:val="16"/>
                <w:szCs w:val="16"/>
                <w:color w:val="auto"/>
              </w:rPr>
            </w:pP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June 30, 2015</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December 31, 2014</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Borders>
              <w:top w:val="single" w:sz="8" w:color="auto"/>
            </w:tcBorders>
          </w:tcPr>
          <w:p>
            <w:pPr>
              <w:spacing w:after="0"/>
              <w:rPr>
                <w:sz w:val="21"/>
                <w:szCs w:val="21"/>
                <w:color w:val="auto"/>
              </w:rPr>
            </w:pP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2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280" w:type="dxa"/>
            <w:vAlign w:val="bottom"/>
            <w:tcBorders>
              <w:bottom w:val="single" w:sz="8" w:color="auto"/>
            </w:tcBorders>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w:t>
            </w: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280" w:type="dxa"/>
            <w:vAlign w:val="bottom"/>
            <w:tcBorders>
              <w:bottom w:val="single" w:sz="8" w:color="CCEEFF"/>
            </w:tcBorders>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At June 30, 2015 and December 31, 2014, the notional amount related to the Company’s sole interest rate swap was $90.0 million and $97.5 million, respectively. In the next twelve months, the Company expects to reduce the notional amount by the entire $90.0 million.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and six months ended June 30,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of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June 30, 2015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 2014</w:t>
            </w: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Amount of Loss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Six Months Ended June 30, 2014</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(1,713)</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no gains or losses resulting from ineffectiveness of cash flow hedges during the six months ended June 30, 2015 and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2015, there were approximately $2.4 million of total unrecognized compensation costs related to unvested stock options. These costs are expected to be recognized over a weighted-average period of approximately two years. There were 77,347 stock options granted during the six months ended June 30,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June 30, 2015, there were approximately $18.4 million of total unrecognized compensation costs related to these unvested awards. The Company expects to recognize these costs over a weighted-average period of approximately two years. The Company granted 146,300 restricted stock awards/stock units and 64,930 performance shares during the six months ended June 30,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28, 2014, the Board of Directors terminated the October 2012 authorization and authorized up to $75.0 million of its outstanding common stock through December 2016. The Company has not repurchased any of its outstanding shares of common stock during the six-month periods ended June 30, 2015 and 2014. As of June 30, 2015, there remained $75.0 million available for repurchases under this authorization.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6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1300" w:type="dxa"/>
            <w:vAlign w:val="bottom"/>
          </w:tcPr>
          <w:p>
            <w:pPr>
              <w:jc w:val="right"/>
              <w:ind w:right="42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20" w:type="dxa"/>
            <w:vAlign w:val="bottom"/>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135"/>
        </w:trPr>
        <w:tc>
          <w:tcPr>
            <w:tcW w:w="57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r>
      <w:tr>
        <w:trPr>
          <w:trHeight w:val="243"/>
        </w:trPr>
        <w:tc>
          <w:tcPr>
            <w:tcW w:w="6560" w:type="dxa"/>
            <w:vAlign w:val="bottom"/>
            <w:gridSpan w:val="2"/>
            <w:shd w:val="clear" w:color="auto" w:fill="CCEEFF"/>
          </w:tcPr>
          <w:p>
            <w:pPr>
              <w:jc w:val="right"/>
              <w:ind w:right="5208"/>
              <w:spacing w:after="0"/>
              <w:rPr>
                <w:sz w:val="20"/>
                <w:szCs w:val="20"/>
                <w:color w:val="auto"/>
              </w:rPr>
            </w:pPr>
            <w:r>
              <w:rPr>
                <w:rFonts w:ascii="Arial" w:cs="Arial" w:eastAsia="Arial" w:hAnsi="Arial"/>
                <w:sz w:val="18"/>
                <w:szCs w:val="18"/>
                <w:color w:val="auto"/>
                <w:w w:val="90"/>
              </w:rPr>
              <w:t>Reported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5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three months ended June 30, 2015 and 2014 were 34.0% and 32.9%, respectively. The primary drivers of the higher tax rate for the three months ended June 30, 2015 were a tax expense of $0.4 million for nondeductible costs relating to the spine spin-off transaction and a tax expense of $0.4 million relating to foreign tax returns filed during the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six months ended June 30, 2015 and 2014 were 33.7% and 37.0%, respectively. The primary drivers of the overall tax rate for the six months ended June 30, 2014 were a tax expense of $1.1 million relating to foreign and state income tax audit settlements and a tax expense of $0.3 million relating to a change in state filing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32%, resulting largely from nondeductible spine spin-off costs and audit settlements offset by the release of uncertain tax positions, as well as the jurisdictional mix of pretax income in U.S.-based operations relative to foreign operations. This estimate could be revised in the future as additional information is presented to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20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5"/>
              </w:rPr>
              <w:t>Six Months Ended June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r>
      <w:tr>
        <w:trPr>
          <w:trHeight w:val="352"/>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80" w:type="dxa"/>
            <w:vAlign w:val="bottom"/>
            <w:gridSpan w:val="8"/>
          </w:tcPr>
          <w:p>
            <w:pPr>
              <w:ind w:left="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5"/>
        </w:trPr>
        <w:tc>
          <w:tcPr>
            <w:tcW w:w="57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5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7,031</w:t>
            </w:r>
          </w:p>
        </w:tc>
      </w:tr>
      <w:tr>
        <w:trPr>
          <w:trHeight w:val="243"/>
        </w:trPr>
        <w:tc>
          <w:tcPr>
            <w:tcW w:w="57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32,336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0.22</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7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57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4,998</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4,825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13,382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7,031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57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33,032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32,884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32,336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gridSpan w:val="4"/>
          </w:tcPr>
          <w:p>
            <w:pPr>
              <w:ind w:left="40"/>
              <w:spacing w:after="0"/>
              <w:rPr>
                <w:sz w:val="20"/>
                <w:szCs w:val="20"/>
                <w:color w:val="auto"/>
              </w:rPr>
            </w:pPr>
            <w:r>
              <w:rPr>
                <w:rFonts w:ascii="Arial" w:cs="Arial" w:eastAsia="Arial" w:hAnsi="Arial"/>
                <w:sz w:val="18"/>
                <w:szCs w:val="18"/>
                <w:color w:val="auto"/>
              </w:rPr>
              <w:t>2016 Convertible notes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r>
      <w:tr>
        <w:trPr>
          <w:trHeight w:val="237"/>
        </w:trPr>
        <w:tc>
          <w:tcPr>
            <w:tcW w:w="57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33,939</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33,644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32,796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57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4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0.21</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2015 and 2014, the Company had 1.1 million and 1.4 million of outstanding stock options, respectively. The Company also has warrants outstanding relating to its 2016 Notes at June 30, 2015 and 2014 and the Company's 2016 Notes are convertible to common shares in certain circumstances (see Note 5). Stock options, restricted stock, warrants and the excess conversion value of the 2016 Notes are included in the diluted earnings per share calculation using the treasury stock method, unless the effect of including such items would be anti-dilutive.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2015 and 2014, 0.1 million and 0.2 million, respectively, of anti-dilutive stock options were excluded from the diluted earnings per share calculation. For the six months ended June 30, 2015 and 2014, a minimal amount and 0.2 million, respectively, of anti-dilutive stock options were excluded from the diluted earnings per share calculation. The effect of outstanding warrants were anti-dilutive because the strike price of the warrants exceeded the Company’s average stock price for the periods presented.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six months ended June 30, 2015, the potential excess conversion value on the 2016 Notes was included in the Company's dilutive share calculation because the average stock price for the three and six months ended June 30, 2015 exceeded the conversion price. The potential excess conversion value of the 2016 Notes were anti-dilutive because the conversion price exceeded the Company's stock price for the three and six months ended June 30, 2014; therefore, these amounts have been excluded from the diluted earnings per share calculation.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8100" w:firstLine="8"/>
        <w:spacing w:after="0" w:line="453" w:lineRule="auto"/>
        <w:tabs>
          <w:tab w:leader="none" w:pos="2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190"/>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4,998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4,825</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13,382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7,031</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12,325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7,957</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2014 and June 30, 2015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(17,227)</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(16,800)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reclassification adjustments out of Accumulated Other Comprehensive Loss during the three and six months ended June 30, 2015 were as follows: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(373)</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97"/>
        </w:trPr>
        <w:tc>
          <w:tcPr>
            <w:tcW w:w="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2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r>
      <w:tr>
        <w:trPr>
          <w:trHeight w:val="311"/>
        </w:trPr>
        <w:tc>
          <w:tcPr>
            <w:tcW w:w="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2"/>
              </w:rPr>
              <w:t>Six Months Ended June 30, 2015</w:t>
            </w:r>
          </w:p>
        </w:tc>
        <w:tc>
          <w:tcPr>
            <w:tcW w:w="2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38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3"/>
                <w:szCs w:val="13"/>
                <w:color w:val="auto"/>
              </w:rPr>
            </w:pPr>
          </w:p>
        </w:tc>
        <w:tc>
          <w:tcPr>
            <w:tcW w:w="340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3"/>
                <w:szCs w:val="13"/>
                <w:color w:val="auto"/>
              </w:rPr>
            </w:pPr>
          </w:p>
        </w:tc>
        <w:tc>
          <w:tcPr>
            <w:tcW w:w="3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97"/>
        </w:trPr>
        <w:tc>
          <w:tcPr>
            <w:tcW w:w="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2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r>
      <w:tr>
        <w:trPr>
          <w:trHeight w:val="311"/>
        </w:trPr>
        <w:tc>
          <w:tcPr>
            <w:tcW w:w="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Starting in the first quarter of 2015, because of changes in how the Company internally manages and reports the results of its businesses to its chief operating decision maker, the Company is disclosing three global reportable segments. The three global reportable segments and their activities are described below, as follows:</w:t>
      </w:r>
    </w:p>
    <w:p>
      <w:pPr>
        <w:spacing w:after="0" w:line="235"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specifically for neurosurgery and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8"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Spine segment focuses on spinal fusion, spinal implants, and deformity correction, together with bone graft substitutes and other related medical devices that are used to enhance the repair and regeneration of bone in various types of orthopedic surgical procedures. Subsequent to June 30, 2015, this operating segment was eliminated due to the spin-off of the SeaSpine business. Refer to Note 14 -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 additional information.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notable change from the Company's financial statements for the year ended December 31, 2014 included in the Annual Report on Form 10-K is the integration of the former International reportable segment into the segments noted above as well as the Private Label segment into Orthopedics and Tissue Technologies and Spine.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six months ended June 30, 2015 and 2014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9"/>
              </w:rPr>
              <w:t>Six Months Ended June 30,</w:t>
            </w:r>
          </w:p>
        </w:tc>
        <w:tc>
          <w:tcPr>
            <w:tcW w:w="0" w:type="dxa"/>
            <w:vAlign w:val="bottom"/>
          </w:tcPr>
          <w:p>
            <w:pPr>
              <w:spacing w:after="0"/>
              <w:rPr>
                <w:sz w:val="1"/>
                <w:szCs w:val="1"/>
                <w:color w:val="auto"/>
              </w:rPr>
            </w:pPr>
          </w:p>
        </w:tc>
      </w:tr>
      <w:tr>
        <w:trPr>
          <w:trHeight w:val="264"/>
        </w:trPr>
        <w:tc>
          <w:tcPr>
            <w:tcW w:w="43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3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160" w:type="dxa"/>
            <w:vAlign w:val="bottom"/>
            <w:tcBorders>
              <w:bottom w:val="single" w:sz="8" w:color="BFE4FF"/>
            </w:tcBorders>
            <w:shd w:val="clear" w:color="auto" w:fill="BFE4FF"/>
          </w:tcPr>
          <w:p>
            <w:pPr>
              <w:spacing w:after="0"/>
              <w:rPr>
                <w:sz w:val="22"/>
                <w:szCs w:val="22"/>
                <w:color w:val="auto"/>
              </w:rPr>
            </w:pPr>
          </w:p>
        </w:tc>
        <w:tc>
          <w:tcPr>
            <w:tcW w:w="20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146,709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137,516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286,769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264,710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16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63,834</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57,954</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125,199</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112,544</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Spine</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33,535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35,881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65,775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69,156</w:t>
            </w:r>
          </w:p>
        </w:tc>
        <w:tc>
          <w:tcPr>
            <w:tcW w:w="0" w:type="dxa"/>
            <w:vAlign w:val="bottom"/>
          </w:tcPr>
          <w:p>
            <w:pPr>
              <w:spacing w:after="0"/>
              <w:rPr>
                <w:sz w:val="1"/>
                <w:szCs w:val="1"/>
                <w:color w:val="auto"/>
              </w:rPr>
            </w:pPr>
          </w:p>
        </w:tc>
      </w:tr>
      <w:tr>
        <w:trPr>
          <w:trHeight w:val="27"/>
        </w:trPr>
        <w:tc>
          <w:tcPr>
            <w:tcW w:w="4360" w:type="dxa"/>
            <w:vAlign w:val="bottom"/>
            <w:tcBorders>
              <w:bottom w:val="single" w:sz="8" w:color="BFE4FF"/>
            </w:tcBorders>
          </w:tcPr>
          <w:p>
            <w:pPr>
              <w:spacing w:after="0"/>
              <w:rPr>
                <w:sz w:val="2"/>
                <w:szCs w:val="2"/>
                <w:color w:val="auto"/>
              </w:rPr>
            </w:pPr>
          </w:p>
        </w:tc>
        <w:tc>
          <w:tcPr>
            <w:tcW w:w="216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Total revenues</w:t>
            </w:r>
          </w:p>
        </w:tc>
        <w:tc>
          <w:tcPr>
            <w:tcW w:w="2360" w:type="dxa"/>
            <w:vAlign w:val="bottom"/>
            <w:tcBorders>
              <w:bottom w:val="single" w:sz="8" w:color="BFE4FF"/>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244,078</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231,351</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477,743</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446,410</w:t>
            </w:r>
          </w:p>
        </w:tc>
        <w:tc>
          <w:tcPr>
            <w:tcW w:w="0" w:type="dxa"/>
            <w:vAlign w:val="bottom"/>
          </w:tcPr>
          <w:p>
            <w:pPr>
              <w:spacing w:after="0"/>
              <w:rPr>
                <w:sz w:val="1"/>
                <w:szCs w:val="1"/>
                <w:color w:val="auto"/>
              </w:rPr>
            </w:pPr>
          </w:p>
        </w:tc>
      </w:tr>
      <w:tr>
        <w:trPr>
          <w:trHeight w:val="20"/>
        </w:trPr>
        <w:tc>
          <w:tcPr>
            <w:tcW w:w="436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Segment Profit</w:t>
            </w:r>
          </w:p>
        </w:tc>
        <w:tc>
          <w:tcPr>
            <w:tcW w:w="216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vMerge w:val="continue"/>
          </w:tcPr>
          <w:p>
            <w:pPr>
              <w:spacing w:after="0"/>
              <w:rPr>
                <w:sz w:val="17"/>
                <w:szCs w:val="17"/>
                <w:color w:val="auto"/>
              </w:rPr>
            </w:pP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Specialty Surgical Solutions</w:t>
            </w:r>
          </w:p>
        </w:tc>
        <w:tc>
          <w:tcPr>
            <w:tcW w:w="2360" w:type="dxa"/>
            <w:vAlign w:val="bottom"/>
            <w:tcBorders>
              <w:bottom w:val="single" w:sz="8" w:color="BFE4FF"/>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62,325</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48,991</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122,657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97,288</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Orthopedics and Tissue Technologies</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20,019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38,010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37,020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Spine</w:t>
            </w:r>
          </w:p>
        </w:tc>
        <w:tc>
          <w:tcPr>
            <w:tcW w:w="2160" w:type="dxa"/>
            <w:vAlign w:val="bottom"/>
            <w:tcBorders>
              <w:bottom w:val="single" w:sz="8" w:color="BFE4FF"/>
            </w:tcBorders>
            <w:shd w:val="clear" w:color="auto" w:fill="BFE4FF"/>
          </w:tcPr>
          <w:p>
            <w:pPr>
              <w:spacing w:after="0"/>
              <w:rPr>
                <w:sz w:val="23"/>
                <w:szCs w:val="23"/>
                <w:color w:val="auto"/>
              </w:rPr>
            </w:pPr>
          </w:p>
        </w:tc>
        <w:tc>
          <w:tcPr>
            <w:tcW w:w="2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4,101</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37"/>
        </w:trPr>
        <w:tc>
          <w:tcPr>
            <w:tcW w:w="436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82,019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73,111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162,245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141,157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2160" w:type="dxa"/>
            <w:vAlign w:val="bottom"/>
            <w:tcBorders>
              <w:bottom w:val="single" w:sz="8" w:color="BFE4FF"/>
            </w:tcBorders>
            <w:shd w:val="clear" w:color="auto" w:fill="BFE4FF"/>
          </w:tcPr>
          <w:p>
            <w:pPr>
              <w:spacing w:after="0"/>
              <w:rPr>
                <w:sz w:val="21"/>
                <w:szCs w:val="21"/>
                <w:color w:val="auto"/>
              </w:rPr>
            </w:pPr>
          </w:p>
        </w:tc>
        <w:tc>
          <w:tcPr>
            <w:tcW w:w="2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(6,639)</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(6,018)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(64,961)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(124,864)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(114,009)</w:t>
            </w:r>
          </w:p>
        </w:tc>
        <w:tc>
          <w:tcPr>
            <w:tcW w:w="0" w:type="dxa"/>
            <w:vAlign w:val="bottom"/>
          </w:tcPr>
          <w:p>
            <w:pPr>
              <w:spacing w:after="0"/>
              <w:rPr>
                <w:sz w:val="1"/>
                <w:szCs w:val="1"/>
                <w:color w:val="auto"/>
              </w:rPr>
            </w:pPr>
          </w:p>
        </w:tc>
      </w:tr>
      <w:tr>
        <w:trPr>
          <w:trHeight w:val="27"/>
        </w:trPr>
        <w:tc>
          <w:tcPr>
            <w:tcW w:w="4360" w:type="dxa"/>
            <w:vAlign w:val="bottom"/>
            <w:tcBorders>
              <w:bottom w:val="single" w:sz="8" w:color="BFE4FF"/>
            </w:tcBorders>
          </w:tcPr>
          <w:p>
            <w:pPr>
              <w:spacing w:after="0"/>
              <w:rPr>
                <w:sz w:val="2"/>
                <w:szCs w:val="2"/>
                <w:color w:val="auto"/>
              </w:rPr>
            </w:pPr>
          </w:p>
        </w:tc>
        <w:tc>
          <w:tcPr>
            <w:tcW w:w="216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BFE4FF"/>
            </w:tcBorders>
            <w:gridSpan w:val="2"/>
            <w:shd w:val="clear" w:color="auto" w:fill="BFE4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13,954</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12,392</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30,742</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21,130</w:t>
            </w:r>
          </w:p>
        </w:tc>
        <w:tc>
          <w:tcPr>
            <w:tcW w:w="0" w:type="dxa"/>
            <w:vAlign w:val="bottom"/>
          </w:tcPr>
          <w:p>
            <w:pPr>
              <w:spacing w:after="0"/>
              <w:rPr>
                <w:sz w:val="1"/>
                <w:szCs w:val="1"/>
                <w:color w:val="auto"/>
              </w:rPr>
            </w:pPr>
          </w:p>
        </w:tc>
      </w:tr>
      <w:tr>
        <w:trPr>
          <w:trHeight w:val="20"/>
        </w:trPr>
        <w:tc>
          <w:tcPr>
            <w:tcW w:w="4360" w:type="dxa"/>
            <w:vAlign w:val="bottom"/>
            <w:tcBorders>
              <w:top w:val="single" w:sz="8" w:color="BFE4FF"/>
            </w:tcBorders>
          </w:tcPr>
          <w:p>
            <w:pPr>
              <w:spacing w:after="0" w:line="20" w:lineRule="exact"/>
              <w:rPr>
                <w:sz w:val="1"/>
                <w:szCs w:val="1"/>
                <w:color w:val="auto"/>
              </w:rPr>
            </w:pPr>
          </w:p>
        </w:tc>
        <w:tc>
          <w:tcPr>
            <w:tcW w:w="2160" w:type="dxa"/>
            <w:vAlign w:val="bottom"/>
            <w:tcBorders>
              <w:top w:val="single" w:sz="8" w:color="BFE4FF"/>
              <w:bottom w:val="single" w:sz="8" w:color="BFE4FF"/>
            </w:tcBorders>
            <w:vMerge w:val="restart"/>
          </w:tcPr>
          <w:p>
            <w:pPr>
              <w:jc w:val="right"/>
              <w:ind w:right="630"/>
              <w:spacing w:after="0"/>
              <w:rPr>
                <w:sz w:val="20"/>
                <w:szCs w:val="20"/>
                <w:color w:val="auto"/>
              </w:rPr>
            </w:pPr>
            <w:r>
              <w:rPr>
                <w:rFonts w:ascii="Arial" w:cs="Arial" w:eastAsia="Arial" w:hAnsi="Arial"/>
                <w:sz w:val="18"/>
                <w:szCs w:val="18"/>
                <w:color w:val="auto"/>
              </w:rPr>
              <w:t>20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3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attributes revenues to geographic areas based on the location of the customer. There are certain revenues managed by the various U.S. segments that are generated from non-U.S. customers and therefore are included in Europe and the Rest of World revenues below. Total revenue by major geographic area consisted of the following:</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190,093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178,806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27,497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54,258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51,176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52,455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53,047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244,078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231,351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477,743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446,410</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SeaSpine Separation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2014, the Company announced plans to spin-off the spine business into a stand-alone public company ("SeaSpine"). On July 1, 2015, the Company completed the distribution of 100% of the outstanding common shares of SeaSpine to Integra stockholders who received one share of SeaSpine common stock for every three shares of Integra held as of the close of business on the record date, June 19, 2015. The historical results of operations and the financial position of SeaSpine are included in the consolidated financial statements of Integra and will be reported as discontinued operations beginning in the third quarter of 2015.</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spin-off and pursuant to the indenture for the Company's 2016 Notes, the conversion price and rate is required to be adjusted. The conversion price on the 2016 Notes has been adjusted to $52.83 per share and the new conversion rate is 18.9287 shares per $1,000 principal amount of 2016 Notes. Similarly, the strike price of the call transaction has been adjusted to $52.83 per share and the warrant transaction has been adjusted to $64.43 per share.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TEI Biosciences, Inc. and TEI Medical, Inc.</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17, 2015, the Company completed the execution of the two merger agreements (collectively, the "Agreements") under which the Company acquired TEI Biosciences, Inc., a Delaware corporation ("TEI Bio"), and TEI Medical Inc., a Delaware corporation ("TEI Med", collectively "TEI").</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TEI Bio is in the business of developing and commercializing biologic devices for soft tissue repair and regenerative applications, including dura and hernia repair and plastic and reconstructive surgery. TEI Med is a spin-off of TEI Bio and holds a license to TEI Bio’s regenerative technology in the fields of wound healing and orthopedics.</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terms of the Agreements, the Company paid $312.0 million ($211.0 million for TEI Bio and $101.0 million for TEI Med) subject in each case to purchase price adjustments for certain working capital changes. In July 2015, the Company drew $310.0 million on its Revolving Credit Facility to facilitate this transaction. The Company has not yet performed the purchase price allocation and will do so in the third quarter of 2015.</w:t>
      </w:r>
    </w:p>
    <w:p>
      <w:pPr>
        <w:spacing w:after="0" w:line="3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manufactures a bovine-derived surgical mesh product for Boston Scientific Corporation ("BSC”) and has been named as a defendant in several hundred lawsuits under a broad range of products liability theories, many of which have not been served on TEI. Currently, there are approximately forty-five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2014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2014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Integra is a world leader in medical technology focused on limiting uncertainty for surgeons so that they can concentrate on providing the best patient 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Integra offers innovative solutions in orthopedic extremity surgery, neurosurgery, spine surgery, and reconstructive and general surgery.</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the first quarter of 2015, we changed how we manage the business. As a result, we report our financial results under three global reportable segments - Specialty Surgical Solutions, Orthopedics and Tissue Technologies, and Spine. Refer to Note 12 -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Specialty Surgical Solutions segment includes, among other things, dural grafts and dural sealants which are indicated for the repair of the dura mater, ultrasonic surgery systems for tissue ablation, monitoring systems for neuro critical care, cranial stabilization and retraction systems, and a wide range of specialty and general surgical and dental instruments and surgical lighting for sale to hospitals, outpatient surgery centers, and physician, veterinarian and dental practices. Our Orthopedics and Tissue Technologies segment includes specialty metal implants for surgery of the upper and lower extremities, dermal regeneration products and tissue-engineered wound dressings and nerve and tendon repair products. Our Spine segment focuses on orthobiologics and spinal fusion hardware solutions used to meet the varying combinations of products that neurosurgeons and orthopedic spine surgeons need to perform fusion procedures in the lumbar, thoracic and cervical spine.</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 each reportable segment are sold through a combination of a direct sales organization and distributors.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 Biosciences, Inc. and TEI Medical, Inc.</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Subsequent to June 30, 2015, on July 17, 2015, the Company completed the execution of the two merger agreements (collectively, the "Agreements") under which the Company acquired TEI Biosciences, Inc., a Delaware corporation ("TEI Bio"), and TEI Medical Inc., a Delaware corporation ("TEI Med").</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TEI Bio is in the business of developing and commercializing biologic devices for soft tissue repair and regenerative applications, including dura and hernia repair and plastic and reconstructive surgery. TEI Med is a spin-off of TEI Bio and holds a license to TEI Bio’s regenerative technology in the fields of wound healing and orthopedics.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Agreements, we paid $312.0 million ($211.0 million for TEI Bio and $101.0 million for TEI Med) subject in each case to purchase price adjustments for certain working capital changes.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Metasurg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we acquired certain assets of Koby Ventures II, L.P. dba Metasurg ("Metasurg") for an aggregate purchase price of $27.6 million. The purchase price consists of an initial cash payment to Metasurg of $26.5 million, a separate purchase price adjustment cash payment of $0.4 million, and contingent consideration with an acquisition date fair value of $0.7 million. The potential maximum undiscounted contingent consideration of $38.5 million is based on reaching certain sales levels for acquired products from April 1, 2015 through June 30, 2016. Metasurg develops intuitive implant systems for the foot and ankle market and sells almost entirely in the U.S.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2014, we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us. Confluent Surgical is a developer and supplier of polymer-based biosurgery technology used in surgical sealants and anti-adhesion products.</w:t>
      </w:r>
    </w:p>
    <w:p>
      <w:pPr>
        <w:spacing w:after="0" w:line="12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Supplement application that we filed with the FDA, which we announced in February 2015. In addition, the results from our Integra DFU clinical trial have been accepted by an important peer-reviewed wound journal. An FDA approval, along with published data, will form the key to securing reimbursement. Assuming FDA approval and timely publication of the peer-reviewed journal article, the Company anticipates commercializing the resulting DFU product in the middle of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Spine Business</w:t>
      </w:r>
    </w:p>
    <w:p>
      <w:pPr>
        <w:spacing w:after="0" w:line="1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2014, we announced a plan to spin-off our spine business into a stand-alone public company ("SeaSpine"). On July 1, 2015, we completed the distribution of 100% of the outstanding common shares of SeaSpine to Integra stockholders who received one share of SeaSpine common stock for every three shares of Integra held as of the close of business on the record date, June 19, 2015. We incurred pre-separation expenses of approximately $9.9 million and $14.8 million in the three and six months ended June 30, 2015, respectively. Pre-separation costs included all incremental expenses incurred by Integra in order to effect the separation until the distribution date, July 1, 2015. They also included the cost of all new employees recruited to operate the two separate companies. We also expect to incur, upon separation, transaction expenses, which, among other things, relate to advisory fees as well as tax costs related to the distribution. Total post-separation costs are expected to be approximately $5.2 million which includes a non-cash stock compensation charge. The historical results of operations and the financial position of SeaSpine are included in the consolidated financial statements of Integra and will be reported as discontinued operations beginning in the third quarter of 2015.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Realignment of the Integra Portfolio and Change in Reportable Segments</w:t>
      </w:r>
    </w:p>
    <w:p>
      <w:pPr>
        <w:spacing w:after="0" w:line="2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the first quarter of 2015, the Company's management began reporting business performance and making decisions primarily on a global basis, including the results of its former International reportable segment in each of its respective three division global structure. Following the above announced separation of the Spine business, we will have the two remaining global segments. Accordingly, to align with the way the business is currently managed, the Company’s reportable operating segments now consist of Specialty Surgical Solutions, Orthopedics and Tissue Technologies, and Spine. International is no longer reported as a separate reportable operating segment. Specialty Surgical Solutions includes the i) Neurosurgery business, the ii) Instruments business and iii) their respective international components, Orthopedics and Tissue Technologies includes the former U.S. Extremities business and its international components, and the Spine reportable segment includes the former U.S. Spine operating segment and its respective international components. Private Label has been incorporated in the reportable segments based on the nature of the product line. Further information regarding the Company’s operating segments may be found in Note 12 - </w:t>
      </w:r>
      <w:r>
        <w:rPr>
          <w:rFonts w:ascii="Arial" w:cs="Arial" w:eastAsia="Arial" w:hAnsi="Arial"/>
          <w:sz w:val="17"/>
          <w:szCs w:val="17"/>
          <w:i w:val="1"/>
          <w:iCs w:val="1"/>
          <w:color w:val="auto"/>
        </w:rPr>
        <w:t>Segment and Geographic Information</w:t>
      </w:r>
      <w:r>
        <w:rPr>
          <w:rFonts w:ascii="Arial" w:cs="Arial" w:eastAsia="Arial" w:hAnsi="Arial"/>
          <w:sz w:val="17"/>
          <w:szCs w:val="17"/>
          <w:color w:val="auto"/>
        </w:rPr>
        <w: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three months ended June 30, 2015, was $5.0 million, or $0.15 per diluted share as compared to $4.8 million or $0.15 per diluted share for the three months ended June 30, 2014.</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for the six months ended June 30, 2015 was $13.4 million or $0.40 per diluted share as compared to $7.0 million or $0.21 per diluted share for the six months ended June 30, 2014.</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net income for the six months ended June 30, 2015 over the same period last year resulted primarily from the inclusion of the MicroFrance and Metasurg operations as well as strong growth in our dural repair and regenerative technology franchises.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3,641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5,713</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Certain employee severance charges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4,610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Convertible debt non-cash interest</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3,434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Spine spin-off charges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22,654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17,555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39,448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33,459</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7,069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18,008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17,555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39,448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33,459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the first half of 2015. We placed the ERP in service across a number of U.S. sites in May of 2014, and at that time, we began depreciating the capitalized costs associated with that part of the implementation. We expect the additional capital and integration expenses associated with our ERP system to decrease as we continue to progress in our ERP implementation over the next several years.</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FDA inspected our Andover, UK facility (the "Andover Facility") in June 2012, which resulted in the issuance of FDA Form 483 Observations. We subsequently received a Warning Letter on November 1, 2012. On April 25, 2014, we received a letter from the FDA stating that while it accepted the Corrective Action Plan for the Andover Facility, the warning letter would not be closed out until the FDA conducted an inspection of the Andover facility and concluded that the violations stated in the FDA warning letter had been addressed. On December 31, 2014, we closed the Andover Facility and delisted it as an FDA registered facility. We notified the FDA regarding the closure of the Andover Facility, and most of the products were moved to our facility in Tullamore, Ireland (the "Tullamore Facility"). The FDA inspected the Tullamore Facility in March 2015 and no FDA Form 483 Observations were issued. One June 30, 2015, the FDA issued a letter to the Company informing us that we had addressed the violations in the FDA warning letter dated November 1, 2012 related to the Andover Facility and that such warning letter had been closed out effective June 30, 2015.</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outstanding FDA warning letter related to TEI Biosciences Inc., a recent acquisition by Integra on July 17, 2015. TEI Biosciences Inc. received a Warning Letter from the FDA dated May 29, 2015 for promoting the product SurgiMend for breast surgery applications that was not cleared in the 510(k) process and does not have a PMA Approval for the indication. The FDA requested that TEI Biosciences Inc. immediately cease all activities that resulted in misbranding or adulteration of the product in commercial distribution. The FDA also required TEI Biosciences Inc. to cease all violations regarding promotion of the product for an indication that it was not cleared or approved. TEI Biosciences Inc. responded with a corrective action plan to the FDA.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FDA inspected our Añasco, Puerto Rico facility in October and November 2012, and issued a warning letter for that facility on February 13, 2013. On November 26, 2013, the FDA completed its second inspection of the Añasco facility and issued a new Form 483 with six additional observations. On September 30, 2014, the FDA completed its third inspection of the Añasco facility, and concluded that the Company had addressed the issues raised in the Warning Letter and previous inspectional observations, and it issued no other inspectional observations. The Añasco warning letter was closed out effective January 14, 2015.</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remediation expenses incurred in the three-and six-months ended June 30, 2015 and an insignificant amount of expenses were incurred in the three-and six-months ended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2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62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r>
      <w:tr>
        <w:trPr>
          <w:trHeight w:val="251"/>
        </w:trPr>
        <w:tc>
          <w:tcPr>
            <w:tcW w:w="6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6"/>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146,709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137,516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286,769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264,710</w:t>
            </w: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240" w:type="dxa"/>
            <w:vAlign w:val="bottom"/>
          </w:tcPr>
          <w:p>
            <w:pPr>
              <w:spacing w:after="0"/>
              <w:rPr>
                <w:sz w:val="21"/>
                <w:szCs w:val="21"/>
                <w:color w:val="auto"/>
              </w:rPr>
            </w:pP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63,834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57,954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125,199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112,544</w:t>
            </w: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Spine</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33,535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35,881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65,775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69,156</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244,078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231,351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477,743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446,410</w:t>
            </w:r>
          </w:p>
        </w:tc>
      </w:tr>
      <w:tr>
        <w:trPr>
          <w:trHeight w:val="27"/>
        </w:trPr>
        <w:tc>
          <w:tcPr>
            <w:tcW w:w="6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86,539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86,976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173,261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169,359</w:t>
            </w:r>
          </w:p>
        </w:tc>
      </w:tr>
      <w:tr>
        <w:trPr>
          <w:trHeight w:val="237"/>
        </w:trPr>
        <w:tc>
          <w:tcPr>
            <w:tcW w:w="6260" w:type="dxa"/>
            <w:vAlign w:val="bottom"/>
          </w:tcPr>
          <w:p>
            <w:pPr>
              <w:ind w:left="180"/>
              <w:spacing w:after="0"/>
              <w:rPr>
                <w:sz w:val="20"/>
                <w:szCs w:val="20"/>
                <w:color w:val="auto"/>
              </w:rPr>
            </w:pPr>
            <w:r>
              <w:rPr>
                <w:rFonts w:ascii="Arial" w:cs="Arial" w:eastAsia="Arial" w:hAnsi="Arial"/>
                <w:sz w:val="18"/>
                <w:szCs w:val="18"/>
                <w:color w:val="auto"/>
              </w:rPr>
              <w:t>Gross margin on total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157,539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144,375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4"/>
              <w:spacing w:after="0"/>
              <w:rPr>
                <w:sz w:val="20"/>
                <w:szCs w:val="20"/>
                <w:color w:val="auto"/>
              </w:rPr>
            </w:pPr>
            <w:r>
              <w:rPr>
                <w:rFonts w:ascii="Arial" w:cs="Arial" w:eastAsia="Arial" w:hAnsi="Arial"/>
                <w:sz w:val="18"/>
                <w:szCs w:val="18"/>
                <w:color w:val="auto"/>
              </w:rPr>
              <w:t>304,482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277,051</w:t>
            </w:r>
          </w:p>
        </w:tc>
      </w:tr>
      <w:tr>
        <w:trPr>
          <w:trHeight w:val="67"/>
        </w:trPr>
        <w:tc>
          <w:tcPr>
            <w:tcW w:w="6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24"/>
        </w:trPr>
        <w:tc>
          <w:tcPr>
            <w:tcW w:w="62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Gross margin as a percentage of total revenues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7"/>
        </w:trPr>
        <w:tc>
          <w:tcPr>
            <w:tcW w:w="6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2014 Segment revenues above have been reclassified in order to conform with the current year's presentation.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2015 as Compared to Three Months Ended June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June 30, 2015 total revenues increased by $12.7 million to $244.1 million from $231.4 million for the same period in 2014.</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Specialty Surgical Solutions revenues were $146.7 million, an increase of 7% from the prior-year period. The increase partially resulted from the impact of the MicroFrance product sales arising out of the acquisition, which added $6.3 million in the quarter. Global sales of our Dural repair products increased in line with the overall segment. Revenue in our Precision Tools and Instruments business, which includes the former Instruments product portfolio as well as our cranial stabilization and stereotaxy product lines, also increased, particularly in the U.S. These increased sales were partially offset by a decline in tissue ablation and neuro critical care.</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Orthopedics and Tissue Technologies revenues were $63.8 million, an increase of 10% from the prior-year period. The increase partially resulted from the impact of the Metasurg product sales arising out of the acquisition, which added $1.7 million in the quarter. We continue to see strong demand in our regenerative technologies franchise as a result of both additional headcount in our sales force and new products, including the Integra Wound Matrix-Thin, Integra Reinforcement Matrix and Integra Wound Matrix-Meshed. Sales growth in our upper extremity franchise also benefited from increasing demand for new products in shoulder and wrist arthroplasty. These increased sales were partially offset by a decline in our lower extremities franchise.</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Spine revenues were $33.5 million, a decrease of 7% from the prior-year period. The decrease was mostly driven by our spine hardware business, which continued to face pricing pressures, delays in product launches, and the slower than anticipated addition of new distributors. Our orthobiologics business was up slightly during the quarter.</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$157.5 million for the three-month period ended June 30, 2015 from $144.4 million for the same period last year. Gross margin as a percentage of total revenue increased to 64.5% for the second quarter of 2015 from 62.4% for the same period last year. The increase in gross margin percentage resulted primarily from an increase in sales of higher margin products such as DuraSeal, DuraGen, skin and wound products, and improvements in the utilization of our manufacturing facilities.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consolidated gross margin percentage for the full year 2015 to be between 63.5% and 64.0%. We expect our gross margin will see increases from improved product mix offset by a negative top-line impact on revenues because of the stronger U.S. dollar and corresponding weaknesses in other currencies in which we transact business, particularly the euro, as well as additional costs related to the completion of our regenerative technology manufacturing facility capacity expansion.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$11.6 million, or 9%, to $143.6 million in the three months ended June 30, 2015, compared to $132.0 million in the same period last year.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 the second quarter of 2015 remained flat compared to the same period last year. We expect full-year 2015 spending on research and development to be approximately 5.5% of total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expenses in the second quarter of 2015 increased by $11.3 million to $126.6 million compared to $115.3 million in the same period last year. Selling and marketing expenses increased by $3.1 million, primarily resulting from higher commissions and distributor fees related to the MicroFrance and Metasurg sales, increased headcount and overall sales increases in general. General and administrative costs increased $8.2 million as a result of incremental costs to support the spin-off of our Spine business as well as additional depreciation as we implemented our ERP in certain locations during May of 2014. These increases were partially offset by a decrease in integration costs related to the Covidien Surgical acquisition recorded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first quarter of 2014. We expect full year selling, general and administrative expenses to be approximately 46.5% of revenues, including costs related to the spin-off of our spine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as a percentage of revenues in the second quarter of 2015 remained flat compared to the same period last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3"/>
              </w:rPr>
              <w:t>Three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8</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(5,471)</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(5,382)</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(919)</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three months ended June 30, 2015 increased by $0.1 million primarily because we increased borrowings on our Senior Credit facility compared to the prior year. Our reported interest expense for the three-month periods ended June 30, 2015 and 2014 includes non-cash interest related to the accounting for convertible securities of $1.9 million and $1.8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June 30,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income for both the second quarter of 2015 and 2014 was primarily attributable to the foreign exchange impact on intercompany balances.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30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3"/>
              </w:rPr>
              <w:t>Three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0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7,572</w:t>
            </w:r>
          </w:p>
        </w:tc>
        <w:tc>
          <w:tcPr>
            <w:tcW w:w="13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7,186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21"/>
                <w:szCs w:val="21"/>
                <w:color w:val="auto"/>
              </w:rPr>
            </w:pP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2,574</w:t>
            </w:r>
          </w:p>
        </w:tc>
        <w:tc>
          <w:tcPr>
            <w:tcW w:w="130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2,361</w:t>
            </w:r>
          </w:p>
        </w:tc>
      </w:tr>
      <w:tr>
        <w:trPr>
          <w:trHeight w:val="27"/>
        </w:trPr>
        <w:tc>
          <w:tcPr>
            <w:tcW w:w="7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34.0%</w:t>
            </w:r>
          </w:p>
        </w:tc>
        <w:tc>
          <w:tcPr>
            <w:tcW w:w="1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7"/>
        </w:trPr>
        <w:tc>
          <w:tcPr>
            <w:tcW w:w="7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three months ended June 30, 2015 and 2014 were 34.0% and 32.9%, respectively. The primary drivers of the higher tax rate for the three months ended June 30, 2015 were a tax expense of $0.4 million for nondeductible costs relating to the spine spin-off transaction and a $0.4 million relating to foreign tax returns filed during the quarter.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32%, resulting largely from nondeductible spine spin-off costs and audit settlements offset by the release of uncertain tax positions, as well as the jurisdictional mix of pretax income in U.S.-based operations relative to foreign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except for amounts relating to items we expect to pay in the coming year which would be classified as current income taxes payable.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2015 as Compared to Six Months Ended June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2015, total revenues increased by $31.3 million to $477.7 million from $446.4 million during the prior-year period.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Specialty Surgical Solutions revenues were $286.8 million, an increase of 8% from the prior-year period. The increase partially resulted from the impact of the MicroFrance product sales arising out of the acquisition, which added $12.1 million for the six months ended June 30, 2015. Our Dural repair franchise performed very well as demand for our products continued to rise. Revenue in our Precision Tools and Instruments business, which includes the former Instruments product portfolio as well as our cranial stabilization and stereotaxy product lines, also increased. Neuro critical care increased slightly during the period. These increased sales were partially offset by a decline in tissue ablation.</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Orthopedics and Tissue Technologies revenues were $125.2 million, an increase of 11% from the prior-year period. The increase partially resulted from the impact of the Metasurg product sales arising out of the acquisition, which added $3.3 million for the six months ended June 30, 2015. The increase was driven by strong demand in our regenerative technologies franchise as a result of both additional headcount in our sales force and new products, including the Integra Wound Matrix-Thin, Integra Reinforcement Matrix and Integra Wound Matrix-Meshed. Sales growth in our upper extremity franchise benefited from increasing demand for new products in shoulder and wrist arthroplasty. These increased sales were partially offset by a decline in lower extremities.</w:t>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Spine revenues were $65.8 million, a decrease of 5% from the prior-year period. The decrease was mostly driven by our spine hardware business which continued to face pricing pressures, delays in product launches, and the slower than anticipated addition of new distributors. Our orthobiologics business increased slightly during the six month period.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$304.5 million for the six-month period ended June 30, 2015 from $277.1 million for the same period last year. Gross margin as a percentage of total revenue increased to 63.7% for the first-half of 2015 from 62.1% for the same period last year. The increase in gross margin percentage resulted primarily from an increase in sales of higher margin products such as DuraSeal, DuraGen, skin and wound products, and improvements in our utilization of manufacturing facilities.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23495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4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23495</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3"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5.9%</w:t>
      </w:r>
    </w:p>
    <w:p>
      <w:pPr>
        <w:spacing w:after="0" w:line="63"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50.4%</w:t>
      </w:r>
      <w:r>
        <w:rPr>
          <w:sz w:val="20"/>
          <w:szCs w:val="20"/>
          <w:color w:val="auto"/>
        </w:rPr>
        <w:tab/>
      </w:r>
      <w:r>
        <w:rPr>
          <w:rFonts w:ascii="Arial" w:cs="Arial" w:eastAsia="Arial" w:hAnsi="Arial"/>
          <w:sz w:val="16"/>
          <w:szCs w:val="16"/>
          <w:color w:val="auto"/>
        </w:rPr>
        <w:t>50.1%</w:t>
      </w:r>
    </w:p>
    <w:p>
      <w:pPr>
        <w:spacing w:after="0" w:line="63"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1.3%</w:t>
      </w:r>
    </w:p>
    <w:p>
      <w:pPr>
        <w:spacing w:after="0" w:line="77"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57.3%</w:t>
      </w:r>
      <w:r>
        <w:rPr>
          <w:sz w:val="20"/>
          <w:szCs w:val="20"/>
          <w:color w:val="auto"/>
        </w:rPr>
        <w:tab/>
      </w:r>
      <w:r>
        <w:rPr>
          <w:rFonts w:ascii="Arial" w:cs="Arial" w:eastAsia="Arial" w:hAnsi="Arial"/>
          <w:sz w:val="16"/>
          <w:szCs w:val="16"/>
          <w:color w:val="auto"/>
        </w:rPr>
        <w:t>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48895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25" w:right="239" w:bottom="1440" w:gutter="0" w:footer="0" w:header="0"/>
          <w:type w:val="continuous"/>
        </w:sectPr>
      </w:pP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$17.8 million, or 7.0%, to $273.7 million in the first six months of 2015, compared to $255.9 million in the same period last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 the first six months of 2015 remained flat compared to the same period last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in the first six months of 2015 increased by $17.1 million to $240.7 million compared to $223.6 million in the same period last year. Selling and marketing expenses increased by $7.2 million primarily resulting from higher commissions and distributor fees related to the MicroFrance and Metasurg sales, increased headcount and overall sales increases in general. General and administrative costs increased $9.9 million primarily because of incremental costs to support the spin-off of our Spine business as well as additional depreciation as we put our ERP system in service in certain locations during May of 2014.</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six months of 2015 increased by $0.6 million to $6.6 million, compared to $6.0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half of 2015 reflects the Spine goodwill impairment charge of $0.4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13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90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9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13</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8"/>
                <w:szCs w:val="18"/>
                <w:color w:val="auto"/>
              </w:rPr>
              <w:t>(10,963)</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(10,524)</w:t>
            </w:r>
          </w:p>
        </w:tc>
      </w:tr>
      <w:tr>
        <w:trPr>
          <w:trHeight w:val="27"/>
        </w:trPr>
        <w:tc>
          <w:tcPr>
            <w:tcW w:w="9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397</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435</w:t>
            </w:r>
          </w:p>
        </w:tc>
      </w:tr>
      <w:tr>
        <w:trPr>
          <w:trHeight w:val="27"/>
        </w:trPr>
        <w:tc>
          <w:tcPr>
            <w:tcW w:w="9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six-month period ended June 30, 2015 increased by $0.4 million primarily because we increased borrowings on our Senior Credit facility compared to the prior year. Our reported interest expense for the six-month periods ended June 30, 2015 and 2014 includes non-cash interest related to the accounting for convertible securities of $3.7 million and $3.4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six months ended June 30,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both the six months ended June 30, 2015 and June 30, 2014 was primarily attributable to the foreign exchange impact on intercompany balances.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74"/>
              <w:spacing w:after="0"/>
              <w:rPr>
                <w:sz w:val="20"/>
                <w:szCs w:val="20"/>
                <w:color w:val="auto"/>
              </w:rPr>
            </w:pPr>
            <w:r>
              <w:rPr>
                <w:rFonts w:ascii="Arial" w:cs="Arial" w:eastAsia="Arial" w:hAnsi="Arial"/>
                <w:sz w:val="14"/>
                <w:szCs w:val="14"/>
                <w:b w:val="1"/>
                <w:bCs w:val="1"/>
                <w:color w:val="auto"/>
                <w:w w:val="92"/>
              </w:rPr>
              <w:t>Six Months Ended June 30,</w:t>
            </w:r>
          </w:p>
        </w:tc>
      </w:tr>
      <w:tr>
        <w:trPr>
          <w:trHeight w:val="264"/>
        </w:trPr>
        <w:tc>
          <w:tcPr>
            <w:tcW w:w="88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8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7"/>
                <w:szCs w:val="17"/>
                <w:color w:val="auto"/>
              </w:rPr>
            </w:pPr>
          </w:p>
        </w:tc>
      </w:tr>
      <w:tr>
        <w:trPr>
          <w:trHeight w:val="256"/>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20,189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11,161</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920" w:type="dxa"/>
            <w:vAlign w:val="bottom"/>
          </w:tcPr>
          <w:p>
            <w:pPr>
              <w:jc w:val="right"/>
              <w:ind w:right="99"/>
              <w:spacing w:after="0"/>
              <w:rPr>
                <w:sz w:val="20"/>
                <w:szCs w:val="20"/>
                <w:color w:val="auto"/>
              </w:rPr>
            </w:pPr>
            <w:r>
              <w:rPr>
                <w:rFonts w:ascii="Arial" w:cs="Arial" w:eastAsia="Arial" w:hAnsi="Arial"/>
                <w:sz w:val="18"/>
                <w:szCs w:val="18"/>
                <w:color w:val="auto"/>
              </w:rPr>
              <w:t>6,807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4,130</w:t>
            </w:r>
          </w:p>
        </w:tc>
      </w:tr>
      <w:tr>
        <w:trPr>
          <w:trHeight w:val="27"/>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7"/>
        </w:trPr>
        <w:tc>
          <w:tcPr>
            <w:tcW w:w="8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six months ended June 30, 2015 and 2014 were 33.7% and 37.0%, respectively. The primary drivers of the overall tax rate for the six months ended June 30, 2014 were a tax expense of $1.1 million relating to foreign and state income tax audit settlements and a tax expense of $0.3 million relating to a change in state filing positions.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32%, resulting largely from nondeductible spine spin-off costs and audit settlements offset by the release of uncertain tax positions, as well as the jurisdictional mix of pretax income in U.S.-based operations relative to foreign operations.</w:t>
      </w:r>
    </w:p>
    <w:p>
      <w:pPr>
        <w:spacing w:after="0" w:line="12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8"/>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190,093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178,806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371,030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342,187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27,497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25,851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54,258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51,176</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26,488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26,694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52,455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53,047</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244,078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231,351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477,743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446,410</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Domestic revenues increased to $190.1 million, or 78% of total revenues, for the three months ended June 30, 2015 from $178.8 million, or 77% of total revenues, for the three months ended June 30, 2014. International revenues increased to $54.0 million from $52.5 million in the prior-year period, an increase of 3%. Changes in foreign exchange rates decreased our sales by $6.7 million compared to the three months ended June 30, 2014.</w:t>
      </w:r>
    </w:p>
    <w:p>
      <w:pPr>
        <w:spacing w:after="0" w:line="3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Domestic revenues increased to $371.0 million, or 78% of total revenues, for the six months ended June 30, 2015 from $342.2 million, or 77% of total revenues, for the six months ended June 30, 2014. International revenues increased to $106.7 million from $104.2 million in the prior-year period, an increase of 2%. Changes in foreign exchange rates decreased our sales by $12.5 million in the six- month period compared to the same period last year.</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$131.3 million and $72.0 million at June 30, 2015 and December 31, 2014, respectively, which are valued based on Level 1 measurements in the fair value hierarchy. At June 30, 2015, our non-U.S. subsidiaries held approximately $70.0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0" w:type="dxa"/>
            <w:vAlign w:val="bottom"/>
          </w:tcPr>
          <w:p>
            <w:pPr>
              <w:spacing w:after="0"/>
              <w:rPr>
                <w:sz w:val="22"/>
                <w:szCs w:val="22"/>
                <w:color w:val="auto"/>
              </w:rPr>
            </w:pPr>
          </w:p>
        </w:tc>
        <w:tc>
          <w:tcPr>
            <w:tcW w:w="4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4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3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49,742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27,631</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(18,744)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(255,691)</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244,236</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3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4300" w:type="dxa"/>
            <w:vAlign w:val="bottom"/>
            <w:tcBorders>
              <w:bottom w:val="single" w:sz="8" w:color="CCEEFF"/>
            </w:tcBorders>
            <w:gridSpan w:val="2"/>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59,302</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714"/>
              <w:spacing w:after="0"/>
              <w:rPr>
                <w:sz w:val="20"/>
                <w:szCs w:val="20"/>
                <w:color w:val="auto"/>
              </w:rPr>
            </w:pPr>
            <w:r>
              <w:rPr>
                <w:rFonts w:ascii="Arial" w:cs="Arial" w:eastAsia="Arial" w:hAnsi="Arial"/>
                <w:sz w:val="18"/>
                <w:szCs w:val="18"/>
                <w:color w:val="auto"/>
              </w:rPr>
              <w:t>31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anticipate that our principal uses of cash will include between $40.0 million and $45.0 million on capital expenditures primarily for the completion of our regenerative technology manufacturing capacity expansion, support and maintenance in our existing plants, our enterprise resource planning system implementation, and additions to our instrument kits used in sales of orthopedic products. In addition, we provided $47.0 million of cash to the spine business in conjunction with the spin-off and we expect total costs to be approximately $20.0 million for professional fees and other expenses to separate the business and build the corporate infrastructure.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$49.7 million and $27.6 million for the six months ended June 30, 2015 and 2014, respectively.</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flows for the six months ended June 30, 2015 benefited from an increase in net income of $6.4 million compared to the same period in 2014. Changes in working capital decreased cash flows for the six months ended June 30, 2015 by approximately $2.9 million. Among the changes in working capital, accounts receivable used $4.5 million of cash, inventory used $9.9 million of cash, prepaid expenses and other current assets used $7.3 million of cash, and accounts payable, accrued expenses and other current liabilities provided $19.6 million of cash.</w:t>
      </w:r>
    </w:p>
    <w:p>
      <w:pPr>
        <w:spacing w:after="0" w:line="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six months ended June 30, 2014 benefited from an increase in net income of $11.5 million compared to the same period in 2013. Changes in working capital decreased cash flows by approximately $15.1 million. Among the changes in working capital, accounts receivable provided $0.1 million of cash, inventory used $17.4 million of cash, prepaid expenses and other current assets used $2.8 million of cash, and accounts payable, accrued expenses and other current liabilities used $4.8 million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six months ended June 30, 2015, we received cash of $1.4 million related to the sale of our Andover facility and $1.8 million related to a working capital adjustment from the MicroFrance acquisition. We also paid $22.0 million for capital expenditures, most of which was directed to the expansion of our regenerative medicine production capacity and global enterprise system implementation.</w:t>
      </w:r>
    </w:p>
    <w:p>
      <w:pPr>
        <w:spacing w:after="0" w:line="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2014, we paid $235.0 million for the acquisition of Confluent Surgical, and $20.7 million for capital expenditures, most of which was directed to the expansion of our regenerative medicine production capacity and global enterprise system implementation.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use of cash for financing activities in the six months ended June 30, 2015 was a repayment of $15.0 million on the revolving portion under our Senior Credit Facility. Additionally, we received proceeds from stock option exercises of $7.3 million and borrowed $35.0 million under our Senior Credit Facility to fund SeaSpine in conjunction with the spin-off.</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cash for financing activities in the six months ended June 30, 2014 were $235.0 million of borrowings under our senior credit facility to fund the Confluent Surgical acquisition and stock option exercises of $8.3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June 30, 2015 and December 31, 2014, working capital was $452.5 million and $403.3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currently in discussions with its lenders to increase the size of the term loan under the Senior Credit Facility by an aggregate principal amount of $200.0 million. The intended use of proceeds of the increase in the term loan is repayment of outstanding amounts under the revolving credit facility. It is possible that the amount of the increase will change, and there can be no assurance that the Company and the lenders will reach final agreement on any such increase.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 As of June 30, 2015, there remained $75.0 million available for repurchases under this authorization.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2015,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 2015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2016-2017</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2018-2019</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230.0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286.9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286.9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150.0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784.0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289.7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430.9</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41.4</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840" w:right="20" w:hanging="293"/>
        <w:spacing w:after="0" w:line="264"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5 -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317" w:lineRule="auto"/>
        <w:tabs>
          <w:tab w:leader="none" w:pos="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 may borrow and make payments against the revolver portion of its Senior Credit Facility from time to time and considers all of the outstanding amounts to be long term based on its current intent and ability to repay the borrowing outside of the next twelve-month period.</w:t>
      </w:r>
    </w:p>
    <w:p>
      <w:pPr>
        <w:ind w:left="840" w:right="40" w:hanging="293"/>
        <w:spacing w:after="0" w:line="277" w:lineRule="auto"/>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contingent consideration obligations related to prior acquisitions from the contractual obligations table above; these liabilities had a fair value of $22.2 million at June 30, 2015.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$1.2 million at June 30, 2015. This liability for uncertain tax benefits has been excluded because we cannot make a reliable estimate of the period in which the uncertain tax benefits may be realized.</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six months ended June 30,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2014, have not materially changed, except as noted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4 </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to the current period’s condensed consolidated financial statements for a discussion of the reallocation of goodwill in connection with the Company's change in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June 30, 2015 would increase interest income by approximately $1.3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by utilizing a forward-starting interest rate swap that began to offset a portion of our interest payments in the first quarter of 2011. This interest rate derivative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instrument fixed the interest rate on a portion of our expected LIBOR-indexed floating-rate borrowings beginning on December 31, 2010. The interest rate swap had a notional amount of $90.0 million outstanding as of June 30, 2015. We recognized $0.4 million of additional interest expense related to this derivative during the three months ended June 30, 2015. The fair value of our interest rate derivative instrument was a net liability of $0.2 million at June 30, 2015.</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June 30, 2015, a one-percentage point change in interest rates would have affected interest expense on the unhedged portion of the debt by $3.5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2015. Based upon this evaluation, our principal executive officer and principal financial officer concluded that our disclosure controls and procedures were effective as of June 30, 2015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June 30,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 recent acquisition by Integra on July 17, 2015, manufactures a bovine-derived surgical mesh product for Boston Scientific Corporation ("BSC”) and has been named as a defendant in several hundred lawsuits under a broad range of products liability theories, many of which have not been served on TEI. Currently, there are approximately forty-five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2014 have not materially changed except as noted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some or all of the anticipated benefits of the separation of our Spine business.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July 1, 2015, we completed the separation (the “Separation”) of our orthobiologics and spinal fusion hardware business, now known as SeaSpine Holdings Corporation (“SeaSpine”), from the Company. Even though the Separation has been completed, we may not realize any or all of the anticipated strategic, financial, operational, marketing or other benefits from the Separation, including our ability to benefit from the increased focus through our new two divisional structure or to achieve anticipated growth rates, margins and scale and to execute on our strategy generally. Following the Separation, we are a smaller, less diversified company. This narrower business focus may leave us more vulnerable to changing market conditions, which could materially and adversely affect our business, financial condition and results of operations. The diminished diversification of revenue, costs, and cash flows could also cause our results of operations, cash flows, working capital and financing requirements to be subject to increased volatility. In addition, we may be unable to achieve some or all of the strategic and financial benefits that we expected would result from the Separation, or such benefits may be delayed, which could materially and adversely affect our business, financial condition and results of operations. Further, there can be no assurance that the combined value of the common stock of the two publicly-traded companies will be equal to or greater than what the value of our common stock would have been had the Separation not occurred.</w:t>
      </w:r>
    </w:p>
    <w:p>
      <w:pPr>
        <w:spacing w:after="0" w:line="1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Following the Separation, SeaSpine will continue to be dependent on us for certain support services and we may have indemnification obligations to each other with respect to such arrangements.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entered into various agreements with SeaSpine in connection with the Separation, including a transition services agreement, a separation and distribution agreement, a tax matters agreement, an employee matters agreement and several supply agreements. These agreements will govern our relationship with SeaSpine following the Separation. If we are required to indemnify SeaSpine for certain liabilities and related losses arising in connection with any of these agreements or if SeaSpine is required to indemnify us for certain liabilities and related losses arising in connection with any of these agreements and does not fulfill its obligations to us, we may be subject to substantial liabilities, which could have a material adverse effect on our financial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there is a determination that the spin-off is taxable for U.S. federal income tax purposes, then we and our stockholders that are subject to U.S. federal income tax could incur significant U.S. federal income tax liabilities and, in certain circumstances, we could be required to indemnify SeaSpine for material taxes pursuant to indemnification obligations under the tax matters agreement.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received an opinion of Latham &amp; Watkins LLP, tax counsel to us (the “Tax Opinion”), substantially to the effect that (i) the contribution of the stock of SeaSpine Orthopedics Corporation to SeaSpine, together with the internal distribution of the stock of SeaSpine to Integra (collectively, the “internal distribution”), will constitute a reorganization under Sections 355 and 368(a)(1)(D) of the Internal Revenue Code of 1986, as amended (the “Code”) and (ii) the contribution of cash from us to SeaSpine (the “cash contribution”), together with the distribution of the stock of SeaSpine to our shareholders (the “distribution”), will constitute a reorganization under Sections 355 and 368(a)(1)(D) of the Code. Based on this tax treatment, the distribution will be tax-free to Integra and its stockholders for U.S. federal income tax purposes (except for any cash received in lieu of fractional shares). The Tax Opinion relied on certain facts, assumptions, representations and undertakings from us and SeaSpine regarding the past and future conduct of the companies’ respective businesses and other matters. The Tax Opinion is not binding on the U.S. Internal Revenue Service (the “IRS”) or the courts. Notwithstanding the opinion, the IRS could determine on audit that the internal distribution, the cash contribution and the distribution should be treated as taxable transactions if it determines that any of the facts, assumptions, representations or undertakings we or SeaSpine have made is not correct or has been violated, or that the internal distribution, the cash contribution and the distribution should be taxable for other reasons, including as a result of a significant change in stock or asset ownership after the distribution. If the distribution ultimately is determined to be taxable, the distribution could be treated as a taxable dividend or capital gain to you for U.S. federal income tax purposes, and you could incur significant U.S. federal income tax liabilities. In addition, we would recognize gain in an amount equal to the excess of the fair market value of shares of SeaSpine common stock distributed to our stockholders on the distribution date over our tax basis in such shares of SeaSpine common stock. Moreover, we could incur significant U.S. federal income tax liabilities if it is ultimately determined that the internal distribution does not qualify as a transaction that is tax-free for U.S. federal income tax purposes.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might not be able to engage in desirable strategic transactions and equity issuances following the spin-off because of certain restrictions relating to requirements for tax-free distributions.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engage in significant equity transactions could be limited or restricted after the spin-off in order to preserve, for U.S. federal income tax purposes, the tax-free nature of the internal distribution and the distribution. Even if the internal distribution and the distribution otherwise qualify for tax-free treatment under Section 355 of the Code, they may result in corporate-level taxable gain to us under Section 355(e) of the Code if there is a 50% or greater change in ownership, by vote or value, of shares of our stock or SeaSpine’s stock occurring as part of a plan or series of related transactions that includes the internal distribution or the distribution. Any acquisitions or issuances of our stock or SeaSpine’s stock within two years after the distribution are generally presumed to be part of such a plan, although we or SeaSpine may be able to rebut that presumption.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be subject to continuing contingent liabilities of SeaSpine following the spin-off.</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the Separation, there will be several significant areas where the liabilities of SeaSpine may become our obligations. For example, under the Code and the related rules and regulations, each corporation that was a member of our consolidated U.S. federal income tax reporting group during any taxable period or portion of any taxable period ending on or before the effective time of the spin-off is jointly and severally liable for the U.S. federal income tax liability of the entire consolidated tax reporting group for that taxable period. If SeaSpine is unable to pay any prior period taxes for which it is responsible, we could be required to pay the entire amount of such taxes.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stringent domestic and foreign medical device regulation and any adverse regulatory action may materially adversely affect our financial condition and business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development activities and manufacturing processes are subject to extensive and rigorous regulation by numerous government agencies, including the FDA and comparable foreign agencies. To varying degrees, each of these agencies monitors and enforces our compliance with laws and regulations governing the development, testing, manufacturing, labeling, marketing and distribution of our medical devices. The process of obtaining marketing approval or clearance from the FDA and comparable foreign regulatory agencies for new products, or for enhancements or modifications to existing products, could</w:t>
      </w:r>
    </w:p>
    <w:p>
      <w:pPr>
        <w:spacing w:after="0" w:line="18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a significant amount of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expenditure of substantial financial and other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involve rigorous and expensive pre-clinical and clinical testing, as well as increased post-market surveillance;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 and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be certain that we will receive required approval or clearance from the FDA and foreign regulatory agencies for new products or modifications to existing products on a timely basis. The failure to receive approval or clearance for significant new products or modifications to existing products on a timely basis could have a material adverse effect on our financial condition and results of operations.</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Both before and after a product is commercially released, we have ongoing responsibilities under FDA regulations. For example, we are required to comply with the FDA's Quality System Regulation, which mandates that manufacturers of medical devices adhere to certain quality assurance requirements pertaining to, among other things, validation of manufacturing processes, controls for purchasing product components, and documentation practices. As another example, the Federal Medical Device Reporting regulation requires us to provide information to the FDA whenever there is evidence that reasonably suggests that a device may have caused or contributed to a death or serious injury or, that a malfunction occurred which would be likely to cause or contribute to a death or serious injury upon recurrence. Compliance with applicable regulatory requirements is subject to continual review and is monitored rigorously through periodic inspections by the FDA, which may result in observations on Form 483, and in some cases warning letters, that require corrective action. If the FDA were to conclude that we are not in compliance with applicable laws or regulations, or that any of our medical devices are ineffective or pose an unreasonable health risk, the FDA could ban such medical devices, detain or seize such medical devices, order a recall, repair, replacement, or refund of such devices, or require us to notify health professionals and others that the devices present unreasonable risks of substantial harm to the public health.</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FDA has been increasing its scrutiny of the medical device industry and the government is expected to continue to scrutinize the industry closely with inspections, and possibly enforcement actions, by the FDA or other agencies. Additionally, the FDA may restrict manufacturing and impose other operating restrictions, enjoin and restrain certain violations of applicable law pertaining to medical devices, and assess civil or criminal penalties against our officers, employees, or us. The FDA may also recommend prosecution to the Department of Justice. Any adverse regulatory action, depending on its magnitude, may restrict us from effectively manufacturing, marketing and selling our products. In addition, negative publicity and product liability claims resulting from any adverse regulatory action could have a material adverse effect on our financial condition and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an outstanding FDA warning letter related to TEI Biosciences Inc. ("TEI"), a recent acquisition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We will continue to monitor this activity and address all corrective actions submitted to the FDA. The FDA may not accept our corrective action plan or it may choose to scrutinize other promotional claims regarding TEI's or our products and require additional corrective actions.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we have taken measures to enhance our Quality System, we cannot assure you that future inspections by the FDA and the standards they apply will not result in warning letters for any facility in the future.</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Safety and Innovation Act ("FDASIA"), which includes the Medical Device User Fee Amendments of 2012 ("MDUFA III"), as well as other medical device provisions, went into effect October 1, 2012. This includes performance goals and user fees paid to the FDA by medical device companies when they register and list with the FDA and when they submit an application to market a device in the U.S. This will affect the fees paid to the FDA over the five-year period that FDASIA is in effect. As part of FDASIA, there are additional requirements regarding the FDA Establishment Registration and Listing of Medical Devices. All U.S. and foreign manufacturers must register and list medical devices for sale in the U.S. All of our facilities comply with these requirements. That said, we also source products from foreign contract manufacturers. From this business practice, it is possible that some of our foreign contract manufacturers will not comply with these requirements and choose not to register with the FDA. In such an event, we will need to determine if there are alternative foreign contract manufacturers who comply with the FDA Establishment Registration requirements. If such a foreign contract manufacturer is a sole supplier of one of our products, there is a risk that we may not be able to source another supplier.</w:t>
      </w:r>
    </w:p>
    <w:p>
      <w:pPr>
        <w:spacing w:after="0" w:line="16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FDA issued a final rule on September 24, 2013 to establish a system to adequately identify devices through distribution and use. This rule requires the label of medical devices to include a unique device identifier (“UDI”), except where the rule provides for an exception or alternative placement. The labeler must submit product information concerning devices to FDA's Global Unique Device Identification Database ("GUDID"), unless subject to an exception or alternative. The system established by this rule requires the label and device package of each medical device to include a UDI and requires that each UDI be provided in a plain-text version and in a form that uses automatic identification and data capture technology. If the device is intended to be used more than once and intended to be reprocessed before each use, then there is a requirement for the UDI to be directly marked on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device itself. This regulation will require significant resources and expense to comply with the regulation. We have complied with the initial requirements of this regulation for our Class III products by meeting the September 2014 deadline for labeling and entering the data in FDA's GUDID Database.</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Finally, the FDA issued regulations regarding “Current Good Manufacturing Practice Requirements for Combination Products” on January 22, 2013. These regulations apply to some of our product lines that have been designated by the FDA as Combination Products. There have been and will be additional costs associated with compliance with the FDA Good Manufacturing Practice Requirements regulations for Combination Products.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manufacture medical devices that are subject to various electrical safety standards. Many countries have adopted the recommendations of the International Electrotechnical Commission (“IEC”) for the safety and effectiveness of medical electrical equipment. The IEC is a non-profit, non-governmental international standards organization that prepares and publishes International Standards for all electrical, electronic and related technologies. Their updated standards were implemented in some markets starting in July 2012 and have continued to be adopted over the following years worldwide. If we cannot comply with these standards, we may not be able to sell some of our products in the affected markets. Most of our affected products have already been modified to meet these standards and are substantially in compliance with these standards. Except in limited circumstances, we do not anticipate any delays in selling our products in the markets that have adopted the IEC updated standards.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the FDCA permits device manufacturers to promote products solely for the uses and indications set forth in the approved product labeling. A number of enforcement actions have been taken against manufacturers that promote products for “off-label” uses, including actions alleging that federal health care program reimbursement of products promoted for "off-label" uses are false and fraudulent claims to the government. The failure to comply with “off-label” promotion restrictions can result in significant financial penalties and a required corporate integrity agreement with the federal government imposing significant administrative obligations and costs, and potential evaluation from federal health care programs.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Foreign governmental regulations have become increasingly stringent and more common, and we may become subject to even more rigorous regulation by foreign governmental authorities in the future. Penalties for a company's noncompliance with foreign governmental regulation could be severe, including revocation or suspension of a company's business license and criminal sanctions. Any domestic or foreign governmental medical device law or regulation imposed in the future may have a material adverse effect on our financial condition and business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biomaterial products for the spine, nerve and tendon repair products, wound care products and certain other products, contain material derived from bovine tissue. In 2014 approximately 23%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In 2013, the World Organization for Animal Health ("OIE") recommended that the United States risk classification for BSE be upgraded from controlled risk to negligible risk.</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take care to provide that our products are safe and free of agents that can cause disease. In particular, we have qualified a source of collagen from a country outside the United States that is considered BSE-free. The World Health Organization classifies different types of cattle tissue for relative risk of BSE transmission. Deep flexor tendon and bovine fetal skin, which are used in our products, are in the lowest-risk categories for BSE transmission (the same category as milk, for example), and are 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United States and purchase tendon from the United States and New Zealand. New Zealand has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never had a case of BSE.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will not be permitted to sell our collagen products in certain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distribute medical devices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and cornea.</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HCT/Ps also meet the definition of a biological product, medical device or drug regulated under the FD&amp;C Act. Section 361 of the PHSA authorizes the FDA to issue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89"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collagen-based products, such as the Integra</w:t>
      </w:r>
      <w:r>
        <w:rPr>
          <w:rFonts w:ascii="Arial" w:cs="Arial" w:eastAsia="Arial" w:hAnsi="Arial"/>
          <w:sz w:val="18"/>
          <w:szCs w:val="18"/>
          <w:color w:val="auto"/>
          <w:vertAlign w:val="superscript"/>
        </w:rPr>
        <w:t>®</w:t>
      </w:r>
      <w:r>
        <w:rPr>
          <w:rFonts w:ascii="Arial" w:cs="Arial" w:eastAsia="Arial" w:hAnsi="Arial"/>
          <w:sz w:val="18"/>
          <w:szCs w:val="18"/>
          <w:color w:val="auto"/>
        </w:rPr>
        <w:t xml:space="preserve"> Dermal Regeneration Template and wound matrix products, the DuraGen</w:t>
      </w:r>
      <w:r>
        <w:rPr>
          <w:rFonts w:ascii="Arial" w:cs="Arial" w:eastAsia="Arial" w:hAnsi="Arial"/>
          <w:sz w:val="18"/>
          <w:szCs w:val="18"/>
          <w:color w:val="auto"/>
          <w:vertAlign w:val="superscript"/>
        </w:rPr>
        <w:t>®</w:t>
      </w:r>
      <w:r>
        <w:rPr>
          <w:rFonts w:ascii="Arial" w:cs="Arial" w:eastAsia="Arial" w:hAnsi="Arial"/>
          <w:sz w:val="18"/>
          <w:szCs w:val="18"/>
          <w:color w:val="auto"/>
        </w:rPr>
        <w:t xml:space="preserve"> family of products, and our Absorbable Collagen Sponges;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products which use many different specialty parts from numerous suppliers, such as our intracranial monitors, catheters and headlights;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products that use pyrolytic carbon (i.e., PyroCarbon) technology, such as certain of our reconstructive extremity orthopedic implants.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and recently entered into a contract with a third-party to assume the manufacture of these product lines after the relationship with the affiliate of the seller concludes in several years.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delays, performance impact or unexpected costs from consolidation of facilities.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consolidated several facilities in 2014 and 2015, and could further consolidate our operations in the future in order to improve our cost structure, achieve increased operating efficiencies, and improve our competitive standing or results of operations and/or to address unfavorable economic conditions. We may further reduce staff, make changes to certain capital projects, close certain production operations and abandon leases for certain facilities that will not be used in our operations. As part of these initiatives, we may also lose favorable tax incentives or not be able to renew leases on acceptable terms. In conjunction with any actions, we will continue to make significant investments and build the framework for our future growth. However, we may not realize,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full or in part, the anticipated benefits and savings from these efforts because of unforeseen difficulties, delays, implementation issues or unexpected costs. If we are unable to achieve or maintain all of the resulting savings or benefits to our business or other unforeseen events occur, our business and results of operations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June 30, 2015 under this program.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center"/>
        <w:ind w:left="1220" w:right="40"/>
        <w:spacing w:after="0" w:line="308" w:lineRule="auto"/>
        <w:rPr>
          <w:sz w:val="20"/>
          <w:szCs w:val="20"/>
          <w:color w:val="auto"/>
        </w:rPr>
      </w:pPr>
      <w:r>
        <w:rPr>
          <w:rFonts w:ascii="Arial" w:cs="Arial" w:eastAsia="Arial" w:hAnsi="Arial"/>
          <w:sz w:val="17"/>
          <w:szCs w:val="17"/>
          <w:color w:val="auto"/>
        </w:rPr>
        <w:t>2.1   Separation and Distribution Agreement between Integra LifeSciences Holdings Corporation and SeaSpine Holdings Corporation, dated as of June 30, 2015 (Incorporated by reference to Exhibit 2.1 to the Company’s Current Report on Form 8-K filed on July 7, 2015)</w:t>
      </w: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0000" w:type="dxa"/>
            <w:vAlign w:val="bottom"/>
          </w:tcPr>
          <w:p>
            <w:pPr>
              <w:ind w:left="140"/>
              <w:spacing w:after="0"/>
              <w:rPr>
                <w:sz w:val="20"/>
                <w:szCs w:val="20"/>
                <w:color w:val="auto"/>
              </w:rPr>
            </w:pPr>
            <w:r>
              <w:rPr>
                <w:rFonts w:ascii="Arial" w:cs="Arial" w:eastAsia="Arial" w:hAnsi="Arial"/>
                <w:sz w:val="18"/>
                <w:szCs w:val="18"/>
                <w:color w:val="auto"/>
                <w:w w:val="92"/>
              </w:rPr>
              <w:t>Agreement and Plan of Merger by and among Integra LifeSciences Corporation, Patriot S1, Inc., TEI Biosciences Inc. and Dr. Yiannis</w:t>
            </w:r>
          </w:p>
        </w:tc>
      </w:tr>
      <w:tr>
        <w:trPr>
          <w:trHeight w:val="216"/>
        </w:trPr>
        <w:tc>
          <w:tcPr>
            <w:tcW w:w="100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0"/>
              </w:rPr>
              <w:t>Monovoukas, dated as of June 26, 2015 (Incorporated by reference to Exhibit 2.1 to the Company's Current Report on Form 8-K filed on</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10000" w:type="dxa"/>
            <w:vAlign w:val="bottom"/>
          </w:tcPr>
          <w:p>
            <w:pPr>
              <w:ind w:left="140"/>
              <w:spacing w:after="0"/>
              <w:rPr>
                <w:sz w:val="20"/>
                <w:szCs w:val="20"/>
                <w:color w:val="auto"/>
              </w:rPr>
            </w:pPr>
            <w:r>
              <w:rPr>
                <w:rFonts w:ascii="Arial" w:cs="Arial" w:eastAsia="Arial" w:hAnsi="Arial"/>
                <w:sz w:val="18"/>
                <w:szCs w:val="18"/>
                <w:color w:val="auto"/>
                <w:w w:val="95"/>
              </w:rPr>
              <w:t>Agreement and Plan of Merger by and among Integra LifeSciences Corporation, Patriot S2, Inc., TEI Medical Inc. and Dr. Yiannis</w:t>
            </w:r>
          </w:p>
        </w:tc>
      </w:tr>
      <w:tr>
        <w:trPr>
          <w:trHeight w:val="216"/>
        </w:trPr>
        <w:tc>
          <w:tcPr>
            <w:tcW w:w="100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0"/>
              </w:rPr>
              <w:t>Monovoukas, dated as of June 26, 2015 (Incorporated by reference to Exhibit 2.2 to the Company's Current Report on Form 8-K filed on</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0000" w:type="dxa"/>
            <w:vAlign w:val="bottom"/>
          </w:tcPr>
          <w:p>
            <w:pPr>
              <w:ind w:left="140"/>
              <w:spacing w:after="0"/>
              <w:rPr>
                <w:sz w:val="20"/>
                <w:szCs w:val="20"/>
                <w:color w:val="auto"/>
              </w:rPr>
            </w:pPr>
            <w:r>
              <w:rPr>
                <w:rFonts w:ascii="Arial" w:cs="Arial" w:eastAsia="Arial" w:hAnsi="Arial"/>
                <w:sz w:val="18"/>
                <w:szCs w:val="18"/>
                <w:color w:val="auto"/>
                <w:w w:val="92"/>
              </w:rPr>
              <w:t>The Integra LifeSciences Holdings Corporation Third Amended and Restated 2003 Equity Incentive Plan (Incorporated by reference to</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Exhibit 10.1 to the Company’s Current Report on Form 8-K filed on May 29, 2015)</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*23.1</w:t>
            </w:r>
          </w:p>
        </w:tc>
        <w:tc>
          <w:tcPr>
            <w:tcW w:w="10000" w:type="dxa"/>
            <w:vAlign w:val="bottom"/>
          </w:tcPr>
          <w:p>
            <w:pPr>
              <w:ind w:left="140"/>
              <w:spacing w:after="0"/>
              <w:rPr>
                <w:sz w:val="20"/>
                <w:szCs w:val="20"/>
                <w:color w:val="auto"/>
              </w:rPr>
            </w:pPr>
            <w:r>
              <w:rPr>
                <w:rFonts w:ascii="Arial" w:cs="Arial" w:eastAsia="Arial" w:hAnsi="Arial"/>
                <w:sz w:val="18"/>
                <w:szCs w:val="18"/>
                <w:color w:val="auto"/>
              </w:rPr>
              <w:t>Consent of Independent Auditors</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*99.1</w:t>
            </w:r>
          </w:p>
        </w:tc>
        <w:tc>
          <w:tcPr>
            <w:tcW w:w="10000" w:type="dxa"/>
            <w:vAlign w:val="bottom"/>
          </w:tcPr>
          <w:p>
            <w:pPr>
              <w:ind w:left="140"/>
              <w:spacing w:after="0"/>
              <w:rPr>
                <w:sz w:val="20"/>
                <w:szCs w:val="20"/>
                <w:color w:val="auto"/>
              </w:rPr>
            </w:pPr>
            <w:r>
              <w:rPr>
                <w:rFonts w:ascii="Arial" w:cs="Arial" w:eastAsia="Arial" w:hAnsi="Arial"/>
                <w:sz w:val="18"/>
                <w:szCs w:val="18"/>
                <w:color w:val="auto"/>
              </w:rPr>
              <w:t>Letter, dated May 29, 2015, from the United States Food and Drug Administration to TEI Biosciences Inc.</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*99.2</w:t>
            </w:r>
          </w:p>
        </w:tc>
        <w:tc>
          <w:tcPr>
            <w:tcW w:w="10000" w:type="dxa"/>
            <w:vAlign w:val="bottom"/>
          </w:tcPr>
          <w:p>
            <w:pPr>
              <w:ind w:left="140"/>
              <w:spacing w:after="0"/>
              <w:rPr>
                <w:sz w:val="20"/>
                <w:szCs w:val="20"/>
                <w:color w:val="auto"/>
              </w:rPr>
            </w:pPr>
            <w:r>
              <w:rPr>
                <w:rFonts w:ascii="Arial" w:cs="Arial" w:eastAsia="Arial" w:hAnsi="Arial"/>
                <w:sz w:val="18"/>
                <w:szCs w:val="18"/>
                <w:color w:val="auto"/>
              </w:rPr>
              <w:t>Letter, dated June 30, 2015, from the United States Food and Drug Administration to Integra LifeSciences (Ireland) Limited</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*99.3</w:t>
            </w:r>
          </w:p>
        </w:tc>
        <w:tc>
          <w:tcPr>
            <w:tcW w:w="10000" w:type="dxa"/>
            <w:vAlign w:val="bottom"/>
          </w:tcPr>
          <w:p>
            <w:pPr>
              <w:ind w:left="140"/>
              <w:spacing w:after="0"/>
              <w:rPr>
                <w:sz w:val="20"/>
                <w:szCs w:val="20"/>
                <w:color w:val="auto"/>
              </w:rPr>
            </w:pPr>
            <w:r>
              <w:rPr>
                <w:rFonts w:ascii="Arial" w:cs="Arial" w:eastAsia="Arial" w:hAnsi="Arial"/>
                <w:sz w:val="18"/>
                <w:szCs w:val="18"/>
                <w:color w:val="auto"/>
                <w:w w:val="94"/>
              </w:rPr>
              <w:t>TEI Biosciences Inc. and Subsidiary Audited Consolidated Financial Statements for the years ended December 31, 2014 and 2013</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*99.4</w:t>
            </w: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TEI Biosciences Inc. and Subsidiary Condensed Consolidated Financial Statements (Unaudited) for the three months ended March 31,</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2015 and 2014</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77" w:lineRule="auto"/>
        <w:tabs>
          <w:tab w:leader="none" w:pos="18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2015 filed on July 31, 2015 formatted in XBRL (Extensible Business Reporting Language): (i) the Condensed</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5" w:right="2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00"/>
              <w:spacing w:after="0"/>
              <w:rPr>
                <w:sz w:val="20"/>
                <w:szCs w:val="20"/>
                <w:color w:val="auto"/>
              </w:rPr>
            </w:pPr>
            <w:r>
              <w:rPr>
                <w:rFonts w:ascii="Arial" w:cs="Arial" w:eastAsia="Arial" w:hAnsi="Arial"/>
                <w:sz w:val="18"/>
                <w:szCs w:val="18"/>
                <w:color w:val="auto"/>
              </w:rPr>
              <w:t>July 31, 2015</w:t>
            </w:r>
          </w:p>
        </w:tc>
        <w:tc>
          <w:tcPr>
            <w:tcW w:w="25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100"/>
              <w:spacing w:after="0"/>
              <w:rPr>
                <w:sz w:val="20"/>
                <w:szCs w:val="20"/>
                <w:color w:val="auto"/>
              </w:rPr>
            </w:pPr>
            <w:r>
              <w:rPr>
                <w:rFonts w:ascii="Arial" w:cs="Arial" w:eastAsia="Arial" w:hAnsi="Arial"/>
                <w:sz w:val="18"/>
                <w:szCs w:val="18"/>
                <w:color w:val="auto"/>
              </w:rPr>
              <w:t>July 31, 2015</w:t>
            </w:r>
          </w:p>
        </w:tc>
        <w:tc>
          <w:tcPr>
            <w:tcW w:w="25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347"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000" w:type="dxa"/>
            <w:vAlign w:val="bottom"/>
            <w:gridSpan w:val="3"/>
          </w:tcPr>
          <w:p>
            <w:pPr>
              <w:ind w:left="260"/>
              <w:spacing w:after="0"/>
              <w:rPr>
                <w:sz w:val="20"/>
                <w:szCs w:val="20"/>
                <w:color w:val="auto"/>
              </w:rPr>
            </w:pPr>
            <w:r>
              <w:rPr>
                <w:rFonts w:ascii="Arial" w:cs="Arial" w:eastAsia="Arial" w:hAnsi="Arial"/>
                <w:sz w:val="18"/>
                <w:szCs w:val="18"/>
                <w:color w:val="auto"/>
              </w:rPr>
              <w:t>Exhibits</w:t>
            </w:r>
          </w:p>
        </w:tc>
        <w:tc>
          <w:tcPr>
            <w:tcW w:w="10000" w:type="dxa"/>
            <w:vAlign w:val="bottom"/>
          </w:tcPr>
          <w:p>
            <w:pPr>
              <w:spacing w:after="0"/>
              <w:rPr>
                <w:sz w:val="17"/>
                <w:szCs w:val="17"/>
                <w:color w:val="auto"/>
              </w:rPr>
            </w:pPr>
          </w:p>
        </w:tc>
      </w:tr>
      <w:tr>
        <w:trPr>
          <w:trHeight w:val="276"/>
        </w:trPr>
        <w:tc>
          <w:tcPr>
            <w:tcW w:w="2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Separation and Distribution Agreement between Integra LifeSciences Holdings Corporation and SeaSpine Holdings Corporation, dated</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5"/>
              </w:rPr>
              <w:t>as of June 30, 2015 (Incorporated by reference to Exhibit 2.1 to the Company’s Current Report on Form 8-K filed on July 7, 2015)</w:t>
            </w:r>
          </w:p>
        </w:tc>
      </w:tr>
      <w:tr>
        <w:trPr>
          <w:trHeight w:val="52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2"/>
              </w:rPr>
              <w:t>Agreement and Plan of Merger by and among Integra LifeSciences Corporation, Patriot S1, Inc., TEI Biosciences Inc. and Dr. Yiannis</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0"/>
              </w:rPr>
              <w:t>Monovoukas, dated as of June 26, 2015 (Incorporated by reference to Exhibit 2.1 to the Company's Current Report on Form 8-K filed on</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5"/>
              </w:rPr>
              <w:t>Agreement and Plan of Merger by and among Integra LifeSciences Corporation, Patriot S2, Inc., TEI Medical Inc. and Dr. Yiannis</w:t>
            </w:r>
          </w:p>
        </w:tc>
      </w:tr>
      <w:tr>
        <w:trPr>
          <w:trHeight w:val="216"/>
        </w:trPr>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0"/>
              </w:rPr>
              <w:t>Monovoukas, dated as of June 26, 2015 (Incorporated by reference to Exhibit 2.2 to the Company's Current Report on Form 8-K filed on</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10000" w:type="dxa"/>
            <w:vAlign w:val="bottom"/>
          </w:tcPr>
          <w:p>
            <w:pPr>
              <w:ind w:left="140"/>
              <w:spacing w:after="0"/>
              <w:rPr>
                <w:sz w:val="20"/>
                <w:szCs w:val="20"/>
                <w:color w:val="auto"/>
              </w:rPr>
            </w:pPr>
            <w:r>
              <w:rPr>
                <w:rFonts w:ascii="Arial" w:cs="Arial" w:eastAsia="Arial" w:hAnsi="Arial"/>
                <w:sz w:val="18"/>
                <w:szCs w:val="18"/>
                <w:color w:val="auto"/>
                <w:w w:val="92"/>
              </w:rPr>
              <w:t>The Integra LifeSciences Holdings Corporation Third Amended and Restated 2003 Equity Incentive Plan (Incorporated by reference to</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Exhibit 10.1 to the Company’s Current Report on Form 8-K filed on May 29, 2015)</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Consent of Independent Auditors</w:t>
            </w:r>
          </w:p>
        </w:tc>
      </w:tr>
      <w:tr>
        <w:trPr>
          <w:trHeight w:val="594"/>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Letter, dated May 29, 2015, from the United States Food and Drug Administration to TEI Biosciences Inc.</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Letter, dated June 30, 2015, from the United States Food and Drug Administration to Integra LifeSciences (Ireland) Limited</w:t>
            </w:r>
          </w:p>
        </w:tc>
      </w:tr>
      <w:tr>
        <w:trPr>
          <w:trHeight w:val="540"/>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*99.3</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4"/>
              </w:rPr>
              <w:t>TEI Biosciences Inc. and Subsidiary Audited Consolidated Financial Statements for the years ended December 31, 2014 and 2013</w:t>
            </w:r>
          </w:p>
        </w:tc>
      </w:tr>
      <w:tr>
        <w:trPr>
          <w:trHeight w:val="526"/>
        </w:trPr>
        <w:tc>
          <w:tcPr>
            <w:tcW w:w="86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spacing w:after="0"/>
              <w:rPr>
                <w:sz w:val="24"/>
                <w:szCs w:val="24"/>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TEI Biosciences Inc. and Subsidiary Condensed Consolidated Financial Statements (Unaudited) for the three months ended March 31,</w:t>
            </w:r>
          </w:p>
        </w:tc>
      </w:tr>
      <w:tr>
        <w:trPr>
          <w:trHeight w:val="230"/>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2015 and 2014</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*†101.SCH</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6"/>
              </w:rPr>
              <w:t>*†101.CAL</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*†101.DEF</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7"/>
              </w:rPr>
              <w:t>*†101.LAB</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4"/>
              </w:rPr>
              <w:t>*†101.PRE</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80"/>
          </w:cols>
          <w:pgMar w:left="240" w:top="125" w:right="27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hanging="492"/>
        <w:spacing w:after="0" w:line="257" w:lineRule="auto"/>
        <w:tabs>
          <w:tab w:leader="none" w:pos="18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June 30, 2015 filed on July 31, 2015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Consent of Independent Auditors</w:t>
      </w:r>
    </w:p>
    <w:p>
      <w:pPr>
        <w:spacing w:after="0" w:line="144"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color w:val="auto"/>
        </w:rPr>
        <w:t>We consent to the use of our report dated June 25, 2015, with respect to the consolidated financial statements of TEI Biosciences Inc. and Subsidiary included as Exhibit 99.3 of Integra Lifesciences Holdings Corporation’s Form 10-Q for the period ended June 30, 2015.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 Boston, MA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July 31, 2015</w:t>
      </w:r>
    </w:p>
    <w:p>
      <w:pPr>
        <w:sectPr>
          <w:pgSz w:w="11900" w:h="16838" w:orient="portrait"/>
          <w:cols w:equalWidth="0" w:num="1">
            <w:col w:w="10920"/>
          </w:cols>
          <w:pgMar w:left="7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July 31,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July 31,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June 30,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31,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51" w:name="page52"/>
    <w:bookmarkEnd w:id="5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DEPARTMENT OF HEALTH AND HUMAN SERVICES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Food and Drug Administration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10903 New Hampshire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White Oak Building 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Silver Spring, MD 20993</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WARNING LETTER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May 29,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Beuhler,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Manufacturing and Quality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Elkins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02127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Surgical Mesh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Refer to CMS # 459703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Beuhler:</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United States Food and Drug Administration (FDA) has learned that your firm is marketing SurgiMend in the United States without marketing clearance or approval, in violation of the Federal Food, Drug, and Cosmetic Act (the Act).</w:t>
      </w:r>
    </w:p>
    <w:p>
      <w:pPr>
        <w:spacing w:after="0" w:line="11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Under section 201 (h) of the Act, 21 U.S.C. § 321 (h), this product is a device because it is intended for use in the diagnosis of disease or other conditions or in the cure, mitigation, treatment, or prevention of disease, or to affect the structure or any function of the body.</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FDA has reviewed your firm's website, http://www.teibio.com/products/by-brand/surgimend-prs/ and determined that the SurgiMend is adulterated under section 501 (f)(1)(B) of the Act, 21 U.S.C. § 351(f)(1)(B), because your firm does not have an approved application for premarket approval (PMA) in effect pursuant to section 515(a) of the Act, 21 U.S.C. § 360e(a), or an approved application for an investigational device exemption (IDE) under section 520(g) of the Act, 21 U.S.C. § 360j(g) for the device as described and marketed. The SurgiMend is also misbranded under section 502(o) the Act, 21 U.S.C.§ 352(o), because your firm introduced or delivered for introduction into interstate commerce for commercial distribution this device with major changes or modifications to the intended use without submitting a new premarket notification to FDA as required by section 510(k) of the Act, 21 U.S.C. § 360(k), and 21 CFR 807.81 (a)(3)(ii).</w:t>
      </w:r>
    </w:p>
    <w:p>
      <w:pPr>
        <w:spacing w:after="0" w:line="13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Specifically, the SurgiMend was cleared under K083898 with the following indications: SurgiMend is intended for implantation to reinforce soft tissue where weakness exists and for the surgical repair of damaged or ruptured soft tissue membranes.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SurgiMend is specifically indicated for:</w:t>
      </w:r>
    </w:p>
    <w:p>
      <w:pPr>
        <w:spacing w:after="0" w:line="90" w:lineRule="exact"/>
        <w:rPr>
          <w:sz w:val="20"/>
          <w:szCs w:val="20"/>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Plastic and reconstructive surgery</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Muscle flap reinforcement</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Hernia repair including abdominal, inguinal, femoral, diaphragmatic, scrotal, umbilical, and incisional hernias</w:t>
      </w:r>
    </w:p>
    <w:p>
      <w:pPr>
        <w:spacing w:after="0" w:line="7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However, your firm's promotion of the device provides evidence that the device is intended for breast surgery applications, which would constitute a major change or modification to its intended use, for which your firm lacks clearance or approval. For example: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"The superior biologic matrix for your breast surgery patients"</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This indication falls outside of your firm's intended use because surgical mesh has not been cleared or approved for use in breast reconstruction using a tissue expander or implant. In addition, the specific breast reconstruction surgery indication changes the intended use of a surgical mesh cleared with a general soft tissue reinforcement indication regulated by 21 CFR 878.3300.</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office requests that TEI Biosciences, Inc. immediately cease activities that result in the misbranding or adulteration of the SurgiMend, such as the commercial distribution of the device for the uses discussed above.</w:t>
      </w:r>
    </w:p>
    <w:p>
      <w:pPr>
        <w:sectPr>
          <w:pgSz w:w="11900" w:h="16838" w:orient="portrait"/>
          <w:cols w:equalWidth="0" w:num="1">
            <w:col w:w="11420"/>
          </w:cols>
          <w:pgMar w:left="240" w:top="580" w:right="239" w:bottom="1440" w:gutter="0" w:footer="0" w:header="0"/>
        </w:sectPr>
      </w:pPr>
    </w:p>
    <w:bookmarkStart w:id="52" w:name="page53"/>
    <w:bookmarkEnd w:id="52"/>
    <w:p>
      <w:pPr>
        <w:ind w:right="220"/>
        <w:spacing w:after="0" w:line="259" w:lineRule="auto"/>
        <w:rPr>
          <w:sz w:val="20"/>
          <w:szCs w:val="20"/>
          <w:color w:val="auto"/>
        </w:rPr>
      </w:pPr>
      <w:r>
        <w:rPr>
          <w:rFonts w:ascii="Arial" w:cs="Arial" w:eastAsia="Arial" w:hAnsi="Arial"/>
          <w:sz w:val="18"/>
          <w:szCs w:val="18"/>
          <w:color w:val="auto"/>
        </w:rPr>
        <w:t>Your firm should take prompt action to correct the violations addressed in this letter. Failure to promptly correct these violations may result in regulatory action being initiated by the FDA without further notice. These actions include, but are not limited to, seizure, injunction, and civil money penalties. Also, federal agencies may be advised of the issuance of Warning Letters about devices so that they may take this information into account when considering the award of contracts.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Please notify this office in writing within fifteen business days from the date you receive this letter of the specific steps your firm has taken to correct the noted violations, as well as an explanation of how your firm plans to prevent these violations, or similar violations, from occurring again. Include documentation of the corrections and/or corrective actions (which must address systemic problems) your firm has taken. If your firm's planned corrections and/or corrective actions will occur over time, please include a timetable for implementation of those activities. If corrections and/or corrective actions cannot be completed within fifteen business days, state the reason for the delay and the time within which these activities will be completed. Your firm's response should be comprehensive and address all violations included in this Warning Letter.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Your firm's response should be sent to: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Food and Drug Administration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Center for Devices and Radiological Health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Field Inspections Support Branch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White Oak Building 66, Rm 2609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10903 New Hampshire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Silver Spring, MD 20993</w:t>
      </w:r>
    </w:p>
    <w:p>
      <w:pPr>
        <w:spacing w:after="0" w:line="7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 to the identification number CMS # 459703 when replying. We remind you that only written communication is considered as official. If you have any questions about the contents of this letter, please contact: Ms. LaShanda Long at 301-796-5770 or 301-847-8137 (fax).</w:t>
      </w:r>
    </w:p>
    <w:p>
      <w:pPr>
        <w:spacing w:after="0" w:line="11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Finally, you should know that this letter is not intended to be an all-inclusive list of the violations at your firm. It is your firm's responsibility to ensure compliance with the applicable laws and regulations administered by FDA.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 Welch, MHS, MT (ASCP) SBB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Center for Devices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Radiological Health</w:t>
      </w:r>
    </w:p>
    <w:p>
      <w:pPr>
        <w:sectPr>
          <w:pgSz w:w="11900" w:h="16838" w:orient="portrait"/>
          <w:cols w:equalWidth="0" w:num="1">
            <w:col w:w="11380"/>
          </w:cols>
          <w:pgMar w:left="240" w:top="665" w:right="279" w:bottom="1440" w:gutter="0" w:footer="0" w:header="0"/>
        </w:sectPr>
      </w:pPr>
    </w:p>
    <w:bookmarkStart w:id="53" w:name="page54"/>
    <w:bookmarkEnd w:id="53"/>
    <w:p>
      <w:pPr>
        <w:ind w:left="10480"/>
        <w:spacing w:after="0"/>
        <w:rPr>
          <w:sz w:val="20"/>
          <w:szCs w:val="20"/>
          <w:color w:val="auto"/>
        </w:rPr>
      </w:pPr>
      <w:r>
        <w:rPr>
          <w:rFonts w:ascii="Arial" w:cs="Arial" w:eastAsia="Arial" w:hAnsi="Arial"/>
          <w:sz w:val="16"/>
          <w:szCs w:val="16"/>
          <w:b w:val="1"/>
          <w:bCs w:val="1"/>
          <w:color w:val="auto"/>
        </w:rPr>
        <w:t>Exhibit 99.2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DEPARTMENT OF HEALTH AND HUMAN SERVICES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Food and Drug Administration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10903 New Hampshire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Silver Spring, MD 20993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John O'Donovan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Integra Lifesciences {Ireland}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IDA Business &amp; Technology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Tullamore, Co. Offaly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O'Donovan:</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Food and Drug Administration (FDA) has completed an evaluation of your firm's corrective actions in response to our Warning Letter #363119, dated November 1, 2012. Based on our evaluation, it appears that you have addressed the violations contained in this Warning Letter. Future FDA inspections and regulatory activities will further assess the adequacy and sustainability of these corrections.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This letter does not relieve you or your firm from the responsibility of taking all necessary steps to assure sustained compliance with the Federal Food, Drug, and Cosmetic Act and its implementing regulations or with other relevant legal authority. The Agency expects you and your firm to maintain compliance and will continue to monitor your state of compliance. This letter will not preclude any future regulatory action should violations be observed during a subsequent inspection or through other means.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Carl Fischer,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International Compliance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Center for Devices and Radiological Health</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C O N S O L I D A T E D F I N A N C I A L S T A T EME N T S</w:t>
      </w: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Years Ended December 31, 2014 and 2013</w:t>
      </w:r>
    </w:p>
    <w:p>
      <w:pPr>
        <w:spacing w:after="0" w:line="4"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With Report of Independent Auditors</w:t>
      </w:r>
    </w:p>
    <w:p>
      <w:pPr>
        <w:sectPr>
          <w:pgSz w:w="11900" w:h="16838" w:orient="portrait"/>
          <w:cols w:equalWidth="0" w:num="1">
            <w:col w:w="10220"/>
          </w:cols>
          <w:pgMar w:left="1440" w:top="580" w:right="239" w:bottom="1440" w:gutter="0" w:footer="0" w:header="0"/>
        </w:sectPr>
      </w:pPr>
    </w:p>
    <w:bookmarkStart w:id="55" w:name="page56"/>
    <w:bookmarkEnd w:id="55"/>
    <w:p>
      <w:pPr>
        <w:ind w:left="4140"/>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Consolidated Financial Statements</w:t>
      </w:r>
    </w:p>
    <w:p>
      <w:pPr>
        <w:spacing w:after="0" w:line="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Years Ended December 31, 2014 and 2013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45" w:lineRule="exact"/>
        <w:rPr>
          <w:sz w:val="20"/>
          <w:szCs w:val="20"/>
          <w:color w:val="auto"/>
        </w:rPr>
      </w:pPr>
    </w:p>
    <w:p>
      <w:pPr>
        <w:spacing w:after="0"/>
        <w:tabs>
          <w:tab w:leader="dot" w:pos="9040" w:val="left"/>
        </w:tabs>
        <w:rPr>
          <w:sz w:val="20"/>
          <w:szCs w:val="20"/>
          <w:color w:val="auto"/>
        </w:rPr>
      </w:pPr>
      <w:r>
        <w:rPr>
          <w:rFonts w:ascii="Arial" w:cs="Arial" w:eastAsia="Arial" w:hAnsi="Arial"/>
          <w:sz w:val="18"/>
          <w:szCs w:val="18"/>
          <w:color w:val="auto"/>
        </w:rPr>
        <w:t>Report of Independent Auditors</w:t>
      </w:r>
      <w:r>
        <w:rPr>
          <w:sz w:val="20"/>
          <w:szCs w:val="20"/>
          <w:color w:val="auto"/>
        </w:rPr>
        <w:tab/>
      </w:r>
      <w:r>
        <w:rPr>
          <w:rFonts w:ascii="Arial" w:cs="Arial" w:eastAsia="Arial" w:hAnsi="Arial"/>
          <w:sz w:val="14"/>
          <w:szCs w:val="14"/>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spacing w:after="0"/>
        <w:tabs>
          <w:tab w:leader="dot" w:pos="9000" w:val="left"/>
        </w:tabs>
        <w:rPr>
          <w:sz w:val="20"/>
          <w:szCs w:val="20"/>
          <w:color w:val="auto"/>
        </w:rPr>
      </w:pPr>
      <w:r>
        <w:rPr>
          <w:rFonts w:ascii="Arial" w:cs="Arial" w:eastAsia="Arial" w:hAnsi="Arial"/>
          <w:sz w:val="18"/>
          <w:szCs w:val="18"/>
          <w:color w:val="auto"/>
        </w:rPr>
        <w:t>Consolidated Balance Sheets</w:t>
      </w:r>
      <w:r>
        <w:rPr>
          <w:sz w:val="20"/>
          <w:szCs w:val="20"/>
          <w:color w:val="auto"/>
        </w:rPr>
        <w:tab/>
      </w:r>
      <w:r>
        <w:rPr>
          <w:rFonts w:ascii="Arial" w:cs="Arial" w:eastAsia="Arial" w:hAnsi="Arial"/>
          <w:sz w:val="17"/>
          <w:szCs w:val="17"/>
          <w:color w:val="auto"/>
        </w:rPr>
        <w:t>2</w:t>
      </w:r>
    </w:p>
    <w:p>
      <w:pPr>
        <w:spacing w:after="0" w:line="23" w:lineRule="exact"/>
        <w:rPr>
          <w:sz w:val="20"/>
          <w:szCs w:val="20"/>
          <w:color w:val="auto"/>
        </w:rPr>
      </w:pPr>
    </w:p>
    <w:p>
      <w:pPr>
        <w:spacing w:after="0"/>
        <w:tabs>
          <w:tab w:leader="dot" w:pos="9020" w:val="left"/>
        </w:tabs>
        <w:rPr>
          <w:sz w:val="20"/>
          <w:szCs w:val="20"/>
          <w:color w:val="auto"/>
        </w:rPr>
      </w:pPr>
      <w:r>
        <w:rPr>
          <w:rFonts w:ascii="Arial" w:cs="Arial" w:eastAsia="Arial" w:hAnsi="Arial"/>
          <w:sz w:val="18"/>
          <w:szCs w:val="18"/>
          <w:color w:val="auto"/>
        </w:rPr>
        <w:t>Consolidated Statements of Income and Comprehensive Income</w:t>
      </w:r>
      <w:r>
        <w:rPr>
          <w:sz w:val="20"/>
          <w:szCs w:val="20"/>
          <w:color w:val="auto"/>
        </w:rPr>
        <w:tab/>
      </w:r>
      <w:r>
        <w:rPr>
          <w:rFonts w:ascii="Arial" w:cs="Arial" w:eastAsia="Arial" w:hAnsi="Arial"/>
          <w:sz w:val="17"/>
          <w:szCs w:val="17"/>
          <w:color w:val="auto"/>
        </w:rPr>
        <w:t>3</w:t>
      </w:r>
    </w:p>
    <w:p>
      <w:pPr>
        <w:spacing w:after="0" w:line="9" w:lineRule="exact"/>
        <w:rPr>
          <w:sz w:val="20"/>
          <w:szCs w:val="20"/>
          <w:color w:val="auto"/>
        </w:rPr>
      </w:pPr>
    </w:p>
    <w:p>
      <w:pPr>
        <w:spacing w:after="0"/>
        <w:tabs>
          <w:tab w:leader="dot" w:pos="9020" w:val="left"/>
        </w:tabs>
        <w:rPr>
          <w:sz w:val="20"/>
          <w:szCs w:val="20"/>
          <w:color w:val="auto"/>
        </w:rPr>
      </w:pPr>
      <w:r>
        <w:rPr>
          <w:rFonts w:ascii="Arial" w:cs="Arial" w:eastAsia="Arial" w:hAnsi="Arial"/>
          <w:sz w:val="18"/>
          <w:szCs w:val="18"/>
          <w:color w:val="auto"/>
        </w:rPr>
        <w:t>Consolidated Statements of Stockholders’ Equity</w:t>
      </w:r>
      <w:r>
        <w:rPr>
          <w:sz w:val="20"/>
          <w:szCs w:val="20"/>
          <w:color w:val="auto"/>
        </w:rPr>
        <w:tab/>
      </w:r>
      <w:r>
        <w:rPr>
          <w:rFonts w:ascii="Arial" w:cs="Arial" w:eastAsia="Arial" w:hAnsi="Arial"/>
          <w:sz w:val="17"/>
          <w:szCs w:val="17"/>
          <w:color w:val="auto"/>
        </w:rPr>
        <w:t>4</w:t>
      </w:r>
    </w:p>
    <w:p>
      <w:pPr>
        <w:spacing w:after="0" w:line="9" w:lineRule="exact"/>
        <w:rPr>
          <w:sz w:val="20"/>
          <w:szCs w:val="20"/>
          <w:color w:val="auto"/>
        </w:rPr>
      </w:pPr>
    </w:p>
    <w:p>
      <w:pPr>
        <w:spacing w:after="0"/>
        <w:tabs>
          <w:tab w:leader="dot" w:pos="9020" w:val="left"/>
        </w:tabs>
        <w:rPr>
          <w:sz w:val="20"/>
          <w:szCs w:val="20"/>
          <w:color w:val="auto"/>
        </w:rPr>
      </w:pPr>
      <w:r>
        <w:rPr>
          <w:rFonts w:ascii="Arial" w:cs="Arial" w:eastAsia="Arial" w:hAnsi="Arial"/>
          <w:sz w:val="18"/>
          <w:szCs w:val="18"/>
          <w:color w:val="auto"/>
        </w:rPr>
        <w:t>Consolidated Statements of Cash Flows</w:t>
      </w:r>
      <w:r>
        <w:rPr>
          <w:sz w:val="20"/>
          <w:szCs w:val="20"/>
          <w:color w:val="auto"/>
        </w:rPr>
        <w:tab/>
      </w:r>
      <w:r>
        <w:rPr>
          <w:rFonts w:ascii="Arial" w:cs="Arial" w:eastAsia="Arial" w:hAnsi="Arial"/>
          <w:sz w:val="17"/>
          <w:szCs w:val="17"/>
          <w:color w:val="auto"/>
        </w:rPr>
        <w:t>5</w:t>
      </w:r>
    </w:p>
    <w:p>
      <w:pPr>
        <w:spacing w:after="0" w:line="9" w:lineRule="exact"/>
        <w:rPr>
          <w:sz w:val="20"/>
          <w:szCs w:val="20"/>
          <w:color w:val="auto"/>
        </w:rPr>
      </w:pPr>
    </w:p>
    <w:p>
      <w:pPr>
        <w:spacing w:after="0"/>
        <w:tabs>
          <w:tab w:leader="dot" w:pos="9040" w:val="left"/>
        </w:tabs>
        <w:rPr>
          <w:sz w:val="20"/>
          <w:szCs w:val="20"/>
          <w:color w:val="auto"/>
        </w:rPr>
      </w:pPr>
      <w:r>
        <w:rPr>
          <w:rFonts w:ascii="Arial" w:cs="Arial" w:eastAsia="Arial" w:hAnsi="Arial"/>
          <w:sz w:val="18"/>
          <w:szCs w:val="18"/>
          <w:color w:val="auto"/>
        </w:rPr>
        <w:t>Notes to Consolidated Financial Statements</w:t>
      </w:r>
      <w:r>
        <w:rPr>
          <w:sz w:val="20"/>
          <w:szCs w:val="20"/>
          <w:color w:val="auto"/>
        </w:rPr>
        <w:tab/>
      </w:r>
      <w:r>
        <w:rPr>
          <w:rFonts w:ascii="Arial" w:cs="Arial" w:eastAsia="Arial" w:hAnsi="Arial"/>
          <w:sz w:val="14"/>
          <w:szCs w:val="14"/>
          <w:color w:val="auto"/>
        </w:rPr>
        <w:t>6</w:t>
      </w:r>
    </w:p>
    <w:p>
      <w:pPr>
        <w:sectPr>
          <w:pgSz w:w="11900" w:h="16838" w:orient="portrait"/>
          <w:cols w:equalWidth="0" w:num="1">
            <w:col w:w="10219"/>
          </w:cols>
          <w:pgMar w:left="240" w:top="1023" w:right="1440" w:bottom="1440" w:gutter="0" w:footer="0" w:header="0"/>
        </w:sectPr>
      </w:pPr>
    </w:p>
    <w:bookmarkStart w:id="56" w:name="page57"/>
    <w:bookmarkEnd w:id="56"/>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TEI Biosciences Inc.</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financial statements of TEI Biosciences Inc. and subsidiary (the Company), which comprise the consolidated balance sheets as of December 31, 2014 and 2013, and the related consolidated statements of income and comprehensive income, stockholders’ equity, and cash flows for the years then ended, and the related notes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TEI Biosciences Inc. and subsidiary at December 31, 2014 and 2013, and the consolidated results of their operations and their cash flows for the years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8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4"/>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230"/>
              <w:spacing w:after="0"/>
              <w:rPr>
                <w:sz w:val="20"/>
                <w:szCs w:val="20"/>
                <w:color w:val="auto"/>
              </w:rPr>
            </w:pPr>
            <w:r>
              <w:rPr>
                <w:rFonts w:ascii="Arial" w:cs="Arial" w:eastAsia="Arial" w:hAnsi="Arial"/>
                <w:sz w:val="18"/>
                <w:szCs w:val="18"/>
                <w:i w:val="1"/>
                <w:iCs w:val="1"/>
                <w:color w:val="auto"/>
                <w:w w:val="95"/>
              </w:rPr>
              <w:t>(All amounts in thousands)</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22,669</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Trade accounts receivable, net of allowance for doubtful accounts of $111 in 2014 and $262 in 2013</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7,450</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5,810</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Prepaid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2,397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39,221</w:t>
            </w:r>
          </w:p>
        </w:tc>
      </w:tr>
      <w:tr>
        <w:trPr>
          <w:trHeight w:val="29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Security deposit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34,027</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41,578</w:t>
            </w:r>
          </w:p>
        </w:tc>
      </w:tr>
      <w:tr>
        <w:trPr>
          <w:trHeight w:val="284"/>
        </w:trPr>
        <w:tc>
          <w:tcPr>
            <w:tcW w:w="88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325</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Current portion of deferred license fees</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r>
      <w:tr>
        <w:trPr>
          <w:trHeight w:val="29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license fees, net of current portion</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r>
      <w:tr>
        <w:trPr>
          <w:trHeight w:val="29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12)</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97"/>
        </w:trPr>
        <w:tc>
          <w:tcPr>
            <w:tcW w:w="8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120"/>
              <w:spacing w:after="0"/>
              <w:rPr>
                <w:sz w:val="20"/>
                <w:szCs w:val="20"/>
                <w:color w:val="auto"/>
              </w:rPr>
            </w:pPr>
            <w:r>
              <w:rPr>
                <w:rFonts w:ascii="Arial" w:cs="Arial" w:eastAsia="Arial" w:hAnsi="Arial"/>
                <w:sz w:val="18"/>
                <w:szCs w:val="18"/>
                <w:color w:val="auto"/>
                <w:w w:val="93"/>
              </w:rPr>
              <w:t>Common stock; $0.001 par value; 20,000 authorized shares; 7,455 shares issued and outstanding in 2014 and 7,453</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40"/>
              <w:spacing w:after="0"/>
              <w:rPr>
                <w:sz w:val="20"/>
                <w:szCs w:val="20"/>
                <w:color w:val="auto"/>
              </w:rPr>
            </w:pPr>
            <w:r>
              <w:rPr>
                <w:rFonts w:ascii="Arial" w:cs="Arial" w:eastAsia="Arial" w:hAnsi="Arial"/>
                <w:sz w:val="18"/>
                <w:szCs w:val="18"/>
                <w:color w:val="auto"/>
              </w:rPr>
              <w:t>shares issued and outstanding in 2013</w:t>
            </w: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13,776</w:t>
            </w:r>
          </w:p>
        </w:tc>
      </w:tr>
      <w:tr>
        <w:trPr>
          <w:trHeight w:val="243"/>
        </w:trPr>
        <w:tc>
          <w:tcPr>
            <w:tcW w:w="8800" w:type="dxa"/>
            <w:vAlign w:val="bottom"/>
          </w:tcPr>
          <w:p>
            <w:pPr>
              <w:ind w:left="220"/>
              <w:spacing w:after="0"/>
              <w:rPr>
                <w:sz w:val="20"/>
                <w:szCs w:val="20"/>
                <w:color w:val="auto"/>
              </w:rPr>
            </w:pPr>
            <w:r>
              <w:rPr>
                <w:rFonts w:ascii="Arial" w:cs="Arial" w:eastAsia="Arial" w:hAnsi="Arial"/>
                <w:sz w:val="18"/>
                <w:szCs w:val="18"/>
                <w:color w:val="auto"/>
              </w:rPr>
              <w:t>Notes receivable - officer</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22,893</w:t>
            </w:r>
          </w:p>
        </w:tc>
      </w:tr>
      <w:tr>
        <w:trPr>
          <w:trHeight w:val="237"/>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24,304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33,814</w:t>
            </w:r>
          </w:p>
        </w:tc>
      </w:tr>
      <w:tr>
        <w:trPr>
          <w:trHeight w:val="27"/>
        </w:trPr>
        <w:tc>
          <w:tcPr>
            <w:tcW w:w="8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38,813</w:t>
            </w:r>
          </w:p>
        </w:tc>
      </w:tr>
      <w:tr>
        <w:trPr>
          <w:trHeight w:val="27"/>
        </w:trPr>
        <w:tc>
          <w:tcPr>
            <w:tcW w:w="8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41,578</w:t>
            </w: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591" w:right="239" w:bottom="1440" w:gutter="0" w:footer="0" w:header="0"/>
        </w:sectPr>
      </w:pPr>
    </w:p>
    <w:p>
      <w:pPr>
        <w:spacing w:after="0" w:line="56" w:lineRule="exact"/>
        <w:rPr>
          <w:sz w:val="20"/>
          <w:szCs w:val="20"/>
          <w:color w:val="auto"/>
        </w:rPr>
      </w:pPr>
    </w:p>
    <w:p>
      <w:pPr>
        <w:ind w:left="11200"/>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591" w:right="2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Income and Comprehensive Income</w:t>
      </w: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4"/>
              </w:rPr>
              <w:t>Year Ended December 31,</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8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r>
      <w:tr>
        <w:trPr>
          <w:trHeight w:val="237"/>
        </w:trPr>
        <w:tc>
          <w:tcPr>
            <w:tcW w:w="8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4"/>
          </w:tcPr>
          <w:p>
            <w:pPr>
              <w:jc w:val="right"/>
              <w:ind w:right="290"/>
              <w:spacing w:after="0"/>
              <w:rPr>
                <w:sz w:val="20"/>
                <w:szCs w:val="20"/>
                <w:color w:val="auto"/>
              </w:rPr>
            </w:pPr>
            <w:r>
              <w:rPr>
                <w:rFonts w:ascii="Arial" w:cs="Arial" w:eastAsia="Arial" w:hAnsi="Arial"/>
                <w:sz w:val="18"/>
                <w:szCs w:val="18"/>
                <w:i w:val="1"/>
                <w:iCs w:val="1"/>
                <w:color w:val="auto"/>
                <w:w w:val="97"/>
              </w:rPr>
              <w:t>(All amounts in thousands)</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62,868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64,839</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Royalty income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License fee</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63,456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65,237</w:t>
            </w:r>
          </w:p>
        </w:tc>
      </w:tr>
      <w:tr>
        <w:trPr>
          <w:trHeight w:val="324"/>
        </w:trPr>
        <w:tc>
          <w:tcPr>
            <w:tcW w:w="8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5,413</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56,070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59,824</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3,015</w:t>
            </w:r>
          </w:p>
        </w:tc>
      </w:tr>
      <w:tr>
        <w:trPr>
          <w:trHeight w:val="243"/>
        </w:trPr>
        <w:tc>
          <w:tcPr>
            <w:tcW w:w="87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6,457</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26,182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22,885</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36,314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32,357</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8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19,756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27,467</w:t>
            </w: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8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87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318"/>
        </w:trPr>
        <w:tc>
          <w:tcPr>
            <w:tcW w:w="87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19,820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27,481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7,452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10,069</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91"/>
        </w:trPr>
        <w:tc>
          <w:tcPr>
            <w:tcW w:w="8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1,900</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1,655</w:t>
            </w:r>
          </w:p>
        </w:tc>
      </w:tr>
      <w:tr>
        <w:trPr>
          <w:trHeight w:val="251"/>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15,757</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12,368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17,412</w:t>
            </w:r>
          </w:p>
        </w:tc>
      </w:tr>
      <w:tr>
        <w:trPr>
          <w:trHeight w:val="27"/>
        </w:trPr>
        <w:tc>
          <w:tcPr>
            <w:tcW w:w="8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12,368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r>
      <w:tr>
        <w:trPr>
          <w:trHeight w:val="20"/>
        </w:trPr>
        <w:tc>
          <w:tcPr>
            <w:tcW w:w="8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60" w:lineRule="exact"/>
        <w:rPr>
          <w:sz w:val="20"/>
          <w:szCs w:val="20"/>
          <w:color w:val="auto"/>
        </w:rPr>
      </w:pPr>
    </w:p>
    <w:p>
      <w:pPr>
        <w:ind w:left="1120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9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260" w:type="dxa"/>
            <w:vAlign w:val="bottom"/>
          </w:tcPr>
          <w:p>
            <w:pPr>
              <w:spacing w:after="0"/>
              <w:rPr>
                <w:sz w:val="15"/>
                <w:szCs w:val="15"/>
                <w:color w:val="auto"/>
              </w:rPr>
            </w:pP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30"/>
        </w:trPr>
        <w:tc>
          <w:tcPr>
            <w:tcW w:w="2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center"/>
              <w:ind w:right="100"/>
              <w:spacing w:after="0" w:line="131" w:lineRule="exact"/>
              <w:rPr>
                <w:sz w:val="20"/>
                <w:szCs w:val="20"/>
                <w:color w:val="auto"/>
              </w:rPr>
            </w:pPr>
            <w:r>
              <w:rPr>
                <w:rFonts w:ascii="Arial" w:cs="Arial" w:eastAsia="Arial" w:hAnsi="Arial"/>
                <w:sz w:val="13"/>
                <w:szCs w:val="13"/>
                <w:b w:val="1"/>
                <w:bCs w:val="1"/>
                <w:color w:val="auto"/>
                <w:w w:val="90"/>
              </w:rPr>
              <w:t>Accumulated Other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9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35"/>
        </w:trPr>
        <w:tc>
          <w:tcPr>
            <w:tcW w:w="2260" w:type="dxa"/>
            <w:vAlign w:val="bottom"/>
          </w:tcPr>
          <w:p>
            <w:pPr>
              <w:spacing w:after="0"/>
              <w:rPr>
                <w:sz w:val="11"/>
                <w:szCs w:val="11"/>
                <w:color w:val="auto"/>
              </w:rPr>
            </w:pPr>
          </w:p>
        </w:tc>
        <w:tc>
          <w:tcPr>
            <w:tcW w:w="9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$0.001 Par</w:t>
            </w:r>
          </w:p>
        </w:tc>
        <w:tc>
          <w:tcPr>
            <w:tcW w:w="116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Additional Paid-</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Notes Receivable</w:t>
            </w:r>
          </w:p>
        </w:tc>
        <w:tc>
          <w:tcPr>
            <w:tcW w:w="160" w:type="dxa"/>
            <w:vAlign w:val="bottom"/>
          </w:tcPr>
          <w:p>
            <w:pPr>
              <w:spacing w:after="0"/>
              <w:rPr>
                <w:sz w:val="11"/>
                <w:szCs w:val="11"/>
                <w:color w:val="auto"/>
              </w:rPr>
            </w:pPr>
          </w:p>
        </w:tc>
        <w:tc>
          <w:tcPr>
            <w:tcW w:w="11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Total</w:t>
            </w:r>
          </w:p>
        </w:tc>
      </w:tr>
      <w:tr>
        <w:trPr>
          <w:trHeight w:val="174"/>
        </w:trPr>
        <w:tc>
          <w:tcPr>
            <w:tcW w:w="2260" w:type="dxa"/>
            <w:vAlign w:val="bottom"/>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Value</w:t>
            </w:r>
          </w:p>
        </w:tc>
        <w:tc>
          <w:tcPr>
            <w:tcW w:w="16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In Capital</w:t>
            </w:r>
          </w:p>
        </w:tc>
        <w:tc>
          <w:tcPr>
            <w:tcW w:w="18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 Officer</w:t>
            </w:r>
          </w:p>
        </w:tc>
        <w:tc>
          <w:tcPr>
            <w:tcW w:w="16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5"/>
                <w:szCs w:val="15"/>
                <w:color w:val="auto"/>
              </w:rPr>
            </w:pPr>
          </w:p>
        </w:tc>
        <w:tc>
          <w:tcPr>
            <w:tcW w:w="540" w:type="dxa"/>
            <w:vAlign w:val="bottom"/>
          </w:tcPr>
          <w:p>
            <w:pPr>
              <w:jc w:val="right"/>
              <w:ind w:right="97"/>
              <w:spacing w:after="0"/>
              <w:rPr>
                <w:sz w:val="20"/>
                <w:szCs w:val="20"/>
                <w:color w:val="auto"/>
              </w:rPr>
            </w:pPr>
            <w:r>
              <w:rPr>
                <w:rFonts w:ascii="Arial" w:cs="Arial" w:eastAsia="Arial" w:hAnsi="Arial"/>
                <w:sz w:val="13"/>
                <w:szCs w:val="13"/>
                <w:b w:val="1"/>
                <w:bCs w:val="1"/>
                <w:color w:val="auto"/>
                <w:w w:val="90"/>
              </w:rPr>
              <w:t>Equity</w:t>
            </w:r>
          </w:p>
        </w:tc>
      </w:tr>
      <w:tr>
        <w:trPr>
          <w:trHeight w:val="324"/>
        </w:trPr>
        <w:tc>
          <w:tcPr>
            <w:tcW w:w="22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2013</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7,473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13,633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18,157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3,339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21,496</w:t>
            </w:r>
          </w:p>
        </w:tc>
      </w:tr>
      <w:tr>
        <w:trPr>
          <w:trHeight w:val="262"/>
        </w:trPr>
        <w:tc>
          <w:tcPr>
            <w:tcW w:w="226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15,757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15,757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1,655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17,412</w:t>
            </w:r>
          </w:p>
        </w:tc>
      </w:tr>
      <w:tr>
        <w:trPr>
          <w:trHeight w:val="278"/>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156</w:t>
            </w:r>
          </w:p>
        </w:tc>
      </w:tr>
      <w:tr>
        <w:trPr>
          <w:trHeight w:val="264"/>
        </w:trPr>
        <w:tc>
          <w:tcPr>
            <w:tcW w:w="2260" w:type="dxa"/>
            <w:vAlign w:val="bottom"/>
          </w:tcPr>
          <w:p>
            <w:pPr>
              <w:ind w:left="20"/>
              <w:spacing w:after="0"/>
              <w:rPr>
                <w:sz w:val="20"/>
                <w:szCs w:val="20"/>
                <w:color w:val="auto"/>
              </w:rPr>
            </w:pPr>
            <w:r>
              <w:rPr>
                <w:rFonts w:ascii="Arial" w:cs="Arial" w:eastAsia="Arial" w:hAnsi="Arial"/>
                <w:sz w:val="13"/>
                <w:szCs w:val="13"/>
                <w:color w:val="auto"/>
                <w:w w:val="98"/>
              </w:rPr>
              <w:t>Repurchase and cancellation of shares</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(243)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(243)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(251)</w:t>
            </w:r>
          </w:p>
        </w:tc>
      </w:tr>
      <w:tr>
        <w:trPr>
          <w:trHeight w:val="270"/>
        </w:trPr>
        <w:tc>
          <w:tcPr>
            <w:tcW w:w="2260" w:type="dxa"/>
            <w:vAlign w:val="bottom"/>
            <w:tcBorders>
              <w:top w:val="single" w:sz="8" w:color="CCEEFF"/>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r>
      <w:tr>
        <w:trPr>
          <w:trHeight w:val="262"/>
        </w:trPr>
        <w:tc>
          <w:tcPr>
            <w:tcW w:w="2260" w:type="dxa"/>
            <w:vAlign w:val="bottom"/>
          </w:tcPr>
          <w:p>
            <w:pPr>
              <w:ind w:left="20"/>
              <w:spacing w:after="0"/>
              <w:rPr>
                <w:sz w:val="20"/>
                <w:szCs w:val="20"/>
                <w:color w:val="auto"/>
              </w:rPr>
            </w:pPr>
            <w:r>
              <w:rPr>
                <w:rFonts w:ascii="Arial" w:cs="Arial" w:eastAsia="Arial" w:hAnsi="Arial"/>
                <w:sz w:val="13"/>
                <w:szCs w:val="13"/>
                <w:color w:val="auto"/>
              </w:rPr>
              <w:t>Balance at December 31, 2013</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7,453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13,776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(2,862)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22,893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33,814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4,999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38,813</w:t>
            </w:r>
          </w:p>
        </w:tc>
      </w:tr>
      <w:tr>
        <w:trPr>
          <w:trHeight w:val="278"/>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10,468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12,368</w:t>
            </w:r>
          </w:p>
        </w:tc>
      </w:tr>
      <w:tr>
        <w:trPr>
          <w:trHeight w:val="148"/>
        </w:trPr>
        <w:tc>
          <w:tcPr>
            <w:tcW w:w="2260" w:type="dxa"/>
            <w:vAlign w:val="bottom"/>
          </w:tcPr>
          <w:p>
            <w:pPr>
              <w:ind w:left="20"/>
              <w:spacing w:after="0" w:line="148" w:lineRule="exact"/>
              <w:rPr>
                <w:sz w:val="20"/>
                <w:szCs w:val="20"/>
                <w:color w:val="auto"/>
              </w:rPr>
            </w:pPr>
            <w:r>
              <w:rPr>
                <w:rFonts w:ascii="Arial" w:cs="Arial" w:eastAsia="Arial" w:hAnsi="Arial"/>
                <w:sz w:val="13"/>
                <w:szCs w:val="13"/>
                <w:color w:val="auto"/>
                <w:w w:val="90"/>
              </w:rPr>
              <w:t>Exercise of stock options, including excess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260" w:type="dxa"/>
            <w:vAlign w:val="bottom"/>
          </w:tcPr>
          <w:p>
            <w:pPr>
              <w:ind w:left="20"/>
              <w:spacing w:after="0"/>
              <w:rPr>
                <w:sz w:val="20"/>
                <w:szCs w:val="20"/>
                <w:color w:val="auto"/>
              </w:rPr>
            </w:pPr>
            <w:r>
              <w:rPr>
                <w:rFonts w:ascii="Arial" w:cs="Arial" w:eastAsia="Arial" w:hAnsi="Arial"/>
                <w:sz w:val="13"/>
                <w:szCs w:val="13"/>
                <w:color w:val="auto"/>
              </w:rPr>
              <w:t>tax benefit and deductions of $60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202</w:t>
            </w:r>
          </w:p>
        </w:tc>
      </w:tr>
      <w:tr>
        <w:trPr>
          <w:trHeight w:val="278"/>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Declaration of dividends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(19,972)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0"/>
              </w:rPr>
              <w:t>(19,972)</w:t>
            </w:r>
          </w:p>
        </w:tc>
      </w:tr>
      <w:tr>
        <w:trPr>
          <w:trHeight w:val="262"/>
        </w:trPr>
        <w:tc>
          <w:tcPr>
            <w:tcW w:w="226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180" w:type="dxa"/>
            <w:vAlign w:val="bottom"/>
            <w:gridSpan w:val="2"/>
          </w:tcPr>
          <w:p>
            <w:pPr>
              <w:ind w:left="8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165</w:t>
            </w:r>
          </w:p>
        </w:tc>
      </w:tr>
      <w:tr>
        <w:trPr>
          <w:trHeight w:val="272"/>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8"/>
              </w:rPr>
              <w:t>Repurchase and cancellation of shares</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(378)</w:t>
            </w:r>
          </w:p>
        </w:tc>
      </w:tr>
      <w:tr>
        <w:trPr>
          <w:trHeight w:val="270"/>
        </w:trPr>
        <w:tc>
          <w:tcPr>
            <w:tcW w:w="2260" w:type="dxa"/>
            <w:vAlign w:val="bottom"/>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8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r>
      <w:tr>
        <w:trPr>
          <w:trHeight w:val="255"/>
        </w:trPr>
        <w:tc>
          <w:tcPr>
            <w:tcW w:w="2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2014</w:t>
            </w: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7,455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14,131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(2,862)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13,028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24,304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6,894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31,198</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Consolidated Statements of Cash Flows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5"/>
              </w:rPr>
              <w:t>Year Ended December 31,</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7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right"/>
              <w:ind w:right="310"/>
              <w:spacing w:after="0"/>
              <w:rPr>
                <w:sz w:val="20"/>
                <w:szCs w:val="20"/>
                <w:color w:val="auto"/>
              </w:rPr>
            </w:pPr>
            <w:r>
              <w:rPr>
                <w:rFonts w:ascii="Arial" w:cs="Arial" w:eastAsia="Arial" w:hAnsi="Arial"/>
                <w:sz w:val="18"/>
                <w:szCs w:val="18"/>
                <w:i w:val="1"/>
                <w:iCs w:val="1"/>
                <w:color w:val="auto"/>
                <w:w w:val="98"/>
              </w:rPr>
              <w:t>(All amounts in thousands)</w:t>
            </w:r>
          </w:p>
        </w:tc>
      </w:tr>
      <w:tr>
        <w:trPr>
          <w:trHeight w:val="270"/>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17,412</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Stock-based compensation expense for equity awards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 and deductions from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Deferred rent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Trade Accounts receivable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(1,815)</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r>
      <w:tr>
        <w:trPr>
          <w:trHeight w:val="243"/>
        </w:trPr>
        <w:tc>
          <w:tcPr>
            <w:tcW w:w="7900" w:type="dxa"/>
            <w:vAlign w:val="bottom"/>
          </w:tcPr>
          <w:p>
            <w:pPr>
              <w:ind w:left="46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Deferred license fees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16,115</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 of dividends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Repurchase and retirement of shares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received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Excess tax benefit and deductions from stock-based compensation</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Repayments made on term note payable</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(20,137)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(5,751)</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(11,267)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9,911</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12,758</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22,669</w:t>
            </w:r>
          </w:p>
        </w:tc>
      </w:tr>
      <w:tr>
        <w:trPr>
          <w:trHeight w:val="67"/>
        </w:trPr>
        <w:tc>
          <w:tcPr>
            <w:tcW w:w="79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78"/>
        </w:trPr>
        <w:tc>
          <w:tcPr>
            <w:tcW w:w="7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6783705"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3705" cy="188595"/>
                    </a:xfrm>
                    <a:prstGeom prst="rect">
                      <a:avLst/>
                    </a:prstGeom>
                    <a:noFill/>
                  </pic:spPr>
                </pic:pic>
              </a:graphicData>
            </a:graphic>
          </wp:anchor>
        </w:drawing>
      </w:r>
    </w:p>
    <w:p>
      <w:pPr>
        <w:spacing w:after="0" w:line="333" w:lineRule="exact"/>
        <w:rPr>
          <w:sz w:val="20"/>
          <w:szCs w:val="20"/>
          <w:color w:val="auto"/>
        </w:rPr>
      </w:pPr>
    </w:p>
    <w:p>
      <w:pPr>
        <w:ind w:left="1048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680"/>
          </w:cols>
          <w:pgMar w:left="620" w:top="591" w:right="599" w:bottom="1440" w:gutter="0" w:footer="0" w:header="0"/>
        </w:sectPr>
      </w:pPr>
    </w:p>
    <w:bookmarkStart w:id="61" w:name="page62"/>
    <w:bookmarkEnd w:id="61"/>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Operations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TEI Biosciences Inc. (the Company) is a biomedical company developing, manufacturing, marketing, and selling biologic devices for the repair, reinforcement, or reconstruction of human tissues that have failed due to aging, injury or disease. TEI Medical Inc. (TEI Medical) is a biomedical company developing, marketing, and selling biologic devices for the repair, reinforcement, or reconstruction of human tissues that have failed due to aging, injury or disease.</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has developed a family of collagen-based soft tissue repair products that have been cleared by the United States Food and Drug Administration for use in a broad spectrum of tissue repair applications. The Company’s principal sales and marketing partners include Medtronic Neurosurgery for Durepair® and Boston Scientific for Xenform®. The Company also sells SurgiMend® in the U.S. through its sales force and in certain foreign countries through a network of independent agents. TEI Medical’s principal sales and marketing partners include Stryker Orthopaedics (Stryker) for TissueMend®. TEI Medical also sells PriMatrix® in the U.S. through its sales force and in certain foreign countries through a network of independent agents.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 and Variable-Interest Entity (VIE)</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The consolidated financial statements include the accounts of TEI Biosciences Inc. and its 100% wholly owned subsidiary, TEI Biosciences (UK) Limited. All significant intercompany accounts and transactions have been eliminated.</w:t>
      </w:r>
    </w:p>
    <w:p>
      <w:pPr>
        <w:spacing w:after="0" w:line="19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The consolidated financial statements also include the accounts of TEI Medical Inc. (TEI Medical), which was established in a spin-off transaction in 2011 (see Note 3), and has been determined to be a VIE to which the Company is the primary beneficiary. TEI Medical is under largely the same common ownership as the Company, and, as further discussed in Note 3, the operations of TEI Medical in 2014 and 2013 were fully dependent on the product distribution, which was amended in January 2014, license agreement, manufacturing and supply, and operational services agreements established with the Company. All significant transactions between the Company and TEI Medical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489" w:lineRule="auto"/>
        <w:tabs>
          <w:tab w:leader="none" w:pos="216"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Use of Estimates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preparation of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Equivalents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considers all highly liquid investments with an original maturity of three months or less at the date of purchase to be cash equivalents. Cash equivalents consist of money market funds totaling $3,545 and $9,572 at December 31, 2014 and 2013, respectively.</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Investments with maturities in excess of three months but less than one year are either classified as held-to-maturity securities or available for sale. Management determines the appropriate classification of debt securities at the time of purchase, and reevaluates such designation as of each balance sheet date. Debt securities are classified as held to maturity when the Company has the positive intent and ability to hold the securities to maturity. Held-to-maturity securities are stated at amortized cost, adjusted for amortization of premiums and accretion of discounts to maturity computed under the effective-interest method. Such amortization is included in interest income. Interest on securities classified as held to maturity is included in interest income.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Trade Accounts Receivable and Allowance for Doubtful Accounts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carries its receivables at invoiced amounts less an allowance for doubtful accounts. The Company provides for an allowance for doubtful accounts based on management’s periodic review for recoverability of accounts receivable of its customers, as well as history of past write-offs, collections and current credit conditions.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policy is not to accrue interest on past-due trade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489" w:lineRule="auto"/>
        <w:tabs>
          <w:tab w:leader="none" w:pos="216"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Inventories</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Inventories are stated at the lower of cost or market value, with cost being determined on a first-in, first-out basis. Inventories consist of raw material, work in process, and finished goods. Raw material includes unprocessed raw animal skins on hand, chemicals used for processing raw animal skins, and miscellaneous purchased components. Work in process includes: (a) processed animal skins before and after lyophilization, but before cutting; (b) lyophilized material cut and ready for sterilization; and (c) sterilized material, but before final packaging. Finished goods represent packaged product available to be shipped to fulfill customer orders. At each balance sheet date, the Company assesses the need to record a provision for excess and obsolete inventory based on the evaluation of inventories for excess quantities, obsolescence or shelf-life expiration. This evaluation includes analyses of historical sales levels by product, projections of future demand, new product launches, the risk of technological or competitive obsolescence for products, general market conditions, and a review of the shelf-life expiration dates for products, as well as the feasibility of reworking or using excess or obsolete products or components in the production or assembly of other products that are not obsolete, or for which there are not excess quantities in inventory. Any such provisions are recorded as cost of sales.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Property and equipment are recorded at cost and depreciated over the estimated useful life of the asset using the straight-line method. Details of the components of property and equipment are as follows at December 31: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8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Furniture and laboratory equipment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2,421</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778</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lease obligations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8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5,469</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r>
      <w:tr>
        <w:trPr>
          <w:trHeight w:val="237"/>
        </w:trPr>
        <w:tc>
          <w:tcPr>
            <w:tcW w:w="84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1,052</w:t>
            </w: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489" w:lineRule="auto"/>
        <w:tabs>
          <w:tab w:leader="none" w:pos="21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Property and Equipment (continued)</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estimated useful life of various assets is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1780"/>
              <w:spacing w:after="0"/>
              <w:rPr>
                <w:sz w:val="20"/>
                <w:szCs w:val="20"/>
                <w:color w:val="auto"/>
              </w:rPr>
            </w:pPr>
            <w:r>
              <w:rPr>
                <w:rFonts w:ascii="Arial" w:cs="Arial" w:eastAsia="Arial" w:hAnsi="Arial"/>
                <w:sz w:val="18"/>
                <w:szCs w:val="18"/>
                <w:b w:val="1"/>
                <w:bCs w:val="1"/>
                <w:color w:val="auto"/>
              </w:rPr>
              <w:t>Asset Classification</w:t>
            </w:r>
          </w:p>
        </w:tc>
        <w:tc>
          <w:tcPr>
            <w:tcW w:w="502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 Useful Life</w:t>
            </w:r>
          </w:p>
        </w:tc>
      </w:tr>
      <w:tr>
        <w:trPr>
          <w:trHeight w:val="27"/>
        </w:trPr>
        <w:tc>
          <w:tcPr>
            <w:tcW w:w="50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77"/>
        </w:trPr>
        <w:tc>
          <w:tcPr>
            <w:tcW w:w="5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Shorter of remaining life of lease or useful life</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Furniture and laboratory equipment</w:t>
            </w:r>
          </w:p>
        </w:tc>
        <w:tc>
          <w:tcPr>
            <w:tcW w:w="50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7"/>
        </w:trPr>
        <w:tc>
          <w:tcPr>
            <w:tcW w:w="50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02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5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Motor vehicles</w:t>
            </w:r>
          </w:p>
        </w:tc>
        <w:tc>
          <w:tcPr>
            <w:tcW w:w="5020" w:type="dxa"/>
            <w:vAlign w:val="bottom"/>
          </w:tcPr>
          <w:p>
            <w:pPr>
              <w:jc w:val="center"/>
              <w:spacing w:after="0"/>
              <w:rPr>
                <w:sz w:val="20"/>
                <w:szCs w:val="20"/>
                <w:color w:val="auto"/>
              </w:rPr>
            </w:pPr>
            <w:r>
              <w:rPr>
                <w:rFonts w:ascii="Arial" w:cs="Arial" w:eastAsia="Arial" w:hAnsi="Arial"/>
                <w:sz w:val="18"/>
                <w:szCs w:val="18"/>
                <w:color w:val="auto"/>
                <w:w w:val="88"/>
              </w:rPr>
              <w:t>4 years</w:t>
            </w:r>
          </w:p>
        </w:tc>
      </w:tr>
    </w:tbl>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Repairs and maintenance costs are charged to expense as incurred.</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 Recognition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License fees, where the Company has an ongoing involvement or performance obligation, are generally recorded as deferred revenue in the consolidated balance sheet and amortized into license fee revenue in the consolidated income statement over the term of the performance obligation. The Company also recognizes revenues from royalties, which are recognized as earned on an accrual basis.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recognizes revenue from product sales to its marketing partners and sales directly to end customers upon shipment, provided that there is evidence of a final arrangement, passage of title and risk of loss, there are no uncertainties surrounding acceptance, collectability is probable, and the price is fixed or determinable. The Company recognizes revenue from product sales through its sales force and independent agents upon delivery to the end customer provided that there is evidence of a final arrangement, passage of title and risk of loss, there are no uncertainties surrounding acceptance, collectability is probable, and the price is fixed or determinable. Amounts billed to customers for shipping and handling are included in revenue at the time the related product revenue is recognized. Shipping and handling costs included in sales and marketing expenses amounted to $309 in 2014 and $293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9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567" w:lineRule="auto"/>
        <w:tabs>
          <w:tab w:leader="none" w:pos="21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Concentrations of Credit Risk and Significant Customers</w:t>
      </w:r>
    </w:p>
    <w:p>
      <w:pPr>
        <w:jc w:val="both"/>
        <w:spacing w:after="0" w:line="253" w:lineRule="auto"/>
        <w:rPr>
          <w:sz w:val="20"/>
          <w:szCs w:val="20"/>
          <w:color w:val="auto"/>
        </w:rPr>
      </w:pPr>
      <w:r>
        <w:rPr>
          <w:rFonts w:ascii="Arial" w:cs="Arial" w:eastAsia="Arial" w:hAnsi="Arial"/>
          <w:sz w:val="22"/>
          <w:szCs w:val="22"/>
          <w:color w:val="auto"/>
        </w:rPr>
        <w:t>The Company has no financial instruments with off-balance sheet risk. The Company invests its cash and cash equivalents in financial institutions that federally insure up to $250 of deposits. At December 31, 2014, such amounts were in excess of FDIC limits by approximately $10,996.</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Seven customers represented 33% of the total trade accounts receivable and 32% of total product revenues in 2014. Seven customers represented 22% of the total trade accounts receivable and 36% of total product revenues in 2013.</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Reclassifications</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consolidated statement of cash flows for 2013 includes a reclassification between accounts payable of ($200) and accrued expenses of $262. These amounts were previously reported as one line on the consolidated statement of cash flows as $62. These amounts were reclassified to conform to the current year’s presentation, with no impact on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and Transactions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financial statements of the Company’s United Kingdom subsidiary, TEI Biosciences (UK) Limited, are measured using the Great Britain Pound (GBP) as the functional currency. Assets and liabilities of this subsidiary are translated at the rate of exchange in effect at the balance sheet date. Income and expense items are translated at the average daily rate of exchange during the reporting period. Resulting gains or losses are recognized as a component of other comprehensive income (loss), but have not been material to date.</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Transactions denominated in currencies other than the local currency are recorded based on exchange rates at the time such transactions arise. Subsequent changes in exchange rates result in transaction gains and losses, which are reflected in income as unrealized (based on period-end translations) or realized upon settlement of the transaction. Transaction gains or losses were not material for the years ended December 31,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80" w:firstLine="8"/>
        <w:spacing w:after="0" w:line="489" w:lineRule="auto"/>
        <w:tabs>
          <w:tab w:leader="none" w:pos="21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Polices (continued) Fair Value of Financial Instruments</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Accounting Standards Codification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establishes the following fair value hierarchy for the use of observable inputs and unobservable inputs in valuing assets and liabilities:</w:t>
      </w:r>
    </w:p>
    <w:p>
      <w:pPr>
        <w:spacing w:after="0" w:line="215"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i w:val="1"/>
          <w:iCs w:val="1"/>
          <w:color w:val="auto"/>
        </w:rPr>
        <w:t>Level 1</w:t>
      </w:r>
      <w:r>
        <w:rPr>
          <w:rFonts w:ascii="Arial" w:cs="Arial" w:eastAsia="Arial" w:hAnsi="Arial"/>
          <w:sz w:val="22"/>
          <w:szCs w:val="22"/>
          <w:color w:val="auto"/>
        </w:rPr>
        <w:t>: Quoted prices in active markets for identical assets or liabilities. An active market for an asset or liability is a</w:t>
      </w:r>
      <w:r>
        <w:rPr>
          <w:rFonts w:ascii="Arial" w:cs="Arial" w:eastAsia="Arial" w:hAnsi="Arial"/>
          <w:sz w:val="22"/>
          <w:szCs w:val="22"/>
          <w:i w:val="1"/>
          <w:iCs w:val="1"/>
          <w:color w:val="auto"/>
        </w:rPr>
        <w:t xml:space="preserve"> </w:t>
      </w:r>
      <w:r>
        <w:rPr>
          <w:rFonts w:ascii="Arial" w:cs="Arial" w:eastAsia="Arial" w:hAnsi="Arial"/>
          <w:sz w:val="22"/>
          <w:szCs w:val="22"/>
          <w:color w:val="auto"/>
        </w:rPr>
        <w:t>market in which transactions for the asset or liability occur with sufficient frequency and volume to provide pricing information on an ongoing basis.</w:t>
      </w:r>
    </w:p>
    <w:p>
      <w:pPr>
        <w:spacing w:after="0" w:line="226" w:lineRule="exact"/>
        <w:rPr>
          <w:sz w:val="20"/>
          <w:szCs w:val="20"/>
          <w:color w:val="auto"/>
        </w:rPr>
      </w:pPr>
    </w:p>
    <w:p>
      <w:pPr>
        <w:jc w:val="both"/>
        <w:ind w:left="660"/>
        <w:spacing w:after="0" w:line="343" w:lineRule="auto"/>
        <w:rPr>
          <w:sz w:val="20"/>
          <w:szCs w:val="20"/>
          <w:color w:val="auto"/>
        </w:rPr>
      </w:pPr>
      <w:r>
        <w:rPr>
          <w:rFonts w:ascii="Arial" w:cs="Arial" w:eastAsia="Arial" w:hAnsi="Arial"/>
          <w:sz w:val="19"/>
          <w:szCs w:val="19"/>
          <w:i w:val="1"/>
          <w:iCs w:val="1"/>
          <w:color w:val="auto"/>
        </w:rPr>
        <w:t>Level 2</w:t>
      </w:r>
      <w:r>
        <w:rPr>
          <w:rFonts w:ascii="Arial" w:cs="Arial" w:eastAsia="Arial" w:hAnsi="Arial"/>
          <w:sz w:val="19"/>
          <w:szCs w:val="19"/>
          <w:color w:val="auto"/>
        </w:rPr>
        <w:t>: Observable inputs other than Level 1 inputs. Examples of Level 2 inputs include quoted prices in active markets for</w:t>
      </w:r>
      <w:r>
        <w:rPr>
          <w:rFonts w:ascii="Arial" w:cs="Arial" w:eastAsia="Arial" w:hAnsi="Arial"/>
          <w:sz w:val="19"/>
          <w:szCs w:val="19"/>
          <w:i w:val="1"/>
          <w:iCs w:val="1"/>
          <w:color w:val="auto"/>
        </w:rPr>
        <w:t xml:space="preserve"> </w:t>
      </w:r>
      <w:r>
        <w:rPr>
          <w:rFonts w:ascii="Arial" w:cs="Arial" w:eastAsia="Arial" w:hAnsi="Arial"/>
          <w:sz w:val="19"/>
          <w:szCs w:val="19"/>
          <w:color w:val="auto"/>
        </w:rPr>
        <w:t>similar assets or liabilities and quoted prices for identical assets or liabilities in markets that are not active.</w:t>
      </w:r>
    </w:p>
    <w:p>
      <w:pPr>
        <w:spacing w:after="0" w:line="145"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i w:val="1"/>
          <w:iCs w:val="1"/>
          <w:color w:val="auto"/>
        </w:rPr>
        <w:t>Level 3</w:t>
      </w:r>
      <w:r>
        <w:rPr>
          <w:rFonts w:ascii="Arial" w:cs="Arial" w:eastAsia="Arial" w:hAnsi="Arial"/>
          <w:sz w:val="22"/>
          <w:szCs w:val="22"/>
          <w:color w:val="auto"/>
        </w:rPr>
        <w:t>: Unobservable inputs based on the Company’s assessment of the assumptions that market participants would use in</w:t>
      </w:r>
      <w:r>
        <w:rPr>
          <w:rFonts w:ascii="Arial" w:cs="Arial" w:eastAsia="Arial" w:hAnsi="Arial"/>
          <w:sz w:val="22"/>
          <w:szCs w:val="22"/>
          <w:i w:val="1"/>
          <w:iCs w:val="1"/>
          <w:color w:val="auto"/>
        </w:rPr>
        <w:t xml:space="preserve"> </w:t>
      </w:r>
      <w:r>
        <w:rPr>
          <w:rFonts w:ascii="Arial" w:cs="Arial" w:eastAsia="Arial" w:hAnsi="Arial"/>
          <w:sz w:val="22"/>
          <w:szCs w:val="22"/>
          <w:color w:val="auto"/>
        </w:rPr>
        <w:t>pricing the asset or liability.</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Company’s investment strategy is focused on capital preservation. The Company invests in instruments that meet credit quality standards as outlined in the Company’s investment policy guidelines. These guidelines also limit the amount of credit exposure to any one issue or type of instrument. Currently, the company’s investments are limited to money market accounts.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As of December 31, 2014 and 2013, all of the Company’s financial assets that were subject to fair value measurements were valued using observable inputs, and the Company had no financial liabilities that were subject to fair value measurement. The Company’s financial assets, valued based on Level 2 inputs, consisted of money market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80" w:firstLine="8"/>
        <w:spacing w:after="0" w:line="631" w:lineRule="auto"/>
        <w:tabs>
          <w:tab w:leader="none" w:pos="216"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Polices (continued) Fair Value of Financial Instruments (continued)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60" w:type="dxa"/>
            <w:vAlign w:val="bottom"/>
            <w:gridSpan w:val="7"/>
          </w:tcPr>
          <w:p>
            <w:pPr>
              <w:ind w:left="440"/>
              <w:spacing w:after="0"/>
              <w:rPr>
                <w:sz w:val="20"/>
                <w:szCs w:val="20"/>
                <w:color w:val="auto"/>
              </w:rPr>
            </w:pPr>
            <w:r>
              <w:rPr>
                <w:rFonts w:ascii="Arial" w:cs="Arial" w:eastAsia="Arial" w:hAnsi="Arial"/>
                <w:sz w:val="18"/>
                <w:szCs w:val="18"/>
                <w:b w:val="1"/>
                <w:bCs w:val="1"/>
                <w:color w:val="auto"/>
              </w:rPr>
              <w:t>Fair Value Measurements at Reporting Date Using</w:t>
            </w:r>
          </w:p>
        </w:tc>
      </w:tr>
      <w:tr>
        <w:trPr>
          <w:trHeight w:val="27"/>
        </w:trPr>
        <w:tc>
          <w:tcPr>
            <w:tcW w:w="1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1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r>
      <w:tr>
        <w:trPr>
          <w:trHeight w:val="270"/>
        </w:trPr>
        <w:tc>
          <w:tcPr>
            <w:tcW w:w="1380" w:type="dxa"/>
            <w:vAlign w:val="bottom"/>
          </w:tcPr>
          <w:p>
            <w:pPr>
              <w:spacing w:after="0"/>
              <w:rPr>
                <w:sz w:val="23"/>
                <w:szCs w:val="23"/>
                <w:color w:val="auto"/>
              </w:rPr>
            </w:pPr>
          </w:p>
        </w:tc>
        <w:tc>
          <w:tcPr>
            <w:tcW w:w="3160" w:type="dxa"/>
            <w:vAlign w:val="bottom"/>
            <w:gridSpan w:val="3"/>
          </w:tcPr>
          <w:p>
            <w:pPr>
              <w:jc w:val="right"/>
              <w:ind w:right="1890"/>
              <w:spacing w:after="0"/>
              <w:rPr>
                <w:sz w:val="20"/>
                <w:szCs w:val="20"/>
                <w:color w:val="auto"/>
              </w:rPr>
            </w:pPr>
            <w:r>
              <w:rPr>
                <w:rFonts w:ascii="Arial" w:cs="Arial" w:eastAsia="Arial" w:hAnsi="Arial"/>
                <w:sz w:val="18"/>
                <w:szCs w:val="18"/>
                <w:b w:val="1"/>
                <w:bCs w:val="1"/>
                <w:color w:val="auto"/>
              </w:rPr>
              <w:t>Description</w:t>
            </w: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23"/>
                <w:szCs w:val="23"/>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3"/>
                <w:szCs w:val="23"/>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3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1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98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Pr>
          <w:p>
            <w:pPr>
              <w:spacing w:after="0"/>
              <w:rPr>
                <w:sz w:val="20"/>
                <w:szCs w:val="20"/>
                <w:color w:val="auto"/>
              </w:rPr>
            </w:pPr>
          </w:p>
        </w:tc>
        <w:tc>
          <w:tcPr>
            <w:tcW w:w="29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791"/>
        </w:trPr>
        <w:tc>
          <w:tcPr>
            <w:tcW w:w="13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7"/>
          </w:tcPr>
          <w:p>
            <w:pPr>
              <w:ind w:left="440"/>
              <w:spacing w:after="0"/>
              <w:rPr>
                <w:sz w:val="20"/>
                <w:szCs w:val="20"/>
                <w:color w:val="auto"/>
              </w:rPr>
            </w:pPr>
            <w:r>
              <w:rPr>
                <w:rFonts w:ascii="Arial" w:cs="Arial" w:eastAsia="Arial" w:hAnsi="Arial"/>
                <w:sz w:val="18"/>
                <w:szCs w:val="18"/>
                <w:b w:val="1"/>
                <w:bCs w:val="1"/>
                <w:color w:val="auto"/>
              </w:rPr>
              <w:t>Fair Value Measurements at Reporting Date Using</w:t>
            </w:r>
          </w:p>
        </w:tc>
      </w:tr>
      <w:tr>
        <w:trPr>
          <w:trHeight w:val="27"/>
        </w:trPr>
        <w:tc>
          <w:tcPr>
            <w:tcW w:w="1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200" w:type="dxa"/>
            <w:vAlign w:val="bottom"/>
          </w:tcPr>
          <w:p>
            <w:pPr>
              <w:spacing w:after="0"/>
              <w:rPr>
                <w:sz w:val="18"/>
                <w:szCs w:val="18"/>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3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Active Markets for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Observable</w:t>
            </w:r>
          </w:p>
        </w:tc>
        <w:tc>
          <w:tcPr>
            <w:tcW w:w="20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13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Inputs</w:t>
            </w:r>
          </w:p>
        </w:tc>
        <w:tc>
          <w:tcPr>
            <w:tcW w:w="20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Inputs</w:t>
            </w:r>
          </w:p>
        </w:tc>
      </w:tr>
      <w:tr>
        <w:trPr>
          <w:trHeight w:val="270"/>
        </w:trPr>
        <w:tc>
          <w:tcPr>
            <w:tcW w:w="1380" w:type="dxa"/>
            <w:vAlign w:val="bottom"/>
          </w:tcPr>
          <w:p>
            <w:pPr>
              <w:spacing w:after="0"/>
              <w:rPr>
                <w:sz w:val="23"/>
                <w:szCs w:val="23"/>
                <w:color w:val="auto"/>
              </w:rPr>
            </w:pPr>
          </w:p>
        </w:tc>
        <w:tc>
          <w:tcPr>
            <w:tcW w:w="3160" w:type="dxa"/>
            <w:vAlign w:val="bottom"/>
            <w:gridSpan w:val="3"/>
          </w:tcPr>
          <w:p>
            <w:pPr>
              <w:jc w:val="right"/>
              <w:ind w:right="1890"/>
              <w:spacing w:after="0"/>
              <w:rPr>
                <w:sz w:val="20"/>
                <w:szCs w:val="20"/>
                <w:color w:val="auto"/>
              </w:rPr>
            </w:pPr>
            <w:r>
              <w:rPr>
                <w:rFonts w:ascii="Arial" w:cs="Arial" w:eastAsia="Arial" w:hAnsi="Arial"/>
                <w:sz w:val="18"/>
                <w:szCs w:val="18"/>
                <w:b w:val="1"/>
                <w:bCs w:val="1"/>
                <w:color w:val="auto"/>
              </w:rPr>
              <w:t>Description</w:t>
            </w:r>
          </w:p>
        </w:tc>
        <w:tc>
          <w:tcPr>
            <w:tcW w:w="19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23"/>
                <w:szCs w:val="23"/>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220" w:type="dxa"/>
            <w:vAlign w:val="bottom"/>
          </w:tcPr>
          <w:p>
            <w:pPr>
              <w:spacing w:after="0"/>
              <w:rPr>
                <w:sz w:val="23"/>
                <w:szCs w:val="23"/>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2)</w:t>
            </w:r>
          </w:p>
        </w:tc>
        <w:tc>
          <w:tcPr>
            <w:tcW w:w="200" w:type="dxa"/>
            <w:vAlign w:val="bottom"/>
          </w:tcPr>
          <w:p>
            <w:pPr>
              <w:spacing w:after="0"/>
              <w:rPr>
                <w:sz w:val="23"/>
                <w:szCs w:val="23"/>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380" w:type="dxa"/>
            <w:vAlign w:val="bottom"/>
          </w:tcPr>
          <w:p>
            <w:pPr>
              <w:spacing w:after="0"/>
              <w:rPr>
                <w:sz w:val="2"/>
                <w:szCs w:val="2"/>
                <w:color w:val="auto"/>
              </w:rPr>
            </w:pPr>
          </w:p>
        </w:tc>
        <w:tc>
          <w:tcPr>
            <w:tcW w:w="3160" w:type="dxa"/>
            <w:vAlign w:val="bottom"/>
            <w:gridSpan w:val="3"/>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980" w:type="dxa"/>
            <w:vAlign w:val="bottom"/>
            <w:tcBorders>
              <w:bottom w:val="single" w:sz="8" w:color="CCEEFF"/>
            </w:tcBorders>
            <w:gridSpan w:val="2"/>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37"/>
        </w:trPr>
        <w:tc>
          <w:tcPr>
            <w:tcW w:w="1380" w:type="dxa"/>
            <w:vAlign w:val="bottom"/>
          </w:tcPr>
          <w:p>
            <w:pPr>
              <w:spacing w:after="0"/>
              <w:rPr>
                <w:sz w:val="20"/>
                <w:szCs w:val="20"/>
                <w:color w:val="auto"/>
              </w:rPr>
            </w:pPr>
          </w:p>
        </w:tc>
        <w:tc>
          <w:tcPr>
            <w:tcW w:w="2980" w:type="dxa"/>
            <w:vAlign w:val="bottom"/>
            <w:gridSpan w:val="2"/>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9,572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r>
      <w:tr>
        <w:trPr>
          <w:trHeight w:val="27"/>
        </w:trPr>
        <w:tc>
          <w:tcPr>
            <w:tcW w:w="13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1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489" w:lineRule="auto"/>
        <w:tabs>
          <w:tab w:leader="none" w:pos="216"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Research and Development Expenses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Company expenses research and development costs as incurred.</w:t>
      </w:r>
    </w:p>
    <w:p>
      <w:pPr>
        <w:spacing w:after="0" w:line="26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Research and development costs primarily comprise salaries and fringe benefits, professional fees (excluding legal expenses), pre-clinical studies, testing costs, supplies and facilities costs.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Impairment of Long-Lived Assets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reviews its long-lived assets, which represent property, plant and equipment, for impairment whenever events or changes in circumstances indicate that the carrying amount of an asset may not be recoverable. If such assets are considered to be impaired, the impairment to be recognized is measured as the amount by which the carrying amount of the assets exceeds the fair value of the assets. The Company does not believe that any events have occurred that would indicate that its long-lived assets were impaired at December 31, 2014.</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Taxes</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provides for federal and state income taxes whereby a deferred tax asset or liability is measured at the enacted tax rates that would be in effect when any differences between the financial statement and tax bases of assets and liabilities are expected to reverse.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Advertising Costs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Advertising costs are expensed as incurred. Advertising expense totaled $1,106 in 2014 and $711 in 2013.</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Comprehensive income is defined as the change in equity of a business enterprise during a period from transactions and other events and circumstances from non-owner sources. The foreign currency gain was immaterial in 2014 and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567" w:lineRule="auto"/>
        <w:tabs>
          <w:tab w:leader="none" w:pos="216"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Accounting for Stock-Based Compensation</w:t>
      </w:r>
    </w:p>
    <w:p>
      <w:pPr>
        <w:jc w:val="both"/>
        <w:spacing w:after="0" w:line="259" w:lineRule="auto"/>
        <w:rPr>
          <w:sz w:val="20"/>
          <w:szCs w:val="20"/>
          <w:color w:val="auto"/>
        </w:rPr>
      </w:pPr>
      <w:r>
        <w:rPr>
          <w:rFonts w:ascii="Arial" w:cs="Arial" w:eastAsia="Arial" w:hAnsi="Arial"/>
          <w:sz w:val="21"/>
          <w:szCs w:val="21"/>
          <w:color w:val="auto"/>
        </w:rPr>
        <w:t xml:space="preserve">All share-based payments to employees are recognized as compensation in the consolidated income statement based on their fair values. The fair value of each option award is estimated on the date of grant using the Black-Scholes option-pricing model. The risk-free interest rate used is the rate for a U.S. Treasury zero coupon issue with a remaining life consistent with the expected life of the option. The Company did pay a dividend in 2014 but has no scheduled expected dividend in the future. The expected life of options granted represents the period of time that option grants are expected to be outstanding. The Company uses the short-cut method as permitted under Staff Accounting Bulletin No. 107, </w:t>
      </w:r>
      <w:r>
        <w:rPr>
          <w:rFonts w:ascii="Arial" w:cs="Arial" w:eastAsia="Arial" w:hAnsi="Arial"/>
          <w:sz w:val="21"/>
          <w:szCs w:val="21"/>
          <w:i w:val="1"/>
          <w:iCs w:val="1"/>
          <w:color w:val="auto"/>
        </w:rPr>
        <w:t>Share-Based Payment</w:t>
      </w:r>
      <w:r>
        <w:rPr>
          <w:rFonts w:ascii="Arial" w:cs="Arial" w:eastAsia="Arial" w:hAnsi="Arial"/>
          <w:sz w:val="21"/>
          <w:szCs w:val="21"/>
          <w:color w:val="auto"/>
        </w:rPr>
        <w:t>, to estimate the expected life of options granted as the Company does not have a sufficient history of stock option exercises to derive an exclusive term. Expected volatilities are based on historical volatilities from guideline companies since there is no active market for the Company’s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Weighted-average assumptions used for grants are as follows: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ind w:left="3440"/>
              <w:spacing w:after="0"/>
              <w:rPr>
                <w:sz w:val="20"/>
                <w:szCs w:val="20"/>
                <w:color w:val="auto"/>
              </w:rPr>
            </w:pPr>
            <w:r>
              <w:rPr>
                <w:rFonts w:ascii="Arial" w:cs="Arial" w:eastAsia="Arial" w:hAnsi="Arial"/>
                <w:sz w:val="18"/>
                <w:szCs w:val="18"/>
                <w:b w:val="1"/>
                <w:bCs w:val="1"/>
                <w:color w:val="auto"/>
              </w:rPr>
              <w:t>Assumption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77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318"/>
        </w:trPr>
        <w:tc>
          <w:tcPr>
            <w:tcW w:w="7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1.16%</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Expected dividend yield</w:t>
            </w: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5.50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55%</w:t>
            </w:r>
          </w:p>
        </w:tc>
        <w:tc>
          <w:tcPr>
            <w:tcW w:w="2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56%</w:t>
            </w:r>
          </w:p>
        </w:tc>
      </w:tr>
      <w:tr>
        <w:trPr>
          <w:trHeight w:val="27"/>
        </w:trPr>
        <w:tc>
          <w:tcPr>
            <w:tcW w:w="7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Weighted-average fair value of options granted during the year</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$7.32</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$5.35</w:t>
            </w:r>
          </w:p>
        </w:tc>
      </w:tr>
      <w:tr>
        <w:trPr>
          <w:trHeight w:val="27"/>
        </w:trPr>
        <w:tc>
          <w:tcPr>
            <w:tcW w:w="77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In May 2014, the Financial Accounting Standards Board (FASB) issued Accounting Standards Update (ASU) No. 2014-09, </w:t>
      </w:r>
      <w:r>
        <w:rPr>
          <w:rFonts w:ascii="Arial" w:cs="Arial" w:eastAsia="Arial" w:hAnsi="Arial"/>
          <w:sz w:val="22"/>
          <w:szCs w:val="22"/>
          <w:i w:val="1"/>
          <w:iCs w:val="1"/>
          <w:color w:val="auto"/>
        </w:rPr>
        <w:t xml:space="preserve">Revenue from Contracts with Customers </w:t>
      </w:r>
      <w:r>
        <w:rPr>
          <w:rFonts w:ascii="Arial" w:cs="Arial" w:eastAsia="Arial" w:hAnsi="Arial"/>
          <w:sz w:val="22"/>
          <w:szCs w:val="22"/>
          <w:color w:val="auto"/>
        </w:rPr>
        <w:t>ASU 2014-09 affects all entities — public, private, and not-for-profit—that have contracts</w:t>
      </w:r>
      <w:r>
        <w:rPr>
          <w:rFonts w:ascii="Arial" w:cs="Arial" w:eastAsia="Arial" w:hAnsi="Arial"/>
          <w:sz w:val="22"/>
          <w:szCs w:val="22"/>
          <w:i w:val="1"/>
          <w:iCs w:val="1"/>
          <w:color w:val="auto"/>
        </w:rPr>
        <w:t xml:space="preserve"> </w:t>
      </w:r>
      <w:r>
        <w:rPr>
          <w:rFonts w:ascii="Arial" w:cs="Arial" w:eastAsia="Arial" w:hAnsi="Arial"/>
          <w:sz w:val="22"/>
          <w:szCs w:val="22"/>
          <w:color w:val="auto"/>
        </w:rPr>
        <w:t>with customers, except for certain items, which include leases, insurance contracts; most financial instruments, and guarantees (other than product or service warranties). The new revenue recognition standard eliminates the transaction- and industry-specific revenue recognition guidance under current U.S. GAAP and replaces it with a principle-based approach for determining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20" w:firstLine="8"/>
        <w:spacing w:after="0" w:line="567" w:lineRule="auto"/>
        <w:tabs>
          <w:tab w:leader="none" w:pos="21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Recent Accounting Pronouncements (continued)</w:t>
      </w:r>
    </w:p>
    <w:p>
      <w:pPr>
        <w:jc w:val="both"/>
        <w:spacing w:after="0" w:line="286" w:lineRule="auto"/>
        <w:rPr>
          <w:sz w:val="20"/>
          <w:szCs w:val="20"/>
          <w:color w:val="auto"/>
        </w:rPr>
      </w:pPr>
      <w:r>
        <w:rPr>
          <w:rFonts w:ascii="Arial" w:cs="Arial" w:eastAsia="Arial" w:hAnsi="Arial"/>
          <w:sz w:val="19"/>
          <w:szCs w:val="19"/>
          <w:color w:val="auto"/>
        </w:rPr>
        <w:t>All nonpublic entities are required to apply the revenue recognition standard for annual reporting periods beginning on or after December 15, 2017, and interim reporting periods within annual reporting periods beginning after December 15, 2018. Nonpublic entities may elect to apply the requirements of the revenue standard earlier as of the following dates: (a) An annual reporting period beginning after December 15, 2016, including interim reporting periods within that reporting period (public entity effective date);</w:t>
      </w:r>
    </w:p>
    <w:p>
      <w:pPr>
        <w:spacing w:after="0" w:line="3" w:lineRule="exact"/>
        <w:rPr>
          <w:sz w:val="20"/>
          <w:szCs w:val="20"/>
          <w:color w:val="auto"/>
        </w:rPr>
      </w:pPr>
    </w:p>
    <w:p>
      <w:pPr>
        <w:jc w:val="both"/>
        <w:ind w:firstLine="8"/>
        <w:spacing w:after="0" w:line="244" w:lineRule="auto"/>
        <w:tabs>
          <w:tab w:leader="none" w:pos="323" w:val="left"/>
        </w:tabs>
        <w:numPr>
          <w:ilvl w:val="0"/>
          <w:numId w:val="34"/>
        </w:numPr>
        <w:rPr>
          <w:rFonts w:ascii="Arial" w:cs="Arial" w:eastAsia="Arial" w:hAnsi="Arial"/>
          <w:sz w:val="22"/>
          <w:szCs w:val="22"/>
          <w:color w:val="auto"/>
        </w:rPr>
      </w:pPr>
      <w:r>
        <w:rPr>
          <w:rFonts w:ascii="Arial" w:cs="Arial" w:eastAsia="Arial" w:hAnsi="Arial"/>
          <w:sz w:val="22"/>
          <w:szCs w:val="22"/>
          <w:color w:val="auto"/>
        </w:rPr>
        <w:t>an annual reporting period beginning after December 15, 2016, and interim reporting periods within annual reporting periods beginning after December 15, 2017; and (c) an annual reporting period beginning after December 15, 2017, including interim reporting periods within that reporting period. The implementation of ASU 2014-09 has not been fully evaluated as to the effect on the Company's consolidated financial statements.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Spin-Off Transaction</w:t>
      </w:r>
    </w:p>
    <w:p>
      <w:pPr>
        <w:spacing w:after="0" w:line="26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On October 31, 2011, TEI Medical was established as a wholly owned subsidiary through the issuance of 999 voting shares of common stock and 3 million non-voting shares of preferred stock to the Company in exchange for a license of the Company’s intellectual property in the orthopedic and wound management fields of use, and for certain assets, including tradenames, regulatory clearance, third-party distribution agreements and $357 of cash.</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On November 15, 2011, TEI Medical commenced operations and, simultaneously, all the common shares of TEI Medical were distributed in the form of a dividend to each shareholder of the Company based on a 1-to-10 ratio of common shares held in the Company. The Company maintains ownership of all non-voting preferred shares of TEI Medical.</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In connection with the spin-off, TEI Medical obtained a royalty-free, perpetual, irrevocable, exclusive, worldwide, and fully paid license to all the Company’s intellectual property, technology, know-how, products, and product concepts in the fields of use consisting of orthopedics (excluding spine surgery) and wound management (including burn care). The Company entered into a Distribution Agreement with TEI Medical whereby the Company has been a non-exclusive distributor for sales of PriMatrix and TissueMend (the Products). Under the Distribution Agreement, the Company has been selling: (a) PriMatrix to domestic accounts, primarily through its direct sales force, and internationally through a network of independent sales agents, and (b) TissueMend to Stryker. In exchange, the Company has been paying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Spin-Off Transaction (continued)</w:t>
      </w:r>
    </w:p>
    <w:p>
      <w:pPr>
        <w:spacing w:after="0" w:line="266" w:lineRule="exact"/>
        <w:rPr>
          <w:sz w:val="20"/>
          <w:szCs w:val="20"/>
          <w:color w:val="auto"/>
        </w:rPr>
      </w:pPr>
    </w:p>
    <w:p>
      <w:pPr>
        <w:jc w:val="both"/>
        <w:ind w:right="20"/>
        <w:spacing w:after="0" w:line="287" w:lineRule="auto"/>
        <w:rPr>
          <w:sz w:val="20"/>
          <w:szCs w:val="20"/>
          <w:color w:val="auto"/>
        </w:rPr>
      </w:pPr>
      <w:r>
        <w:rPr>
          <w:rFonts w:ascii="Arial" w:cs="Arial" w:eastAsia="Arial" w:hAnsi="Arial"/>
          <w:sz w:val="21"/>
          <w:szCs w:val="21"/>
          <w:color w:val="auto"/>
        </w:rPr>
        <w:t>distribution fee to TEI Medical based on Product revenues. The Company incurred and recorded total distribution fee expense of $279 and $8,742 to TEI Medical in 2014 and 2013, respectively, which were herein eliminated in consolidation.</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Company also entered into an Operational Services Agreement (the Services Agreement) with TEI Medical under which it has and continues to provide certain administrative, operational, and regulatory services to TEI Medical for a fee. The Company charged TEI Medical $1,310 and $5,955 for services rendered in 2014 and 2013, respectively, which were also eliminated herein in consolidation. Any technology or manufacturing developments or improvements made by the Company during the term of the Services Agreement, which are applicable to the TEI Medical Field of Use, will be licensed to TEI Medical on an exclusive basis, at no additional cost.</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On January 11, 2014, the Company and TEI Medical amended and restated the November 15, 2011, Distribution Agreement. Prior to this amendment, the Company sold PriMatrix directly to customers and TissueMend to Stryker and paid TEI Medical a distribution fee. On January 11, 2014, the Company transferred its entire wound healing sales reps and other wound healing employees to TEI Medical, and the distribution fee arrangement stopped. Subsequent to January 11, 2014 the Company continues to manufacture products for TEI Medical and ship such products to customers on behalf of TEI Medical with a cost plus 30% mark up. TEI Medical is responsible for all sales and marketing activities related to PriMatrix and for sales of TissueMend to Stryker. On May 1 and again on October 1, 2014, the Company and TEI Medical amended the Manufacturing and Supply Agreement between the parties to increase the transfer price charged</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by the Company to TEI Medical for the manufacturing, storage and shipping of TEI Medical products to $4 and $5 per sq cm, respectively, from the original transfer price of cost plus 30%. All amounts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591"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Inventories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Inventories consisted of the following as of December 31: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1,254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2,781</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2,153</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2,434</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37"/>
        </w:trPr>
        <w:tc>
          <w:tcPr>
            <w:tcW w:w="8120" w:type="dxa"/>
            <w:vAlign w:val="bottom"/>
          </w:tcPr>
          <w:p>
            <w:pPr>
              <w:spacing w:after="0"/>
              <w:rPr>
                <w:sz w:val="20"/>
                <w:szCs w:val="20"/>
                <w:color w:val="auto"/>
              </w:rPr>
            </w:pPr>
          </w:p>
        </w:tc>
        <w:tc>
          <w:tcPr>
            <w:tcW w:w="960" w:type="dxa"/>
            <w:vAlign w:val="bottom"/>
            <w:tcBorders>
              <w:top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8"/>
              </w:rPr>
              <w:t>6,469</w:t>
            </w:r>
          </w:p>
        </w:tc>
        <w:tc>
          <w:tcPr>
            <w:tcW w:w="3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5,810</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Line of Credit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had a $6,000 bank line of credit. The line bore interest at a fluctuating rate per annum determined by the bank to be 2.00% above the Daily One-Month London Interbank Offered Rate (LIBOR) in effect from time to time. The line-of-credit was secured by all Company assets. The line of credit was terminated in July 2013 when the term note payable (see Note 6) was repaid in full.</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Term Note Payable</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had a $6,000 term note payable with a bank. The term note payable bore interest at a fluctuating rate per annum determined by the bank to be 2.00% above the Daily One-Month LIBOR in effect from time to time. The Company repaid this note in full in July 2013.</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Deferred Compensation</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Company’s founder had agreed, through July 1999, to defer the payment of part of his annual compensation. In 2001, he agreed to accept a contingent future issuance of 441 shares of the Company’s common stock in lieu of a deferred compensation obligation of $1,764, contingent on: (a) the sale of the Company to a third party or (b) the first public offering of shares of common stock in which he would be able to participate and sell a sufficient number of shares of common stock to satisfy any federal or state tax obligation arising as the result of the Company’s payment of the deferred compensation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59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consists of the following for the year ended December 31: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5,762</w:t>
            </w:r>
          </w:p>
        </w:tc>
        <w:tc>
          <w:tcPr>
            <w:tcW w:w="3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8,088</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w:t>
            </w: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6,939</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9,704</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2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352</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8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8"/>
                <w:szCs w:val="18"/>
                <w:color w:val="auto"/>
              </w:rPr>
              <w:t>Total income tax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7,452</w:t>
            </w:r>
          </w:p>
        </w:tc>
        <w:tc>
          <w:tcPr>
            <w:tcW w:w="3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10,069</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deferred tax assets are as follows at December 31:</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523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761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License fee revenue</w:t>
            </w:r>
          </w:p>
        </w:tc>
        <w:tc>
          <w:tcPr>
            <w:tcW w:w="340" w:type="dxa"/>
            <w:vAlign w:val="bottom"/>
          </w:tcPr>
          <w:p>
            <w:pPr>
              <w:spacing w:after="0"/>
              <w:rPr>
                <w:sz w:val="21"/>
                <w:szCs w:val="21"/>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reserves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temporary differences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263</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1,332</w:t>
            </w:r>
          </w:p>
        </w:tc>
        <w:tc>
          <w:tcPr>
            <w:tcW w:w="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1,863</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591"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Income Tax (continued)</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utilization of federal tax credit carryforwards is subject to review and possible adjustment by the Internal Revenue Service. Internal Revenue Code (IRC) Section 382 contains provisions that may limit the amount of net operating loss and tax credit carryforwards that the Company may utilize in any one year in the event of certain changes in ownership, as defined.</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Company is subject to federal income tax audits for 2011 and beyond, and state income tax audits for all open periods under the statute of limitations. The Company includes interest and penalties, when necessary, in income tax expense.</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valuation allowance relates to deferred compensation, which has been deemed an indefinitely reversing deferred tax asset. The Company’s valuation allowance at December 31, 2014, increased by $3 from the balance at December 31, 2013, due primarily to the change in the Company’s deferred state tax rate.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Company’s income tax rate in 2014 and 2013 differed from the statutory rate mainly due to state income taxes.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Income taxes paid for both the Company and TEI Medical amounted to $7,913 in 2014 and $9,630 in 2013.</w:t>
      </w:r>
    </w:p>
    <w:p>
      <w:pPr>
        <w:spacing w:after="0" w:line="260"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During 2014, the Company identified an error in its historical income tax provisions and tax filings whereby the Company failed to appropriately consider certain deductions related to its domestic production activities. The Company amended its historical tax filings to claim these deductions. The Company concluded that the financial reporting effects of the missed deductions were not material to any of the Company’s historical financial statements. The cumulative effect of correcting the historical misstatements in the current year would be material to the 2014 financial statements. As such, the historical financial information included herein has been restated to reflect the correction of these immaterial errors. Retained earnings as of January 1, 2013 was increased by $1,362 to reflect the cumulative effect of the corrections through that date. Additionally, income tax expense for 2013 was decreased by $720 and prepaid income taxes as of December 31, 2013 was increased by $2,082.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591"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7140" w:firstLine="8"/>
        <w:spacing w:after="0" w:line="489" w:lineRule="auto"/>
        <w:tabs>
          <w:tab w:leader="none" w:pos="216"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Common Stock</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The holders of common stock are entitled to one vote for each share held of record on all matters submitted to a vote of the stockholders. The stockholders do not have cumulative voting rights in the election of directors. Accordingly, holders of a majority of the shares voting are able to elect all the directors. Holders of common stock are entitled to receive ratably only those dividends as may be declared by the Board out of funds legally available thereon. In the event of a liquidation, dissolution, or winding up of the Company, holders of common stock are entitled to share ratably in all of the Company’s assets remaining after outstanding liabilities are paid. Holders of common stock have no preemptive or other subscription or conversion rights. There are no redemption or sinking fund provisions applicable to the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 Transactions and Dividends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2014, the Company repurchased approximately 25 shares of common stock for approximately $361. The Company also retired these repurchased shares in 2014.</w:t>
      </w:r>
    </w:p>
    <w:p>
      <w:pPr>
        <w:spacing w:after="0" w:line="21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On March 13, 2014, the Board of Directors of the Company declared a cash dividend on all shares of capital stock outstanding as of the close of business on March 14, 2014. The amount of the dividend was $2.67 per share, subject to any required tax withholding. The total amount of the dividend the Company declared to its shareholders was $19,972 and was paid in March and April of 2014.</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In 2013, the Company repurchased 23 shares of common stock for $243. The Company also retired these repurchased shares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59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40" w:firstLine="8"/>
        <w:spacing w:after="0" w:line="489" w:lineRule="auto"/>
        <w:tabs>
          <w:tab w:leader="none" w:pos="216"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(continued) Stock Option Plan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June 8, 2006, the stockholders of the Company approved the Company’s 2006 Equity Incentive Plan (the 2006 Plan), which provides for the issuance of shares of common stock up to the greater of 2.5 million shares or 23% of the number of shares outstanding as of January 1 of each year, subject to certain adjustments.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2006 Plan is in addition to the 1997 Stock Option Plan (the 1997 Plan) that provided for the issuance of options to purchase a maximum of 2 million shares of common stock. The 1997 Plan expired in February 2007. The options under the 2006 Plan may be granted to employees, directors or consultants. Options under the 2006 Plan vest over a maximum of a four-year period, and expire ten years from the date of grant.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Board may suspend or terminate the 2006 Plan at any time and, unless previously terminated, the 2006 Plan shall terminate on June 8, 2016. As of December 31, 2014 and 2013, 255 and 250 shares, respectively, were available for grant under the 2006 Plan. Activity under the Stock Option Plans is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0"/>
              </w:rPr>
              <w:t>Weighted-</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86"/>
              </w:rPr>
              <w:t>Average</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3"/>
              </w:rPr>
              <w:t>Contractual Life</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p>
        </w:tc>
        <w:tc>
          <w:tcPr>
            <w:tcW w:w="1380" w:type="dxa"/>
            <w:vAlign w:val="bottom"/>
          </w:tcPr>
          <w:p>
            <w:pPr>
              <w:ind w:left="40"/>
              <w:spacing w:after="0"/>
              <w:rPr>
                <w:sz w:val="20"/>
                <w:szCs w:val="20"/>
                <w:color w:val="auto"/>
              </w:rPr>
            </w:pPr>
            <w:r>
              <w:rPr>
                <w:rFonts w:ascii="Arial" w:cs="Arial" w:eastAsia="Arial" w:hAnsi="Arial"/>
                <w:sz w:val="18"/>
                <w:szCs w:val="18"/>
                <w:color w:val="auto"/>
                <w:w w:val="90"/>
              </w:rPr>
              <w:t>Number of Shares</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88"/>
              </w:rPr>
              <w:t>Exercise Price</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88"/>
              </w:rPr>
              <w:t>(Years)</w:t>
            </w:r>
          </w:p>
        </w:tc>
        <w:tc>
          <w:tcPr>
            <w:tcW w:w="0" w:type="dxa"/>
            <w:vAlign w:val="bottom"/>
          </w:tcPr>
          <w:p>
            <w:pPr>
              <w:spacing w:after="0"/>
              <w:rPr>
                <w:sz w:val="1"/>
                <w:szCs w:val="1"/>
                <w:color w:val="auto"/>
              </w:rPr>
            </w:pPr>
          </w:p>
        </w:tc>
      </w:tr>
      <w:tr>
        <w:trPr>
          <w:trHeight w:val="351"/>
        </w:trPr>
        <w:tc>
          <w:tcPr>
            <w:tcW w:w="6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372</w:t>
            </w:r>
          </w:p>
        </w:tc>
        <w:tc>
          <w:tcPr>
            <w:tcW w:w="1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3"/>
              </w:rPr>
              <w:t>$5.81</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93"/>
              </w:rPr>
              <w:t>14.40</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(24)</w:t>
            </w:r>
          </w:p>
        </w:tc>
        <w:tc>
          <w:tcPr>
            <w:tcW w:w="1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5"/>
              </w:rPr>
              <w:t>5.93</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6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380" w:type="dxa"/>
            <w:vAlign w:val="bottom"/>
          </w:tcPr>
          <w:p>
            <w:pPr>
              <w:jc w:val="center"/>
              <w:spacing w:after="0"/>
              <w:rPr>
                <w:sz w:val="20"/>
                <w:szCs w:val="20"/>
                <w:color w:val="auto"/>
              </w:rPr>
            </w:pPr>
            <w:r>
              <w:rPr>
                <w:rFonts w:ascii="Arial" w:cs="Arial" w:eastAsia="Arial" w:hAnsi="Arial"/>
                <w:sz w:val="18"/>
                <w:szCs w:val="18"/>
                <w:color w:val="auto"/>
                <w:w w:val="93"/>
              </w:rPr>
              <w:t>(15)</w:t>
            </w:r>
          </w:p>
        </w:tc>
        <w:tc>
          <w:tcPr>
            <w:tcW w:w="1760" w:type="dxa"/>
            <w:vAlign w:val="bottom"/>
          </w:tcPr>
          <w:p>
            <w:pPr>
              <w:jc w:val="center"/>
              <w:ind w:left="90"/>
              <w:spacing w:after="0"/>
              <w:rPr>
                <w:sz w:val="20"/>
                <w:szCs w:val="20"/>
                <w:color w:val="auto"/>
              </w:rPr>
            </w:pPr>
            <w:r>
              <w:rPr>
                <w:rFonts w:ascii="Arial" w:cs="Arial" w:eastAsia="Arial" w:hAnsi="Arial"/>
                <w:sz w:val="18"/>
                <w:szCs w:val="18"/>
                <w:color w:val="auto"/>
                <w:w w:val="85"/>
              </w:rPr>
              <w:t>8.27</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339</w:t>
            </w:r>
          </w:p>
        </w:tc>
        <w:tc>
          <w:tcPr>
            <w:tcW w:w="1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5"/>
              </w:rPr>
              <w:t>5.85</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2014</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330</w:t>
            </w:r>
          </w:p>
        </w:tc>
        <w:tc>
          <w:tcPr>
            <w:tcW w:w="1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5"/>
              </w:rPr>
              <w:t>5.76</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40"/>
              <w:spacing w:after="0"/>
              <w:rPr>
                <w:sz w:val="20"/>
                <w:szCs w:val="20"/>
                <w:color w:val="auto"/>
              </w:rPr>
            </w:pPr>
            <w:r>
              <w:rPr>
                <w:rFonts w:ascii="Arial" w:cs="Arial" w:eastAsia="Arial" w:hAnsi="Arial"/>
                <w:sz w:val="18"/>
                <w:szCs w:val="18"/>
                <w:color w:val="auto"/>
              </w:rPr>
              <w:t>Vested and expected to vest at</w:t>
            </w:r>
          </w:p>
        </w:tc>
        <w:tc>
          <w:tcPr>
            <w:tcW w:w="13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6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338</w:t>
            </w:r>
          </w:p>
        </w:tc>
        <w:tc>
          <w:tcPr>
            <w:tcW w:w="176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85"/>
              </w:rPr>
              <w:t>5.84</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20"/>
          </w:cols>
          <w:pgMar w:left="240" w:top="59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40" w:firstLine="8"/>
        <w:spacing w:after="0" w:line="489" w:lineRule="auto"/>
        <w:tabs>
          <w:tab w:leader="none" w:pos="216"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(continued) Stock Option Plan (continued)</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December 31, 2014, there was $67 of total unrecognized compensation expense related to non-vested stock option arrangements. The unrecognized compensation expense is calculated by applying an estimated forfeiture rate of 14% to the unvested options. This cost is being amortized on the straight-line method and is expected to be recognized over a weighted-average period of 1.21 years.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Restricted Stock</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March 2011, the Company’s Board of Directors approved amendments to an agreement that covered an award of 600 shares of restricted stock units (RSUs) granted to an officer of the Company in 2008. Each unit represents one share of the Company’s common stock. The arrangement was treated as a share-based liability award due to certain tax-related withholding features, and all restricted stock units have vested.</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amendments include, among other things, a loan (RSU Loan) to the officer in an amount equal to all applicable income and payroll taxes due upon the delivery of the 600 shares of common stock pursuant to the grant. The RSU Loan is due and payable in nine years from the date of issuance along with the related interest.</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second amendment grants the officer the right to require the Company to purchase shares of the underlying common stock at the current fair market value of the shares on the day of notice. The market value is determined by the Company’s Board of Directors solely for the purpose of paying the principal and unpaid interest of the RSU Loan outstanding and the applicable taxes due for the sale of these shares to the Company.</w:t>
      </w:r>
    </w:p>
    <w:p>
      <w:pPr>
        <w:spacing w:after="0" w:line="229"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 April 2012, the officer took delivery of the RSUs and entered into a loan of $2,096 with the Company to pay for the applicable income and payroll taxes associated with the receipt of the shares. The loan is collateralized by the underlying shares.</w:t>
      </w:r>
    </w:p>
    <w:p>
      <w:pPr>
        <w:spacing w:after="0" w:line="14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 further compensation expense will be recognized under this share-based liability award as the officer of the Company took delivery of the actual shares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59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040" w:firstLine="8"/>
        <w:spacing w:after="0" w:line="489" w:lineRule="auto"/>
        <w:tabs>
          <w:tab w:leader="none" w:pos="216"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(continued) Restricted Stock (continued)</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On June 4, 2009, the Board approved the grant of 300 shares of restricted stock to an officer of the Company. The fair value of the restricted stock was based on the market price of the Company’s stock on the date of grant, and the fair value of these shares is being recorded as compensation expense based on the vesting terms of the award. The fair value per share of the restricted stock units at the date of the grant was $4.00. The restricted shares vested in quarterly installments over a three-year period from the grant date. As of December 31, 2014, all 300 restricted shares were vested. No further compensation expense will be recognized related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Receivable – Officer</w:t>
      </w:r>
    </w:p>
    <w:p>
      <w:pPr>
        <w:spacing w:after="0" w:line="26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 connection with the 2009 restricted stock grant of 300 shares issued to an officer on June 4, 2009, noted above, the Company issued a note receivable in the amount of $300 in order to pay the related personal income taxes on the issuance. The loan is collateralized by 100 shares of common stock owned by the officer. All principal and accrued interest (2.25%) was due on the earliest of June 4, 2014, termination of employment of the officer, a significant equity event, or an event of default. Accrued and unpaid interest is due on June 4 of each year; however, the Company intends to provide a bonus amount to offset the accrued interest due. The Company has presented this note receivable as a reduction of stockholders’ equity.</w:t>
      </w:r>
    </w:p>
    <w:p>
      <w:pPr>
        <w:spacing w:after="0" w:line="190"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In March 2011, the Company’s Board of Directors approved an amendment to the restricted stock grant $300 note receivable agreement. The amendment grants the officer the right to require the Company to purchase shares of the underlying common stock at the current fair market value of the shares on the day of notice by the officer as most recently determined by the Company’s Board of Directors solely for the purpose of paying the principal and unpaid interest of the note receivable outstanding and the applicable taxes due for the sale of these shares to the Company.</w:t>
      </w:r>
    </w:p>
    <w:p>
      <w:pPr>
        <w:spacing w:after="0" w:line="233"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On March 7, 2013, the Board of Directors approved an amendment to the $300 note receivable. The amendment states that the maturity date of the note receivable would be extended from its original maturity date of June 4, 2014 to April 21,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9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40" w:firstLine="8"/>
        <w:spacing w:after="0" w:line="489" w:lineRule="auto"/>
        <w:tabs>
          <w:tab w:leader="none" w:pos="216"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(continued) Notes Receivable – Officer (continued)</w:t>
      </w:r>
    </w:p>
    <w:p>
      <w:pPr>
        <w:spacing w:after="0" w:line="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On September 8, 2011, the same officer exercised fully vested options to purchase 292 shares. The Company issued a note receivable to the officer in the amount of $1,635, which is collateralized by the underlying shares of common stock. All principal and accrued interest (1.63% for the first three years of the note) is due on the earliest of September 8, 2016, termination of employment of the officer, a significant equity event or an event of default. Accrued and unpaid interest is due on September 8 of each year. The components of the $1,635 note receivable represent $1,169 for the exercise of the options to purchase the shares of common stock and $466 for income taxes associated with the exercise of the options to purchase the shares. Under this arrangement, the officer also has the right to put the stock to the Company at the current fair market value of the shares on the day of notice as most recently determined by the Company’s Board of Directors, at a purchase price not to exceed the note receivable balance outstanding, any accrued but unpaid interest, and the associated taxes.</w:t>
      </w:r>
    </w:p>
    <w:p>
      <w:pPr>
        <w:spacing w:after="0" w:line="198"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has disclosed the amounts in the notes to the accompanying consolidated financial statements herein and has excluded the note receivable for the exercise of the options and corresponding potential liability ($1,169) from the accompanying consolidated balance sheet as the substance of the transaction is a fully vested stock option. The loan of $466 is collateralized by the underlying shares received by the officer upon exercise of these stock options and has been presented as a reduction of stockholders’ equity.</w:t>
      </w:r>
    </w:p>
    <w:p>
      <w:pPr>
        <w:spacing w:after="0" w:line="233"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On March 7, 2013, the Board of Directors approved an amendment to the $1,635 September 8, 2011, note receivable. The amendment states that the maturity date of the note receivable would be extended from its original maturity date of September 8, 2016 to April 21, 2021.</w:t>
      </w:r>
    </w:p>
    <w:p>
      <w:pPr>
        <w:spacing w:after="0" w:line="22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In connection with the delivery of 600 restricted shares to the Officer of the Company on April 21, 2012, which was granted in April 2008 as restricted stock units, the Company issued a note receivable in the amount of $2,096 in order to pay the related personal income taxes on the issuance. The loan is collateralized by the 600 fully vested shares of common stock that were delivered to the officer. All principal and accrued interest (1.15%) is due on the earliest of April 21, 2021, termination of employment of the officer, a significant equity event, or an event of default. Accrued and unpaid interest is due on April 21 of each year. The Company has presented this note receivable as a reduction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9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040" w:firstLine="8"/>
        <w:spacing w:after="0" w:line="489" w:lineRule="auto"/>
        <w:tabs>
          <w:tab w:leader="none" w:pos="216"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Biosciences Inc. (continued) Notes Receivable – Officer (continued)</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On March 7, 2013, the Board of Directors approved an amendment to the officer’s employment agreement as defined in conjunction with the $2,096 April 21, 2012, note receivable. The amendment included, among other things, that the Company shall pay to the officer a bonus payment equal to the principal balance of the note plus all accrued but unpaid interest upon the first occurrence of a change in control that results in payments to the holders of the Company’s common stock of at least $20 per share, provided that the officer has been continuously employed by the Company (except for incapacity or mutually agreed leaves of absences) from the date of the employment agreement until such change in control. The bonus shall be offset</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against and used first to repay all outstanding principal and accrued but unpaid interest on this note. All payments to the officer must be paid by the Company within 60 days after the occurrence of a change in control. Also under this amendment, the officer has the right to put stock to the Company at the current fair market value of the common shares on the day of notice as most recently determined by the Company’s Board of Directors at a purchase price not to exceed the note receivable balance outstanding, any accrued but unpaid interest, and the associated taxes.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Reserved for Future Issuances</w:t>
      </w:r>
    </w:p>
    <w:p>
      <w:pPr>
        <w:spacing w:after="0" w:line="26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As of December 31, 2014, the Company had reserved 1.035 million common stock shares for issuance upon exercise of stock options.</w:t>
      </w:r>
    </w:p>
    <w:p>
      <w:pPr>
        <w:spacing w:after="0" w:line="209" w:lineRule="exact"/>
        <w:rPr>
          <w:sz w:val="20"/>
          <w:szCs w:val="20"/>
          <w:color w:val="auto"/>
        </w:rPr>
      </w:pPr>
    </w:p>
    <w:p>
      <w:pPr>
        <w:ind w:right="7340" w:firstLine="8"/>
        <w:spacing w:after="0" w:line="489" w:lineRule="auto"/>
        <w:tabs>
          <w:tab w:leader="none" w:pos="324"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Medical Inc. Preferred Stock</w:t>
      </w: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TEI Medical was authorized to issue three million shares of non-voting preferred stock with a par value of $0.001 per share. All three million shares were issued to the Company.</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the event of any voluntary or involuntary liquidation, dissolution or winding up of TEI Medical or a deemed liquidation event, the holders of the preferred shares then outstanding shall be entitled to receive a preferred stock liquidation amount which equals the preferred stock original issue price of $1.00 per share, plus any dividends declared but unpaid.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20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420"/>
          </w:cols>
          <w:pgMar w:left="240" w:top="59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240" w:firstLine="8"/>
        <w:spacing w:after="0" w:line="489" w:lineRule="auto"/>
        <w:tabs>
          <w:tab w:leader="none" w:pos="324"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Medical Inc. (continued) Preferred Stock (continued)</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the closing of a sale of the common shares of TEI Medical to the public in a public offering under the Securities Act of 1933, all outstanding shares of preferred stock shall be automatically converted into such number of shares of common stock as determined by dividing the preferred stock original issue price of $1.00 by the public offering price.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All preferred stock outstanding is owned by the Company and is eliminated in consolidation.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TEI Medical was authorized to issue 10million shares of voting common stock with a par value of $0.001 per share. The common shares of TEI Medical were issued so that each shareholder of the Company received one tenth of one share of TEI Medical stock for every share of the Company held by virtue of a dividend, as well as an additional 60 shares of common stock of TEI Medical that the Company will retain to satisfy its distribution obligations with respect to the restricted stock units currently held by an officer. These shares were reissued to the officer of the Company on April 21, 2012, at the same time as the officer took delivery of the 600 shares of restricted stock of the Company as described in Note 9.</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liquidation rights of the holders of the common stock are subject to and qualified by the rights, powers and preferences of the holders of the preferred stock.</w:t>
      </w:r>
    </w:p>
    <w:p>
      <w:pPr>
        <w:spacing w:after="0" w:line="21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holders of the common stock are entitled to one vote for each share of common stock held at all meetings of stockholders and written actions in lieu of meetings.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 common stock is eliminated in consolidation and accounted for as non-controlling interest.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 Repurchase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In 2014, TEI Medical repurchased approximately 2.5 shares of common stock for $17. The Company retired these shares in 2014.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In 2013, TEI Medical repurchased approximately 2 shares of common stock for $8. The Company retired these shares in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420"/>
          </w:cols>
          <w:pgMar w:left="240" w:top="59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right="6240" w:firstLine="8"/>
        <w:spacing w:after="0" w:line="489" w:lineRule="auto"/>
        <w:tabs>
          <w:tab w:leader="none" w:pos="324"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Medical Inc. (continued) Stock Option Plan</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 November 14, 2011, the stockholders of TEI Medical approved the 2011 Equity Incentive Plan (the 2011 Plan), which provides for the issuance of up to one million shares of common stock.</w:t>
      </w:r>
    </w:p>
    <w:p>
      <w:pPr>
        <w:spacing w:after="0" w:line="215"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The Board may suspend or terminate the 2011 Plan at any time and, unless previously terminated, the 2011 Plan shall terminate on November 14, 2021. As of December 31, 2014 and 2013, 817 shares were available for grant under the 2011 Plan.</w:t>
      </w:r>
    </w:p>
    <w:p>
      <w:pPr>
        <w:spacing w:after="0" w:line="14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On November 14, 2011, the Board of TEI Medical approved the grant of 9 stock options with a one-year vesting period at the fair value per share of $0.2258 at the date of grant.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Activity under the stock option plans is as follows: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0"/>
              </w:rPr>
              <w:t>Weighted-</w:t>
            </w:r>
          </w:p>
        </w:tc>
      </w:tr>
      <w:tr>
        <w:trPr>
          <w:trHeight w:val="216"/>
        </w:trPr>
        <w:tc>
          <w:tcPr>
            <w:tcW w:w="6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9"/>
              </w:rPr>
              <w:t>Average</w:t>
            </w:r>
          </w:p>
        </w:tc>
      </w:tr>
      <w:tr>
        <w:trPr>
          <w:trHeight w:val="216"/>
        </w:trPr>
        <w:tc>
          <w:tcPr>
            <w:tcW w:w="6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tcPr>
          <w:p>
            <w:pPr>
              <w:jc w:val="center"/>
              <w:ind w:left="70"/>
              <w:spacing w:after="0"/>
              <w:rPr>
                <w:sz w:val="20"/>
                <w:szCs w:val="20"/>
                <w:color w:val="auto"/>
              </w:rPr>
            </w:pPr>
            <w:r>
              <w:rPr>
                <w:rFonts w:ascii="Arial" w:cs="Arial" w:eastAsia="Arial" w:hAnsi="Arial"/>
                <w:sz w:val="18"/>
                <w:szCs w:val="18"/>
                <w:color w:val="auto"/>
                <w:w w:val="90"/>
              </w:rPr>
              <w:t>Weighted-</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92"/>
              </w:rPr>
              <w:t>Remaining</w:t>
            </w:r>
          </w:p>
        </w:tc>
      </w:tr>
      <w:tr>
        <w:trPr>
          <w:trHeight w:val="216"/>
        </w:trPr>
        <w:tc>
          <w:tcPr>
            <w:tcW w:w="6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00" w:type="dxa"/>
            <w:vAlign w:val="bottom"/>
          </w:tcPr>
          <w:p>
            <w:pPr>
              <w:jc w:val="center"/>
              <w:ind w:left="70"/>
              <w:spacing w:after="0"/>
              <w:rPr>
                <w:sz w:val="20"/>
                <w:szCs w:val="20"/>
                <w:color w:val="auto"/>
              </w:rPr>
            </w:pPr>
            <w:r>
              <w:rPr>
                <w:rFonts w:ascii="Arial" w:cs="Arial" w:eastAsia="Arial" w:hAnsi="Arial"/>
                <w:sz w:val="18"/>
                <w:szCs w:val="18"/>
                <w:color w:val="auto"/>
                <w:w w:val="89"/>
              </w:rPr>
              <w:t>Average Exercise</w:t>
            </w:r>
          </w:p>
        </w:tc>
        <w:tc>
          <w:tcPr>
            <w:tcW w:w="1500" w:type="dxa"/>
            <w:vAlign w:val="bottom"/>
          </w:tcPr>
          <w:p>
            <w:pPr>
              <w:jc w:val="center"/>
              <w:ind w:left="70"/>
              <w:spacing w:after="0"/>
              <w:rPr>
                <w:sz w:val="20"/>
                <w:szCs w:val="20"/>
                <w:color w:val="auto"/>
              </w:rPr>
            </w:pPr>
            <w:r>
              <w:rPr>
                <w:rFonts w:ascii="Arial" w:cs="Arial" w:eastAsia="Arial" w:hAnsi="Arial"/>
                <w:sz w:val="18"/>
                <w:szCs w:val="18"/>
                <w:color w:val="auto"/>
                <w:w w:val="93"/>
              </w:rPr>
              <w:t>Contractual Life</w:t>
            </w:r>
          </w:p>
        </w:tc>
      </w:tr>
      <w:tr>
        <w:trPr>
          <w:trHeight w:val="230"/>
        </w:trPr>
        <w:tc>
          <w:tcPr>
            <w:tcW w:w="654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w w:val="94"/>
              </w:rPr>
              <w:t>Number of Shares</w:t>
            </w:r>
          </w:p>
        </w:tc>
        <w:tc>
          <w:tcPr>
            <w:tcW w:w="1900" w:type="dxa"/>
            <w:vAlign w:val="bottom"/>
          </w:tcPr>
          <w:p>
            <w:pPr>
              <w:jc w:val="center"/>
              <w:ind w:left="70"/>
              <w:spacing w:after="0"/>
              <w:rPr>
                <w:sz w:val="20"/>
                <w:szCs w:val="20"/>
                <w:color w:val="auto"/>
              </w:rPr>
            </w:pPr>
            <w:r>
              <w:rPr>
                <w:rFonts w:ascii="Arial" w:cs="Arial" w:eastAsia="Arial" w:hAnsi="Arial"/>
                <w:sz w:val="18"/>
                <w:szCs w:val="18"/>
                <w:color w:val="auto"/>
                <w:w w:val="92"/>
              </w:rPr>
              <w:t>Price</w:t>
            </w:r>
          </w:p>
        </w:tc>
        <w:tc>
          <w:tcPr>
            <w:tcW w:w="1500" w:type="dxa"/>
            <w:vAlign w:val="bottom"/>
          </w:tcPr>
          <w:p>
            <w:pPr>
              <w:jc w:val="center"/>
              <w:ind w:left="50"/>
              <w:spacing w:after="0"/>
              <w:rPr>
                <w:sz w:val="20"/>
                <w:szCs w:val="20"/>
                <w:color w:val="auto"/>
              </w:rPr>
            </w:pPr>
            <w:r>
              <w:rPr>
                <w:rFonts w:ascii="Arial" w:cs="Arial" w:eastAsia="Arial" w:hAnsi="Arial"/>
                <w:sz w:val="18"/>
                <w:szCs w:val="18"/>
                <w:color w:val="auto"/>
                <w:w w:val="88"/>
              </w:rPr>
              <w:t>(Years)</w:t>
            </w:r>
          </w:p>
        </w:tc>
      </w:tr>
      <w:tr>
        <w:trPr>
          <w:trHeight w:val="351"/>
        </w:trPr>
        <w:tc>
          <w:tcPr>
            <w:tcW w:w="6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89"/>
              </w:rPr>
              <w:t>$0.2258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0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0.2258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6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2014</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0.2258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30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and expected to vest at</w:t>
            </w:r>
          </w:p>
        </w:tc>
        <w:tc>
          <w:tcPr>
            <w:tcW w:w="1480" w:type="dxa"/>
            <w:vAlign w:val="bottom"/>
            <w:tcBorders>
              <w:bottom w:val="single" w:sz="8" w:color="auto"/>
            </w:tcBorders>
          </w:tcPr>
          <w:p>
            <w:pPr>
              <w:spacing w:after="0"/>
              <w:rPr>
                <w:sz w:val="24"/>
                <w:szCs w:val="24"/>
                <w:color w:val="auto"/>
              </w:rPr>
            </w:pPr>
          </w:p>
        </w:tc>
        <w:tc>
          <w:tcPr>
            <w:tcW w:w="1900" w:type="dxa"/>
            <w:vAlign w:val="bottom"/>
            <w:tcBorders>
              <w:bottom w:val="single" w:sz="8" w:color="CCEEFF"/>
            </w:tcBorders>
          </w:tcPr>
          <w:p>
            <w:pPr>
              <w:spacing w:after="0"/>
              <w:rPr>
                <w:sz w:val="24"/>
                <w:szCs w:val="24"/>
                <w:color w:val="auto"/>
              </w:rPr>
            </w:pPr>
          </w:p>
        </w:tc>
        <w:tc>
          <w:tcPr>
            <w:tcW w:w="1500" w:type="dxa"/>
            <w:vAlign w:val="bottom"/>
            <w:tcBorders>
              <w:bottom w:val="single" w:sz="8" w:color="CCEEFF"/>
            </w:tcBorders>
          </w:tcPr>
          <w:p>
            <w:pPr>
              <w:spacing w:after="0"/>
              <w:rPr>
                <w:sz w:val="24"/>
                <w:szCs w:val="24"/>
                <w:color w:val="auto"/>
              </w:rPr>
            </w:pPr>
          </w:p>
        </w:tc>
      </w:tr>
      <w:tr>
        <w:trPr>
          <w:trHeight w:val="251"/>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90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0"/>
              </w:rPr>
              <w:t>0.2258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r>
      <w:tr>
        <w:trPr>
          <w:trHeight w:val="20"/>
        </w:trPr>
        <w:tc>
          <w:tcPr>
            <w:tcW w:w="65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2014, there was no unrecognized compensation expense related to non-vested stock option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20"/>
          </w:cols>
          <w:pgMar w:left="240" w:top="59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6240" w:firstLine="8"/>
        <w:spacing w:after="0" w:line="489" w:lineRule="auto"/>
        <w:tabs>
          <w:tab w:leader="none" w:pos="32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Stockholders’ Equity – TEI Medical Inc. (continued) Restricted Stock</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On November 14, 2011, the Board of TEI Medical approved the grant of 174.5 shares of restricted stock to an officer of TEI Medical. The fair value of the restricted stock was based on the market price of TEI Medical’s stock on the date of grant and the fair value of these shares is being recorded as compensation expense based on the vesting terms of the award. The fair value per share of the restricted stock shares at the date of the grant was $0.2258. The restricted shares vested in quarterly installments over a three-year period from the grant date.</w:t>
      </w:r>
    </w:p>
    <w:p>
      <w:pPr>
        <w:spacing w:after="0" w:line="23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December 31, 2014, all restricted shares are vested. The Company recorded an expense of $11 in 2014 and $13 in 2013, respectively, relative to this restricted stock grant. At December 31, 2014, there was no unrecognized compensation expense related to any non-vested portion of this restricted stock arrangement.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Employee Benefit Plan</w:t>
      </w:r>
    </w:p>
    <w:p>
      <w:pPr>
        <w:spacing w:after="0" w:line="26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has a savings plan for its employees that is designed to be qualified under Section 401(k) of the IRC. Eligible employees are permitted to contribute to the 401(k) plan through payroll deductions within statutory and plan limits. The participants can select from a variety of investment options. The Company currently matches the lesser of $0.40 for each dollar contributed by the participating employee up to 5% of the employee contributions, or 2% of the eligible compensation of each participating employee. Employees received matching contributions of $272 in 2014 and $221 in 2013.</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Company entered into a sublease on December 5, 2012, for its corporate office facilities, which expires on March 30, 2018.</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 as part of this sublease, also paid a $44 security deposit.</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The Company’s manufacturing facilities lease expires on December 31, 2017, with a five-year extension at the Company’s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420"/>
          </w:cols>
          <w:pgMar w:left="240" w:top="59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 (continued)</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Rent expense was $736 in 2014 and 2013. Future minimum lease payments associated with the leases above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rPr>
              <w:t>Commitment</w:t>
            </w:r>
          </w:p>
        </w:tc>
      </w:tr>
      <w:tr>
        <w:trPr>
          <w:trHeight w:val="594"/>
        </w:trPr>
        <w:tc>
          <w:tcPr>
            <w:tcW w:w="5020" w:type="dxa"/>
            <w:vAlign w:val="bottom"/>
          </w:tcPr>
          <w:p>
            <w:pPr>
              <w:jc w:val="right"/>
              <w:ind w:right="4510"/>
              <w:spacing w:after="0"/>
              <w:rPr>
                <w:sz w:val="20"/>
                <w:szCs w:val="20"/>
                <w:color w:val="auto"/>
              </w:rPr>
            </w:pPr>
            <w:r>
              <w:rPr>
                <w:rFonts w:ascii="Arial" w:cs="Arial" w:eastAsia="Arial" w:hAnsi="Arial"/>
                <w:sz w:val="18"/>
                <w:szCs w:val="18"/>
                <w:color w:val="auto"/>
                <w:w w:val="92"/>
              </w:rPr>
              <w:t>Year:</w:t>
            </w:r>
          </w:p>
        </w:tc>
        <w:tc>
          <w:tcPr>
            <w:tcW w:w="47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
        </w:trPr>
        <w:tc>
          <w:tcPr>
            <w:tcW w:w="5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jc w:val="right"/>
              <w:ind w:right="4390"/>
              <w:spacing w:after="0"/>
              <w:rPr>
                <w:sz w:val="20"/>
                <w:szCs w:val="20"/>
                <w:color w:val="auto"/>
              </w:rPr>
            </w:pPr>
            <w:r>
              <w:rPr>
                <w:rFonts w:ascii="Arial" w:cs="Arial" w:eastAsia="Arial" w:hAnsi="Arial"/>
                <w:sz w:val="18"/>
                <w:szCs w:val="18"/>
                <w:color w:val="auto"/>
              </w:rPr>
              <w:t>2015</w:t>
            </w:r>
          </w:p>
        </w:tc>
        <w:tc>
          <w:tcPr>
            <w:tcW w:w="4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723</w:t>
            </w:r>
          </w:p>
        </w:tc>
      </w:tr>
      <w:tr>
        <w:trPr>
          <w:trHeight w:val="243"/>
        </w:trPr>
        <w:tc>
          <w:tcPr>
            <w:tcW w:w="5020" w:type="dxa"/>
            <w:vAlign w:val="bottom"/>
          </w:tcPr>
          <w:p>
            <w:pPr>
              <w:jc w:val="right"/>
              <w:ind w:right="4390"/>
              <w:spacing w:after="0"/>
              <w:rPr>
                <w:sz w:val="20"/>
                <w:szCs w:val="20"/>
                <w:color w:val="auto"/>
              </w:rPr>
            </w:pPr>
            <w:r>
              <w:rPr>
                <w:rFonts w:ascii="Arial" w:cs="Arial" w:eastAsia="Arial" w:hAnsi="Arial"/>
                <w:sz w:val="18"/>
                <w:szCs w:val="18"/>
                <w:color w:val="auto"/>
              </w:rPr>
              <w:t>2016</w:t>
            </w:r>
          </w:p>
        </w:tc>
        <w:tc>
          <w:tcPr>
            <w:tcW w:w="47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891</w:t>
            </w:r>
          </w:p>
        </w:tc>
      </w:tr>
      <w:tr>
        <w:trPr>
          <w:trHeight w:val="27"/>
        </w:trPr>
        <w:tc>
          <w:tcPr>
            <w:tcW w:w="50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jc w:val="right"/>
              <w:ind w:right="4390"/>
              <w:spacing w:after="0"/>
              <w:rPr>
                <w:sz w:val="20"/>
                <w:szCs w:val="20"/>
                <w:color w:val="auto"/>
              </w:rPr>
            </w:pPr>
            <w:r>
              <w:rPr>
                <w:rFonts w:ascii="Arial" w:cs="Arial" w:eastAsia="Arial" w:hAnsi="Arial"/>
                <w:sz w:val="18"/>
                <w:szCs w:val="18"/>
                <w:color w:val="auto"/>
              </w:rPr>
              <w:t>2017</w:t>
            </w:r>
          </w:p>
        </w:tc>
        <w:tc>
          <w:tcPr>
            <w:tcW w:w="47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43"/>
        </w:trPr>
        <w:tc>
          <w:tcPr>
            <w:tcW w:w="5020" w:type="dxa"/>
            <w:vAlign w:val="bottom"/>
          </w:tcPr>
          <w:p>
            <w:pPr>
              <w:jc w:val="right"/>
              <w:ind w:right="4390"/>
              <w:spacing w:after="0"/>
              <w:rPr>
                <w:sz w:val="20"/>
                <w:szCs w:val="20"/>
                <w:color w:val="auto"/>
              </w:rPr>
            </w:pPr>
            <w:r>
              <w:rPr>
                <w:rFonts w:ascii="Arial" w:cs="Arial" w:eastAsia="Arial" w:hAnsi="Arial"/>
                <w:sz w:val="18"/>
                <w:szCs w:val="18"/>
                <w:color w:val="auto"/>
              </w:rPr>
              <w:t>2018</w:t>
            </w:r>
          </w:p>
        </w:tc>
        <w:tc>
          <w:tcPr>
            <w:tcW w:w="47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68</w:t>
            </w:r>
          </w:p>
        </w:tc>
      </w:tr>
    </w:tbl>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Subsequent Events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The Company evaluated subsequent events occurring after the consolidated balance sheet date and up to the time the consolidated financial statements were available to be issued, June 25, 2015, and noted no subsequent events, except:</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Company entered into an amendment of its manufacturing facilities lease on May 1, 2015, to lease an additional 4 square feet of space through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59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C O N D E N S E D C O N S O L I D A T E D F I N A N C I A L</w:t>
      </w:r>
    </w:p>
    <w:p>
      <w:pPr>
        <w:spacing w:after="0" w:line="56"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S T A T EME N T S (U N A U D I T E D)</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Quarters Ended March 31, 2015 and 2014</w:t>
      </w:r>
    </w:p>
    <w:p>
      <w:pPr>
        <w:sectPr>
          <w:pgSz w:w="11900" w:h="16838" w:orient="portrait"/>
          <w:cols w:equalWidth="0" w:num="1">
            <w:col w:w="10220"/>
          </w:cols>
          <w:pgMar w:left="1440" w:top="580" w:right="239" w:bottom="1440" w:gutter="0" w:footer="0" w:header="0"/>
        </w:sectPr>
      </w:pPr>
    </w:p>
    <w:bookmarkStart w:id="86" w:name="page87"/>
    <w:bookmarkEnd w:id="86"/>
    <w:p>
      <w:pPr>
        <w:ind w:left="4140"/>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Condensed Consolidated Financial Statements (Unaudited)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Quarters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Arial" w:cs="Arial" w:eastAsia="Arial" w:hAnsi="Arial"/>
          <w:sz w:val="22"/>
          <w:szCs w:val="22"/>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Financial Statements</w:t>
      </w:r>
    </w:p>
    <w:p>
      <w:pPr>
        <w:spacing w:after="0" w:line="260" w:lineRule="exact"/>
        <w:rPr>
          <w:sz w:val="20"/>
          <w:szCs w:val="20"/>
          <w:color w:val="auto"/>
        </w:rPr>
      </w:pPr>
    </w:p>
    <w:p>
      <w:pPr>
        <w:spacing w:after="0"/>
        <w:tabs>
          <w:tab w:leader="dot" w:pos="9080" w:val="left"/>
        </w:tabs>
        <w:rPr>
          <w:sz w:val="20"/>
          <w:szCs w:val="20"/>
          <w:color w:val="auto"/>
        </w:rPr>
      </w:pPr>
      <w:r>
        <w:rPr>
          <w:rFonts w:ascii="Arial" w:cs="Arial" w:eastAsia="Arial" w:hAnsi="Arial"/>
          <w:sz w:val="22"/>
          <w:szCs w:val="22"/>
          <w:color w:val="auto"/>
        </w:rPr>
        <w:t>Condensed Consolidated Balance Sheets</w:t>
      </w:r>
      <w:r>
        <w:rPr>
          <w:sz w:val="20"/>
          <w:szCs w:val="20"/>
          <w:color w:val="auto"/>
        </w:rPr>
        <w:tab/>
      </w:r>
      <w:r>
        <w:rPr>
          <w:rFonts w:ascii="Arial" w:cs="Arial" w:eastAsia="Arial" w:hAnsi="Arial"/>
          <w:sz w:val="17"/>
          <w:szCs w:val="17"/>
          <w:color w:val="auto"/>
        </w:rPr>
        <w:t>2</w:t>
      </w:r>
    </w:p>
    <w:p>
      <w:pPr>
        <w:spacing w:after="0" w:line="22" w:lineRule="exact"/>
        <w:rPr>
          <w:sz w:val="20"/>
          <w:szCs w:val="20"/>
          <w:color w:val="auto"/>
        </w:rPr>
      </w:pPr>
    </w:p>
    <w:p>
      <w:pPr>
        <w:spacing w:after="0"/>
        <w:tabs>
          <w:tab w:leader="dot" w:pos="9100" w:val="left"/>
        </w:tabs>
        <w:rPr>
          <w:sz w:val="20"/>
          <w:szCs w:val="20"/>
          <w:color w:val="auto"/>
        </w:rPr>
      </w:pPr>
      <w:r>
        <w:rPr>
          <w:rFonts w:ascii="Arial" w:cs="Arial" w:eastAsia="Arial" w:hAnsi="Arial"/>
          <w:sz w:val="22"/>
          <w:szCs w:val="22"/>
          <w:color w:val="auto"/>
        </w:rPr>
        <w:t>Condensed Consolidated Statements of Income and Comprehensive Income</w:t>
      </w:r>
      <w:r>
        <w:rPr>
          <w:sz w:val="20"/>
          <w:szCs w:val="20"/>
          <w:color w:val="auto"/>
        </w:rPr>
        <w:tab/>
      </w:r>
      <w:r>
        <w:rPr>
          <w:rFonts w:ascii="Arial" w:cs="Arial" w:eastAsia="Arial" w:hAnsi="Arial"/>
          <w:sz w:val="17"/>
          <w:szCs w:val="17"/>
          <w:color w:val="auto"/>
        </w:rPr>
        <w:t>3</w:t>
      </w:r>
    </w:p>
    <w:p>
      <w:pPr>
        <w:spacing w:after="0" w:line="4" w:lineRule="exact"/>
        <w:rPr>
          <w:sz w:val="20"/>
          <w:szCs w:val="20"/>
          <w:color w:val="auto"/>
        </w:rPr>
      </w:pPr>
    </w:p>
    <w:p>
      <w:pPr>
        <w:jc w:val="right"/>
        <w:spacing w:after="0"/>
        <w:tabs>
          <w:tab w:leader="dot" w:pos="80" w:val="left"/>
        </w:tabs>
        <w:rPr>
          <w:sz w:val="20"/>
          <w:szCs w:val="20"/>
          <w:color w:val="auto"/>
        </w:rPr>
      </w:pPr>
      <w:r>
        <w:rPr>
          <w:rFonts w:ascii="Arial" w:cs="Arial" w:eastAsia="Arial" w:hAnsi="Arial"/>
          <w:sz w:val="22"/>
          <w:szCs w:val="22"/>
          <w:color w:val="auto"/>
        </w:rPr>
        <w:t>Condensed Consolidated Statements of Cash Flows</w:t>
      </w:r>
      <w:r>
        <w:rPr>
          <w:sz w:val="20"/>
          <w:szCs w:val="20"/>
          <w:color w:val="auto"/>
        </w:rPr>
        <w:tab/>
      </w:r>
      <w:r>
        <w:rPr>
          <w:rFonts w:ascii="Arial" w:cs="Arial" w:eastAsia="Arial" w:hAnsi="Arial"/>
          <w:sz w:val="17"/>
          <w:szCs w:val="17"/>
          <w:color w:val="auto"/>
        </w:rPr>
        <w:t>4</w:t>
      </w:r>
    </w:p>
    <w:p>
      <w:pPr>
        <w:spacing w:after="0" w:line="4" w:lineRule="exact"/>
        <w:rPr>
          <w:sz w:val="20"/>
          <w:szCs w:val="20"/>
          <w:color w:val="auto"/>
        </w:rPr>
      </w:pPr>
    </w:p>
    <w:p>
      <w:pPr>
        <w:ind w:left="1120"/>
        <w:spacing w:after="0"/>
        <w:tabs>
          <w:tab w:leader="dot" w:pos="10180" w:val="left"/>
        </w:tabs>
        <w:rPr>
          <w:sz w:val="20"/>
          <w:szCs w:val="20"/>
          <w:color w:val="auto"/>
        </w:rPr>
      </w:pPr>
      <w:r>
        <w:rPr>
          <w:rFonts w:ascii="Arial" w:cs="Arial" w:eastAsia="Arial" w:hAnsi="Arial"/>
          <w:sz w:val="22"/>
          <w:szCs w:val="22"/>
          <w:color w:val="auto"/>
        </w:rPr>
        <w:t>Notes to Condensed Consolidated Financial Statements</w:t>
      </w:r>
      <w:r>
        <w:rPr>
          <w:sz w:val="20"/>
          <w:szCs w:val="20"/>
          <w:color w:val="auto"/>
        </w:rPr>
        <w:tab/>
      </w:r>
      <w:r>
        <w:rPr>
          <w:rFonts w:ascii="Arial" w:cs="Arial" w:eastAsia="Arial" w:hAnsi="Arial"/>
          <w:sz w:val="17"/>
          <w:szCs w:val="17"/>
          <w:color w:val="auto"/>
        </w:rPr>
        <w:t>5</w:t>
      </w:r>
    </w:p>
    <w:p>
      <w:pPr>
        <w:sectPr>
          <w:pgSz w:w="11900" w:h="16838" w:orient="portrait"/>
          <w:cols w:equalWidth="0" w:num="1">
            <w:col w:w="10320"/>
          </w:cols>
          <w:pgMar w:left="240" w:top="1239" w:right="1339" w:bottom="1440" w:gutter="0" w:footer="0" w:header="0"/>
        </w:sectPr>
      </w:pPr>
    </w:p>
    <w:bookmarkStart w:id="87" w:name="page88"/>
    <w:bookmarkEnd w:id="87"/>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Balance Sheets</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160" w:type="dxa"/>
            <w:vAlign w:val="bottom"/>
          </w:tcPr>
          <w:p>
            <w:pPr>
              <w:spacing w:after="0"/>
              <w:rPr>
                <w:sz w:val="20"/>
                <w:szCs w:val="20"/>
                <w:color w:val="auto"/>
              </w:rPr>
            </w:pPr>
          </w:p>
        </w:tc>
        <w:tc>
          <w:tcPr>
            <w:tcW w:w="1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7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2014</w:t>
            </w:r>
          </w:p>
        </w:tc>
      </w:tr>
      <w:tr>
        <w:trPr>
          <w:trHeight w:val="270"/>
        </w:trPr>
        <w:tc>
          <w:tcPr>
            <w:tcW w:w="7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3"/>
              </w:rPr>
              <w:t>(Unaudited)</w:t>
            </w:r>
          </w:p>
        </w:tc>
        <w:tc>
          <w:tcPr>
            <w:tcW w:w="160" w:type="dxa"/>
            <w:vAlign w:val="bottom"/>
          </w:tcPr>
          <w:p>
            <w:pPr>
              <w:spacing w:after="0"/>
              <w:rPr>
                <w:sz w:val="23"/>
                <w:szCs w:val="23"/>
                <w:color w:val="auto"/>
              </w:rPr>
            </w:pPr>
          </w:p>
        </w:tc>
        <w:tc>
          <w:tcPr>
            <w:tcW w:w="1360" w:type="dxa"/>
            <w:vAlign w:val="bottom"/>
          </w:tcPr>
          <w:p>
            <w:pPr>
              <w:jc w:val="center"/>
              <w:ind w:right="70"/>
              <w:spacing w:after="0"/>
              <w:rPr>
                <w:sz w:val="20"/>
                <w:szCs w:val="20"/>
                <w:color w:val="auto"/>
              </w:rPr>
            </w:pPr>
            <w:r>
              <w:rPr>
                <w:rFonts w:ascii="Arial" w:cs="Arial" w:eastAsia="Arial" w:hAnsi="Arial"/>
                <w:sz w:val="18"/>
                <w:szCs w:val="18"/>
                <w:i w:val="1"/>
                <w:iCs w:val="1"/>
                <w:color w:val="auto"/>
                <w:w w:val="93"/>
              </w:rPr>
              <w:t>(Audited)</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gridSpan w:val="4"/>
            <w:shd w:val="clear" w:color="auto" w:fill="CCEEFF"/>
          </w:tcPr>
          <w:p>
            <w:pPr>
              <w:jc w:val="center"/>
              <w:ind w:right="50"/>
              <w:spacing w:after="0"/>
              <w:rPr>
                <w:sz w:val="20"/>
                <w:szCs w:val="20"/>
                <w:color w:val="auto"/>
              </w:rPr>
            </w:pPr>
            <w:r>
              <w:rPr>
                <w:rFonts w:ascii="Arial" w:cs="Arial" w:eastAsia="Arial" w:hAnsi="Arial"/>
                <w:sz w:val="18"/>
                <w:szCs w:val="18"/>
                <w:i w:val="1"/>
                <w:iCs w:val="1"/>
                <w:color w:val="auto"/>
                <w:w w:val="91"/>
              </w:rPr>
              <w:t>(All amounts in thousands)</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11,402</w:t>
            </w:r>
          </w:p>
        </w:tc>
      </w:tr>
      <w:tr>
        <w:trPr>
          <w:trHeight w:val="229"/>
        </w:trPr>
        <w:tc>
          <w:tcPr>
            <w:tcW w:w="7900" w:type="dxa"/>
            <w:vAlign w:val="bottom"/>
          </w:tcPr>
          <w:p>
            <w:pPr>
              <w:ind w:left="200"/>
              <w:spacing w:after="0"/>
              <w:rPr>
                <w:sz w:val="20"/>
                <w:szCs w:val="20"/>
                <w:color w:val="auto"/>
              </w:rPr>
            </w:pPr>
            <w:r>
              <w:rPr>
                <w:rFonts w:ascii="Arial" w:cs="Arial" w:eastAsia="Arial" w:hAnsi="Arial"/>
                <w:sz w:val="18"/>
                <w:szCs w:val="18"/>
                <w:color w:val="auto"/>
              </w:rPr>
              <w:t>Trade accounts receivable, net of allowance for doubtful accounts of $328 in 2015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and $111 in 2014</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9,640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9,678</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6,469</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3,415</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236</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31,462</w:t>
            </w:r>
          </w:p>
        </w:tc>
      </w:tr>
      <w:tr>
        <w:trPr>
          <w:trHeight w:val="324"/>
        </w:trPr>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Security deposit</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r>
      <w:tr>
        <w:trPr>
          <w:trHeight w:val="297"/>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38,933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34,027</w:t>
            </w:r>
          </w:p>
        </w:tc>
      </w:tr>
      <w:tr>
        <w:trPr>
          <w:trHeight w:val="311"/>
        </w:trPr>
        <w:tc>
          <w:tcPr>
            <w:tcW w:w="7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396</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1,631</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Current portion of deferred license fees</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2,471</w:t>
            </w:r>
          </w:p>
        </w:tc>
      </w:tr>
      <w:tr>
        <w:trPr>
          <w:trHeight w:val="230"/>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Deferred license fees, net of current portion</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r>
      <w:tr>
        <w:trPr>
          <w:trHeight w:val="230"/>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9)</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0"/>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100"/>
              <w:spacing w:after="0"/>
              <w:rPr>
                <w:sz w:val="20"/>
                <w:szCs w:val="20"/>
                <w:color w:val="auto"/>
              </w:rPr>
            </w:pPr>
            <w:r>
              <w:rPr>
                <w:rFonts w:ascii="Arial" w:cs="Arial" w:eastAsia="Arial" w:hAnsi="Arial"/>
                <w:sz w:val="18"/>
                <w:szCs w:val="18"/>
                <w:color w:val="auto"/>
                <w:w w:val="92"/>
              </w:rPr>
              <w:t>Common stock; $0.001 par value; 20,000 authorized shares; 7,424 shares issued and outstanding in 2015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and 7,455 shares issued and outstanding in 2014</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14,131</w:t>
            </w:r>
          </w:p>
        </w:tc>
      </w:tr>
      <w:tr>
        <w:trPr>
          <w:trHeight w:val="243"/>
        </w:trPr>
        <w:tc>
          <w:tcPr>
            <w:tcW w:w="7900" w:type="dxa"/>
            <w:vAlign w:val="bottom"/>
          </w:tcPr>
          <w:p>
            <w:pPr>
              <w:ind w:left="200"/>
              <w:spacing w:after="0"/>
              <w:rPr>
                <w:sz w:val="20"/>
                <w:szCs w:val="20"/>
                <w:color w:val="auto"/>
              </w:rPr>
            </w:pPr>
            <w:r>
              <w:rPr>
                <w:rFonts w:ascii="Arial" w:cs="Arial" w:eastAsia="Arial" w:hAnsi="Arial"/>
                <w:sz w:val="18"/>
                <w:szCs w:val="18"/>
                <w:color w:val="auto"/>
              </w:rPr>
              <w:t>Notes receivable - officer</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(2,862)</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13,028</w:t>
            </w:r>
          </w:p>
        </w:tc>
      </w:tr>
      <w:tr>
        <w:trPr>
          <w:trHeight w:val="237"/>
        </w:trPr>
        <w:tc>
          <w:tcPr>
            <w:tcW w:w="7900" w:type="dxa"/>
            <w:vAlign w:val="bottom"/>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26,882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24,304</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6,894</w:t>
            </w: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Total Equity</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34,337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31,198</w:t>
            </w:r>
          </w:p>
        </w:tc>
      </w:tr>
      <w:tr>
        <w:trPr>
          <w:trHeight w:val="27"/>
        </w:trPr>
        <w:tc>
          <w:tcPr>
            <w:tcW w:w="7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34,027</w:t>
            </w: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22"/>
          <w:szCs w:val="22"/>
          <w:i w:val="1"/>
          <w:iCs w:val="1"/>
          <w:color w:val="auto"/>
        </w:rPr>
        <w:t>See accompanying notes.</w:t>
      </w:r>
    </w:p>
    <w:p>
      <w:pPr>
        <w:sectPr>
          <w:pgSz w:w="11900" w:h="16838" w:orient="portrait"/>
          <w:cols w:equalWidth="0" w:num="1">
            <w:col w:w="11420"/>
          </w:cols>
          <w:pgMar w:left="240" w:top="591" w:right="239" w:bottom="1440" w:gutter="0" w:footer="0" w:header="0"/>
        </w:sectPr>
      </w:pPr>
    </w:p>
    <w:p>
      <w:pPr>
        <w:spacing w:after="0" w:line="14"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91" w:right="2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Condensed Consolidated Statements of Income and Comprehensive Income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3"/>
              </w:rPr>
              <w:t>Quarter Ended March 31,</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2014</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3"/>
          </w:tcPr>
          <w:p>
            <w:pPr>
              <w:jc w:val="center"/>
              <w:ind w:left="550"/>
              <w:spacing w:after="0"/>
              <w:rPr>
                <w:sz w:val="20"/>
                <w:szCs w:val="20"/>
                <w:color w:val="auto"/>
              </w:rPr>
            </w:pPr>
            <w:r>
              <w:rPr>
                <w:rFonts w:ascii="Arial" w:cs="Arial" w:eastAsia="Arial" w:hAnsi="Arial"/>
                <w:sz w:val="18"/>
                <w:szCs w:val="18"/>
                <w:i w:val="1"/>
                <w:iCs w:val="1"/>
                <w:color w:val="auto"/>
                <w:w w:val="93"/>
              </w:rPr>
              <w:t>(Unaudited)</w:t>
            </w:r>
          </w:p>
        </w:tc>
        <w:tc>
          <w:tcPr>
            <w:tcW w:w="840" w:type="dxa"/>
            <w:vAlign w:val="bottom"/>
          </w:tcPr>
          <w:p>
            <w:pPr>
              <w:spacing w:after="0"/>
              <w:rPr>
                <w:sz w:val="20"/>
                <w:szCs w:val="20"/>
                <w:color w:val="auto"/>
              </w:rPr>
            </w:pP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4"/>
          </w:tcPr>
          <w:p>
            <w:pPr>
              <w:spacing w:after="0"/>
              <w:rPr>
                <w:sz w:val="2"/>
                <w:szCs w:val="2"/>
                <w:color w:val="auto"/>
              </w:rPr>
            </w:pPr>
          </w:p>
        </w:tc>
      </w:tr>
      <w:tr>
        <w:trPr>
          <w:trHeight w:val="237"/>
        </w:trPr>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4"/>
          </w:tcPr>
          <w:p>
            <w:pPr>
              <w:jc w:val="center"/>
              <w:ind w:right="90"/>
              <w:spacing w:after="0"/>
              <w:rPr>
                <w:sz w:val="20"/>
                <w:szCs w:val="20"/>
                <w:color w:val="auto"/>
              </w:rPr>
            </w:pPr>
            <w:r>
              <w:rPr>
                <w:rFonts w:ascii="Arial" w:cs="Arial" w:eastAsia="Arial" w:hAnsi="Arial"/>
                <w:sz w:val="18"/>
                <w:szCs w:val="18"/>
                <w:i w:val="1"/>
                <w:iCs w:val="1"/>
                <w:color w:val="auto"/>
                <w:w w:val="91"/>
              </w:rPr>
              <w:t>(All amounts in thousands)</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16,634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15,636</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Royalty income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License fee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15,723</w:t>
            </w:r>
          </w:p>
        </w:tc>
      </w:tr>
      <w:tr>
        <w:trPr>
          <w:trHeight w:val="324"/>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15,067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14,157</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2,441</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9,363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9,086</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18"/>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5,071</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24"/>
        </w:trPr>
        <w:tc>
          <w:tcPr>
            <w:tcW w:w="8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income and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43"/>
        </w:trPr>
        <w:tc>
          <w:tcPr>
            <w:tcW w:w="880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318"/>
        </w:trPr>
        <w:tc>
          <w:tcPr>
            <w:tcW w:w="88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1,913</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962</w:t>
            </w:r>
          </w:p>
        </w:tc>
      </w:tr>
      <w:tr>
        <w:trPr>
          <w:trHeight w:val="251"/>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controlling interest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11"/>
        </w:trPr>
        <w:tc>
          <w:tcPr>
            <w:tcW w:w="8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3,174</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3,174</w:t>
            </w: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ectPr>
          <w:pgSz w:w="11900" w:h="16838" w:orient="portrait"/>
          <w:cols w:equalWidth="0" w:num="1">
            <w:col w:w="11420"/>
          </w:cols>
          <w:pgMar w:left="240" w:top="591"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91" w:right="239" w:bottom="1440" w:gutter="0" w:footer="0" w:header="0"/>
          <w:type w:val="continuous"/>
        </w:sectPr>
      </w:pPr>
    </w:p>
    <w:bookmarkStart w:id="89" w:name="page90"/>
    <w:bookmarkEnd w:id="89"/>
    <w:p>
      <w:pPr>
        <w:jc w:val="center"/>
        <w:ind w:left="3460"/>
        <w:spacing w:after="0"/>
        <w:rPr>
          <w:sz w:val="20"/>
          <w:szCs w:val="20"/>
          <w:color w:val="auto"/>
        </w:rPr>
      </w:pPr>
      <w:r>
        <w:rPr>
          <w:rFonts w:ascii="Arial" w:cs="Arial" w:eastAsia="Arial" w:hAnsi="Arial"/>
          <w:sz w:val="22"/>
          <w:szCs w:val="22"/>
          <w:color w:val="auto"/>
        </w:rPr>
        <w:t>TEI Bioscienes Inc. and Subsidiary</w:t>
      </w:r>
    </w:p>
    <w:p>
      <w:pPr>
        <w:spacing w:after="0" w:line="22" w:lineRule="exact"/>
        <w:rPr>
          <w:sz w:val="20"/>
          <w:szCs w:val="20"/>
          <w:color w:val="auto"/>
        </w:rPr>
      </w:pPr>
    </w:p>
    <w:p>
      <w:pPr>
        <w:jc w:val="center"/>
        <w:ind w:left="3460"/>
        <w:spacing w:after="0"/>
        <w:rPr>
          <w:sz w:val="20"/>
          <w:szCs w:val="20"/>
          <w:color w:val="auto"/>
        </w:rPr>
      </w:pPr>
      <w:r>
        <w:rPr>
          <w:rFonts w:ascii="Arial" w:cs="Arial" w:eastAsia="Arial" w:hAnsi="Arial"/>
          <w:sz w:val="19"/>
          <w:szCs w:val="19"/>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Stock-based compensation expense for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Excess tax benefit and deductions from stock-based compensation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Deferred rent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Trade Accounts receivable</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Deferred license fees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INVESTING ACTIVITIES: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Payment of dividends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Repurchase and retirement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received from exercise of stock options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Excess tax benefit and deductions from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(decrease) increase in cash and cash equivalents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end of period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Quarter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17322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2014</w:t>
            </w:r>
          </w:p>
        </w:tc>
      </w:tr>
      <w:tr>
        <w:trPr>
          <w:trHeight w:val="27"/>
        </w:trPr>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i w:val="1"/>
                <w:iCs w:val="1"/>
                <w:color w:val="auto"/>
              </w:rPr>
              <w:t>(Unaudited)</w:t>
            </w:r>
          </w:p>
        </w:tc>
        <w:tc>
          <w:tcPr>
            <w:tcW w:w="860" w:type="dxa"/>
            <w:vAlign w:val="bottom"/>
          </w:tcPr>
          <w:p>
            <w:pPr>
              <w:spacing w:after="0"/>
              <w:rPr>
                <w:sz w:val="20"/>
                <w:szCs w:val="20"/>
                <w:color w:val="auto"/>
              </w:rPr>
            </w:pPr>
          </w:p>
        </w:tc>
      </w:tr>
      <w:tr>
        <w:trPr>
          <w:trHeight w:val="27"/>
        </w:trPr>
        <w:tc>
          <w:tcPr>
            <w:tcW w:w="26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2460" w:type="dxa"/>
            <w:vAlign w:val="bottom"/>
            <w:gridSpan w:val="4"/>
          </w:tcPr>
          <w:p>
            <w:pPr>
              <w:jc w:val="right"/>
              <w:ind w:right="290"/>
              <w:spacing w:after="0"/>
              <w:rPr>
                <w:sz w:val="20"/>
                <w:szCs w:val="20"/>
                <w:color w:val="auto"/>
              </w:rPr>
            </w:pPr>
            <w:r>
              <w:rPr>
                <w:rFonts w:ascii="Arial" w:cs="Arial" w:eastAsia="Arial" w:hAnsi="Arial"/>
                <w:sz w:val="18"/>
                <w:szCs w:val="18"/>
                <w:i w:val="1"/>
                <w:iCs w:val="1"/>
                <w:color w:val="auto"/>
                <w:w w:val="96"/>
              </w:rPr>
              <w:t>(All amounts in thousands)</w:t>
            </w:r>
          </w:p>
        </w:tc>
      </w:tr>
      <w:tr>
        <w:trPr>
          <w:trHeight w:val="270"/>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3,174</w:t>
            </w:r>
          </w:p>
        </w:tc>
      </w:tr>
      <w:tr>
        <w:trPr>
          <w:trHeight w:val="540"/>
        </w:trPr>
        <w:tc>
          <w:tcPr>
            <w:tcW w:w="26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0"/>
        </w:trPr>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102</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540"/>
        </w:trPr>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1,563</w:t>
            </w:r>
          </w:p>
        </w:tc>
      </w:tr>
      <w:tr>
        <w:trPr>
          <w:trHeight w:val="270"/>
        </w:trPr>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70"/>
        </w:trPr>
        <w:tc>
          <w:tcPr>
            <w:tcW w:w="2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1,567</w:t>
            </w: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7,530</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3,012</w:t>
            </w:r>
          </w:p>
        </w:tc>
      </w:tr>
      <w:tr>
        <w:trPr>
          <w:trHeight w:val="27"/>
        </w:trPr>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left="2280" w:hanging="1380"/>
        <w:spacing w:after="0"/>
        <w:tabs>
          <w:tab w:leader="none" w:pos="2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(177)</w:t>
      </w:r>
    </w:p>
    <w:p>
      <w:pPr>
        <w:spacing w:after="0" w:line="77" w:lineRule="exact"/>
        <w:rPr>
          <w:sz w:val="20"/>
          <w:szCs w:val="20"/>
          <w:color w:val="auto"/>
        </w:rPr>
      </w:pPr>
    </w:p>
    <w:p>
      <w:pPr>
        <w:ind w:left="2280" w:hanging="1380"/>
        <w:spacing w:after="0"/>
        <w:tabs>
          <w:tab w:leader="none" w:pos="2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7322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(5,839)</w:t>
      </w:r>
    </w:p>
    <w:p>
      <w:pPr>
        <w:spacing w:after="0" w:line="63" w:lineRule="exact"/>
        <w:rPr>
          <w:sz w:val="20"/>
          <w:szCs w:val="20"/>
          <w:color w:val="auto"/>
        </w:rPr>
      </w:pPr>
    </w:p>
    <w:p>
      <w:pPr>
        <w:ind w:left="2440" w:hanging="1630"/>
        <w:spacing w:after="0"/>
        <w:tabs>
          <w:tab w:leader="none" w:pos="2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142</w:t>
      </w:r>
    </w:p>
    <w:p>
      <w:pPr>
        <w:spacing w:after="0" w:line="63" w:lineRule="exact"/>
        <w:rPr>
          <w:sz w:val="20"/>
          <w:szCs w:val="20"/>
          <w:color w:val="auto"/>
        </w:rPr>
      </w:pPr>
    </w:p>
    <w:p>
      <w:pPr>
        <w:ind w:left="2440" w:hanging="1390"/>
        <w:spacing w:after="0"/>
        <w:tabs>
          <w:tab w:leader="none" w:pos="2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78</w:t>
      </w:r>
    </w:p>
    <w:p>
      <w:pPr>
        <w:spacing w:after="0" w:line="77" w:lineRule="exact"/>
        <w:rPr>
          <w:sz w:val="20"/>
          <w:szCs w:val="20"/>
          <w:color w:val="auto"/>
        </w:rPr>
      </w:pPr>
    </w:p>
    <w:p>
      <w:pPr>
        <w:ind w:left="2140" w:hanging="1330"/>
        <w:spacing w:after="0"/>
        <w:tabs>
          <w:tab w:leader="none" w:pos="2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17322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(2,784)</w:t>
            </w:r>
          </w:p>
        </w:tc>
      </w:tr>
      <w:tr>
        <w:trPr>
          <w:trHeight w:val="270"/>
        </w:trPr>
        <w:tc>
          <w:tcPr>
            <w:tcW w:w="38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11,402</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22,669</w:t>
            </w:r>
          </w:p>
        </w:tc>
      </w:tr>
      <w:tr>
        <w:trPr>
          <w:trHeight w:val="27"/>
        </w:trPr>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18,404</w:t>
            </w:r>
          </w:p>
        </w:tc>
        <w:tc>
          <w:tcPr>
            <w:tcW w:w="2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19,885</w:t>
            </w:r>
          </w:p>
        </w:tc>
      </w:tr>
      <w:tr>
        <w:trPr>
          <w:trHeight w:val="27"/>
        </w:trPr>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2">
            <w:col w:w="7980" w:space="720"/>
            <w:col w:w="2720"/>
          </w:cols>
          <w:pgMar w:left="240" w:top="59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Operations</w:t>
      </w:r>
    </w:p>
    <w:p>
      <w:pPr>
        <w:spacing w:after="0" w:line="253"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TEI Biosciences Inc. (the Company) is a biomedical company developing, manufacturing, marketing, and selling biologic devices for the repair, reinforcement, or reconstruction of human tissues that have failed due to aging, injury or disease. TEI Medical Inc. (TEI Medical) is a biomedical company developing, marketing, and selling biologic devices for the repair, reinforcement, or reconstruction of human tissues that have failed due to aging, injury or disease.</w:t>
      </w:r>
    </w:p>
    <w:p>
      <w:pPr>
        <w:spacing w:after="0" w:line="20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Company has developed a family of collagen-based soft tissue repair products that have been cleared by the United States Food and Drug Administration for use in a broad spectrum of tissue repair applications. The Company’s principal sales and marketing partners include Medtronic Neurosurgery for Durepair® and Boston Scientific for Xenform®. The Company also sells SurgiMend® in the U.S. through its sales force and in certain foreign countries through a network of independent agents. TEI Medical’s principal sales and marketing partners include Stryker Orthopaedics (Stryker) for TissueMend®. TEI Medical also sells PriMatrix® in the U.S. through its sales force and in certain foreign countries through a network of independent agents.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Principles of Consolidation and Variable-Interest Entity (VIE)</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consolidated financial statements include the accounts of TEI Biosciences Inc. and its 100% wholly owned subsidiary, TEI Biosciences (UK) Limited and include the accounts of TEI Medical which was determined to be a VIE to which the Company is the primary beneficiary. All significant intercompany accounts and transactions between the Company, TEI Biosciences (UK) Limited, and TEI Medical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p>
      <w:pPr>
        <w:ind w:left="20" w:right="6020" w:hanging="12"/>
        <w:spacing w:after="0" w:line="476" w:lineRule="auto"/>
        <w:tabs>
          <w:tab w:leader="none" w:pos="223"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Use of Estimates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The preparation of consolidated financial statements in conformity with U.S. generally accepted accounting principles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Cash Equivalents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considers all highly liquid investments with an original maturity of three months or less at the date of purchase to be cash equivalents. Cash equivalents consist of money market funds totaling $12,219 and $3,545 at March 31, 2015 and December 31, 2014, respectively.</w:t>
      </w:r>
    </w:p>
    <w:p>
      <w:pPr>
        <w:spacing w:after="0" w:line="213"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Investments with maturities in excess of three months but less than one year are either classified as held-to-maturity securities or available for sale. Management determines the appropriate classification of debt securities at the time of purchase, and reevaluates such designation as of each balance sheet date. Debt securities are classified as held to maturity when the Company has the positive intent and ability to hold the securities to maturity. Held-to-maturity securities are stated at amortized cost, adjusted for amortization of premiums and accretion of discounts to maturity computed under the effective-interest method. Such amortization is included in interest income. Interest on securities classified as held to maturity is included in interest income.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Trade Accounts Receivable and Allowance for Doubtful Accounts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carries its receivables at invoiced amounts less an allowance for doubtful accounts. The Company provides for an allowance for doubtful accounts based on management’s periodic review for recoverability of accounts receivable of its customers, as well as history of past write-offs, collections and current credit conditions.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Company’s policy is not to accrue interest on past-due trade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66" w:lineRule="exact"/>
        <w:rPr>
          <w:sz w:val="20"/>
          <w:szCs w:val="20"/>
          <w:color w:val="auto"/>
        </w:rPr>
      </w:pPr>
    </w:p>
    <w:p>
      <w:pPr>
        <w:ind w:left="20" w:right="6020" w:firstLine="2"/>
        <w:spacing w:after="0" w:line="470" w:lineRule="auto"/>
        <w:tabs>
          <w:tab w:leader="none" w:pos="236"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Inventories</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Inventories are stated at the lower of cost or market value, with cost being determined on a first-in, first-out basis. Inventories consist of raw materials, work in process, and finished goods. Raw material includes unprocessed raw animal skins on hand, chemicals used for processing raw animal skins, and miscellaneous purchased components. Work in process includes: (a) processed animal skins before and after lyophilization, but before cutting; (b) lyophilized material cut and ready for sterilization; and</w:t>
      </w:r>
    </w:p>
    <w:p>
      <w:pPr>
        <w:spacing w:after="0" w:line="3" w:lineRule="exact"/>
        <w:rPr>
          <w:sz w:val="20"/>
          <w:szCs w:val="20"/>
          <w:color w:val="auto"/>
        </w:rPr>
      </w:pPr>
    </w:p>
    <w:p>
      <w:pPr>
        <w:jc w:val="both"/>
        <w:ind w:firstLine="8"/>
        <w:spacing w:after="0" w:line="288" w:lineRule="auto"/>
        <w:tabs>
          <w:tab w:leader="none" w:pos="324" w:val="left"/>
        </w:tabs>
        <w:numPr>
          <w:ilvl w:val="0"/>
          <w:numId w:val="53"/>
        </w:numPr>
        <w:rPr>
          <w:rFonts w:ascii="Arial" w:cs="Arial" w:eastAsia="Arial" w:hAnsi="Arial"/>
          <w:sz w:val="19"/>
          <w:szCs w:val="19"/>
          <w:color w:val="auto"/>
        </w:rPr>
      </w:pPr>
      <w:r>
        <w:rPr>
          <w:rFonts w:ascii="Arial" w:cs="Arial" w:eastAsia="Arial" w:hAnsi="Arial"/>
          <w:sz w:val="19"/>
          <w:szCs w:val="19"/>
          <w:color w:val="auto"/>
        </w:rPr>
        <w:t>sterilized material, but before final packaging. Finished goods represent packaged product available to be shipped to fulfill customer orders. At each balance sheet date, the Company assesses the need to record a provision for excess and obsolete inventory based on the evaluation of inventories for excess quantities, obsolescence or shelf-life expiration. This evaluation includes analyses of historical sales levels by product, projections of future demand, new product launches, the risk of technological or competitive obsolescence for products, general market conditions, and a review of the shelf-life expiration dates for products, as well as the feasibility of reworking or using excess or obsolete products or components in the production or assembly of other products that are not obsolete, or for which there are not excess quantities in inventory. Any such provisions are recorded as cost of sales.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Property and Equipment</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Property and equipment are recorded at cost and depreciated over the estimated useful life of the asset using the straight-line method. Details of the components of property and equipment are as follows: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2,165</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Furniture and laboratory equipment</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Equipment under lease obligations</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r>
      <w:tr>
        <w:trPr>
          <w:trHeight w:val="237"/>
        </w:trPr>
        <w:tc>
          <w:tcPr>
            <w:tcW w:w="8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5,931</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5,905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r>
      <w:tr>
        <w:trPr>
          <w:trHeight w:val="237"/>
        </w:trPr>
        <w:tc>
          <w:tcPr>
            <w:tcW w:w="8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1,346</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1,385</w:t>
            </w:r>
          </w:p>
        </w:tc>
      </w:tr>
      <w:tr>
        <w:trPr>
          <w:trHeight w:val="27"/>
        </w:trPr>
        <w:tc>
          <w:tcPr>
            <w:tcW w:w="8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371" w:lineRule="exact"/>
        <w:rPr>
          <w:sz w:val="20"/>
          <w:szCs w:val="20"/>
          <w:color w:val="auto"/>
        </w:rPr>
      </w:pPr>
    </w:p>
    <w:p>
      <w:pPr>
        <w:ind w:left="20" w:right="6020" w:firstLine="2"/>
        <w:spacing w:after="0" w:line="457" w:lineRule="auto"/>
        <w:tabs>
          <w:tab w:leader="none" w:pos="236"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Property and Equipment (continued)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estimated useful life of various assets is as follows: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ind w:left="2120"/>
              <w:spacing w:after="0"/>
              <w:rPr>
                <w:sz w:val="20"/>
                <w:szCs w:val="20"/>
                <w:color w:val="auto"/>
              </w:rPr>
            </w:pPr>
            <w:r>
              <w:rPr>
                <w:rFonts w:ascii="Arial" w:cs="Arial" w:eastAsia="Arial" w:hAnsi="Arial"/>
                <w:sz w:val="18"/>
                <w:szCs w:val="18"/>
                <w:b w:val="1"/>
                <w:bCs w:val="1"/>
                <w:color w:val="auto"/>
              </w:rPr>
              <w:t>Asset Classification</w:t>
            </w:r>
          </w:p>
        </w:tc>
        <w:tc>
          <w:tcPr>
            <w:tcW w:w="6160" w:type="dxa"/>
            <w:vAlign w:val="bottom"/>
          </w:tcPr>
          <w:p>
            <w:pPr>
              <w:jc w:val="center"/>
              <w:ind w:left="370"/>
              <w:spacing w:after="0"/>
              <w:rPr>
                <w:sz w:val="20"/>
                <w:szCs w:val="20"/>
                <w:color w:val="auto"/>
              </w:rPr>
            </w:pPr>
            <w:r>
              <w:rPr>
                <w:rFonts w:ascii="Arial" w:cs="Arial" w:eastAsia="Arial" w:hAnsi="Arial"/>
                <w:sz w:val="18"/>
                <w:szCs w:val="18"/>
                <w:b w:val="1"/>
                <w:bCs w:val="1"/>
                <w:color w:val="auto"/>
                <w:w w:val="90"/>
              </w:rPr>
              <w:t>Estimated Useful Life</w:t>
            </w:r>
          </w:p>
        </w:tc>
      </w:tr>
      <w:tr>
        <w:trPr>
          <w:trHeight w:val="27"/>
        </w:trPr>
        <w:tc>
          <w:tcPr>
            <w:tcW w:w="526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r>
        <w:trPr>
          <w:trHeight w:val="331"/>
        </w:trPr>
        <w:tc>
          <w:tcPr>
            <w:tcW w:w="5260" w:type="dxa"/>
            <w:vAlign w:val="bottom"/>
          </w:tcPr>
          <w:p>
            <w:pPr>
              <w:spacing w:after="0"/>
              <w:rPr>
                <w:sz w:val="24"/>
                <w:szCs w:val="24"/>
                <w:color w:val="auto"/>
              </w:rPr>
            </w:pPr>
          </w:p>
        </w:tc>
        <w:tc>
          <w:tcPr>
            <w:tcW w:w="61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616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92"/>
              </w:rPr>
              <w:t>Shorter of remaining life of lease or useful life</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Furniture and laboratory equipment</w:t>
            </w:r>
          </w:p>
        </w:tc>
        <w:tc>
          <w:tcPr>
            <w:tcW w:w="6160" w:type="dxa"/>
            <w:vAlign w:val="bottom"/>
          </w:tcPr>
          <w:p>
            <w:pPr>
              <w:jc w:val="center"/>
              <w:ind w:left="370"/>
              <w:spacing w:after="0"/>
              <w:rPr>
                <w:sz w:val="20"/>
                <w:szCs w:val="20"/>
                <w:color w:val="auto"/>
              </w:rPr>
            </w:pPr>
            <w:r>
              <w:rPr>
                <w:rFonts w:ascii="Arial" w:cs="Arial" w:eastAsia="Arial" w:hAnsi="Arial"/>
                <w:sz w:val="18"/>
                <w:szCs w:val="18"/>
                <w:color w:val="auto"/>
                <w:w w:val="84"/>
              </w:rPr>
              <w:t>7 years</w:t>
            </w:r>
          </w:p>
        </w:tc>
      </w:tr>
      <w:tr>
        <w:trPr>
          <w:trHeight w:val="27"/>
        </w:trPr>
        <w:tc>
          <w:tcPr>
            <w:tcW w:w="5260" w:type="dxa"/>
            <w:vAlign w:val="bottom"/>
          </w:tcPr>
          <w:p>
            <w:pPr>
              <w:spacing w:after="0"/>
              <w:rPr>
                <w:sz w:val="2"/>
                <w:szCs w:val="2"/>
                <w:color w:val="auto"/>
              </w:rPr>
            </w:pPr>
          </w:p>
        </w:tc>
        <w:tc>
          <w:tcPr>
            <w:tcW w:w="61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and office equipment</w:t>
            </w:r>
          </w:p>
        </w:tc>
        <w:tc>
          <w:tcPr>
            <w:tcW w:w="6160" w:type="dxa"/>
            <w:vAlign w:val="bottom"/>
            <w:tcBorders>
              <w:bottom w:val="single" w:sz="8" w:color="CCEEFF"/>
            </w:tcBorders>
            <w:shd w:val="clear" w:color="auto" w:fill="CCEEFF"/>
          </w:tcPr>
          <w:p>
            <w:pPr>
              <w:jc w:val="center"/>
              <w:ind w:left="370"/>
              <w:spacing w:after="0"/>
              <w:rPr>
                <w:sz w:val="20"/>
                <w:szCs w:val="20"/>
                <w:color w:val="auto"/>
              </w:rPr>
            </w:pPr>
            <w:r>
              <w:rPr>
                <w:rFonts w:ascii="Arial" w:cs="Arial" w:eastAsia="Arial" w:hAnsi="Arial"/>
                <w:sz w:val="18"/>
                <w:szCs w:val="18"/>
                <w:color w:val="auto"/>
                <w:w w:val="84"/>
              </w:rPr>
              <w:t>4 years</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Motor vehicles</w:t>
            </w:r>
          </w:p>
        </w:tc>
        <w:tc>
          <w:tcPr>
            <w:tcW w:w="6160" w:type="dxa"/>
            <w:vAlign w:val="bottom"/>
          </w:tcPr>
          <w:p>
            <w:pPr>
              <w:jc w:val="center"/>
              <w:ind w:left="370"/>
              <w:spacing w:after="0"/>
              <w:rPr>
                <w:sz w:val="20"/>
                <w:szCs w:val="20"/>
                <w:color w:val="auto"/>
              </w:rPr>
            </w:pPr>
            <w:r>
              <w:rPr>
                <w:rFonts w:ascii="Arial" w:cs="Arial" w:eastAsia="Arial" w:hAnsi="Arial"/>
                <w:sz w:val="18"/>
                <w:szCs w:val="18"/>
                <w:color w:val="auto"/>
                <w:w w:val="84"/>
              </w:rPr>
              <w:t>4 years</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Repairs and maintenance costs are charged to expense as incurred.</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Revenue Recognition</w:t>
      </w:r>
    </w:p>
    <w:p>
      <w:pPr>
        <w:spacing w:after="0" w:line="25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License fees, where the Company has an ongoing involvement or performance obligation, are generally recorded as deferred revenue in the consolidated balance sheet and amortized into license fee revenue in the consolidated income statement over the term of the performance obligation. The Company also recognizes revenues from royalties, which are recognized as earned on an accrual basis.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Company recognizes revenue from product sales to its marketing partners and sales directly to end customers upon shipment, provided that there is evidence of a final arrangement, passage of title and risk of loss, there are no uncertainties surrounding acceptance, collectability is probable, and the price is fixed or determinable. The Company recognizes revenue from product sales through its sales force and independent agents upon delivery to the end customer provided that there is evidence of a final arrangement, passage of title and risk of loss, there are no uncertainties surrounding acceptance, collectability is probable, and the price is fixed or determinable. Amounts billed to customers for shipping and handling is included in revenue at the time the related product revenue is recognized. Shipping and handling costs included in sales and marketing expenses amounted to $70 and $78 for the quarters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3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59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p>
      <w:pPr>
        <w:ind w:right="6020" w:firstLine="22"/>
        <w:spacing w:after="0" w:line="552" w:lineRule="auto"/>
        <w:tabs>
          <w:tab w:leader="none" w:pos="230" w:val="left"/>
        </w:tabs>
        <w:numPr>
          <w:ilvl w:val="0"/>
          <w:numId w:val="55"/>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 (continued) Concentrations of Credit Risk and Significant Customers</w:t>
      </w:r>
    </w:p>
    <w:p>
      <w:pPr>
        <w:jc w:val="both"/>
        <w:spacing w:after="0" w:line="253" w:lineRule="auto"/>
        <w:rPr>
          <w:sz w:val="20"/>
          <w:szCs w:val="20"/>
          <w:color w:val="auto"/>
        </w:rPr>
      </w:pPr>
      <w:r>
        <w:rPr>
          <w:rFonts w:ascii="Arial" w:cs="Arial" w:eastAsia="Arial" w:hAnsi="Arial"/>
          <w:sz w:val="22"/>
          <w:szCs w:val="22"/>
          <w:color w:val="auto"/>
        </w:rPr>
        <w:t>The Company has no financial instruments with off-balance sheet risk. The Company invests its cash and cash equivalents in financial institutions that federally insure up to $250 of deposits. At March 31, 2015, such amounts were in excess of FDIC limits by approximately $18,218.</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Foreign Currency Translation and Transactions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financial statements of the Company’s United Kingdom subsidiary, TEI Biosciences (UK) Limited, are measured using the Great Britain Pound (GBP) as the functional currency. Assets and liabilities of this subsidiary are translated at the rate of exchange in effect at the balance sheet date. Income and expense items are translated at the average daily rate of exchange during the reporting period. Resulting gains or losses are recognized as a component of other comprehensive income (loss), but have not been material to date.</w:t>
      </w:r>
    </w:p>
    <w:p>
      <w:pPr>
        <w:spacing w:after="0" w:line="21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Transactions denominated in currencies other than the local currency are recorded based on exchange rates at the time such transactions arise. Subsequent changes in exchange rates result in transaction gains and losses, which are reflected in income as unrealized (based on period-end translations) or realized upon settlement of the transaction. Transaction gains or losses were not material for the quarters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p>
      <w:pPr>
        <w:ind w:left="20" w:right="6080" w:hanging="12"/>
        <w:spacing w:after="0" w:line="476" w:lineRule="auto"/>
        <w:tabs>
          <w:tab w:leader="none" w:pos="223"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Polices (continued) Fair Value of Financial Instruments</w:t>
      </w:r>
    </w:p>
    <w:p>
      <w:pPr>
        <w:spacing w:after="0" w:line="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 xml:space="preserve">Accounting Standards Codification (ASC) 820 </w:t>
      </w:r>
      <w:r>
        <w:rPr>
          <w:rFonts w:ascii="Arial" w:cs="Arial" w:eastAsia="Arial" w:hAnsi="Arial"/>
          <w:sz w:val="22"/>
          <w:szCs w:val="22"/>
          <w:i w:val="1"/>
          <w:iCs w:val="1"/>
          <w:color w:val="auto"/>
        </w:rPr>
        <w:t>Fair Value Measurements and Disclosures</w:t>
      </w:r>
      <w:r>
        <w:rPr>
          <w:rFonts w:ascii="Arial" w:cs="Arial" w:eastAsia="Arial" w:hAnsi="Arial"/>
          <w:sz w:val="22"/>
          <w:szCs w:val="22"/>
          <w:color w:val="auto"/>
        </w:rPr>
        <w:t xml:space="preserve"> establishes the following fair value hierarchy for the use of observable inputs and unobservable inputs in valuing assets and liabilities:</w:t>
      </w:r>
    </w:p>
    <w:p>
      <w:pPr>
        <w:spacing w:after="0" w:line="202" w:lineRule="exact"/>
        <w:rPr>
          <w:sz w:val="20"/>
          <w:szCs w:val="20"/>
          <w:color w:val="auto"/>
        </w:rPr>
      </w:pPr>
    </w:p>
    <w:p>
      <w:pPr>
        <w:jc w:val="both"/>
        <w:ind w:left="340"/>
        <w:spacing w:after="0" w:line="253" w:lineRule="auto"/>
        <w:rPr>
          <w:sz w:val="20"/>
          <w:szCs w:val="20"/>
          <w:color w:val="auto"/>
        </w:rPr>
      </w:pPr>
      <w:r>
        <w:rPr>
          <w:rFonts w:ascii="Arial" w:cs="Arial" w:eastAsia="Arial" w:hAnsi="Arial"/>
          <w:sz w:val="22"/>
          <w:szCs w:val="22"/>
          <w:i w:val="1"/>
          <w:iCs w:val="1"/>
          <w:color w:val="auto"/>
        </w:rPr>
        <w:t>Level 1</w:t>
      </w:r>
      <w:r>
        <w:rPr>
          <w:rFonts w:ascii="Arial" w:cs="Arial" w:eastAsia="Arial" w:hAnsi="Arial"/>
          <w:sz w:val="22"/>
          <w:szCs w:val="22"/>
          <w:color w:val="auto"/>
        </w:rPr>
        <w:t>: Quoted prices in active markets for identical assets or liabilities. An active market for an asset or liability is a market in</w:t>
      </w:r>
      <w:r>
        <w:rPr>
          <w:rFonts w:ascii="Arial" w:cs="Arial" w:eastAsia="Arial" w:hAnsi="Arial"/>
          <w:sz w:val="22"/>
          <w:szCs w:val="22"/>
          <w:i w:val="1"/>
          <w:iCs w:val="1"/>
          <w:color w:val="auto"/>
        </w:rPr>
        <w:t xml:space="preserve"> </w:t>
      </w:r>
      <w:r>
        <w:rPr>
          <w:rFonts w:ascii="Arial" w:cs="Arial" w:eastAsia="Arial" w:hAnsi="Arial"/>
          <w:sz w:val="22"/>
          <w:szCs w:val="22"/>
          <w:color w:val="auto"/>
        </w:rPr>
        <w:t>which transactions for the asset or liability occur with sufficient frequency and volume to provide pricing information on an ongoing basis.</w:t>
      </w:r>
    </w:p>
    <w:p>
      <w:pPr>
        <w:spacing w:after="0" w:line="213" w:lineRule="exact"/>
        <w:rPr>
          <w:sz w:val="20"/>
          <w:szCs w:val="20"/>
          <w:color w:val="auto"/>
        </w:rPr>
      </w:pPr>
    </w:p>
    <w:p>
      <w:pPr>
        <w:jc w:val="both"/>
        <w:ind w:left="340"/>
        <w:spacing w:after="0" w:line="287" w:lineRule="auto"/>
        <w:rPr>
          <w:sz w:val="20"/>
          <w:szCs w:val="20"/>
          <w:color w:val="auto"/>
        </w:rPr>
      </w:pPr>
      <w:r>
        <w:rPr>
          <w:rFonts w:ascii="Arial" w:cs="Arial" w:eastAsia="Arial" w:hAnsi="Arial"/>
          <w:sz w:val="21"/>
          <w:szCs w:val="21"/>
          <w:i w:val="1"/>
          <w:iCs w:val="1"/>
          <w:color w:val="auto"/>
        </w:rPr>
        <w:t>Level 2</w:t>
      </w:r>
      <w:r>
        <w:rPr>
          <w:rFonts w:ascii="Arial" w:cs="Arial" w:eastAsia="Arial" w:hAnsi="Arial"/>
          <w:sz w:val="21"/>
          <w:szCs w:val="21"/>
          <w:color w:val="auto"/>
        </w:rPr>
        <w:t>: Observable inputs other than Level 1 inputs. Examples of Level 2 inputs include quoted prices in active markets for</w:t>
      </w:r>
      <w:r>
        <w:rPr>
          <w:rFonts w:ascii="Arial" w:cs="Arial" w:eastAsia="Arial" w:hAnsi="Arial"/>
          <w:sz w:val="21"/>
          <w:szCs w:val="21"/>
          <w:i w:val="1"/>
          <w:iCs w:val="1"/>
          <w:color w:val="auto"/>
        </w:rPr>
        <w:t xml:space="preserve"> </w:t>
      </w:r>
      <w:r>
        <w:rPr>
          <w:rFonts w:ascii="Arial" w:cs="Arial" w:eastAsia="Arial" w:hAnsi="Arial"/>
          <w:sz w:val="21"/>
          <w:szCs w:val="21"/>
          <w:color w:val="auto"/>
        </w:rPr>
        <w:t>similar assets or liabilities and quoted prices for identical assets or liabilities in markets that are not active.</w:t>
      </w:r>
    </w:p>
    <w:p>
      <w:pPr>
        <w:spacing w:after="0" w:line="179" w:lineRule="exact"/>
        <w:rPr>
          <w:sz w:val="20"/>
          <w:szCs w:val="20"/>
          <w:color w:val="auto"/>
        </w:rPr>
      </w:pPr>
    </w:p>
    <w:p>
      <w:pPr>
        <w:jc w:val="both"/>
        <w:ind w:left="340"/>
        <w:spacing w:after="0" w:line="263" w:lineRule="auto"/>
        <w:rPr>
          <w:sz w:val="20"/>
          <w:szCs w:val="20"/>
          <w:color w:val="auto"/>
        </w:rPr>
      </w:pPr>
      <w:r>
        <w:rPr>
          <w:rFonts w:ascii="Arial" w:cs="Arial" w:eastAsia="Arial" w:hAnsi="Arial"/>
          <w:sz w:val="22"/>
          <w:szCs w:val="22"/>
          <w:i w:val="1"/>
          <w:iCs w:val="1"/>
          <w:color w:val="auto"/>
        </w:rPr>
        <w:t>Level 3</w:t>
      </w:r>
      <w:r>
        <w:rPr>
          <w:rFonts w:ascii="Arial" w:cs="Arial" w:eastAsia="Arial" w:hAnsi="Arial"/>
          <w:sz w:val="22"/>
          <w:szCs w:val="22"/>
          <w:color w:val="auto"/>
        </w:rPr>
        <w:t>: Unobservable inputs based on the Company’s assessment of the assumptions that market participants would use in</w:t>
      </w:r>
      <w:r>
        <w:rPr>
          <w:rFonts w:ascii="Arial" w:cs="Arial" w:eastAsia="Arial" w:hAnsi="Arial"/>
          <w:sz w:val="22"/>
          <w:szCs w:val="22"/>
          <w:i w:val="1"/>
          <w:iCs w:val="1"/>
          <w:color w:val="auto"/>
        </w:rPr>
        <w:t xml:space="preserve"> </w:t>
      </w:r>
      <w:r>
        <w:rPr>
          <w:rFonts w:ascii="Arial" w:cs="Arial" w:eastAsia="Arial" w:hAnsi="Arial"/>
          <w:sz w:val="22"/>
          <w:szCs w:val="22"/>
          <w:color w:val="auto"/>
        </w:rPr>
        <w:t>pricing the asset or liability.</w:t>
      </w:r>
    </w:p>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Company’s investment strategy is focused on capital preservation. The Company invests in instruments that meet credit quality standards as outlined in the Company’s investment policy guidelines. These guidelines also limit the amount of credit exposure to any one issue or type of instrument. Currently, the company’s investments are limited to money market accounts.</w:t>
      </w:r>
    </w:p>
    <w:p>
      <w:pPr>
        <w:spacing w:after="0" w:line="161"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 of March 31, 2015 and December 31, 2014, all of the Company’s financial assets that were subject to fair value measurements were valued using observable inputs, and the Company had no financial liabilities that were subject to fair value measurement. The Company’s financial assets, valued based on Level 2 inputs, consisted of money market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59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371" w:lineRule="exact"/>
        <w:rPr>
          <w:sz w:val="20"/>
          <w:szCs w:val="20"/>
          <w:color w:val="auto"/>
        </w:rPr>
      </w:pPr>
    </w:p>
    <w:p>
      <w:pPr>
        <w:ind w:left="20" w:right="6080" w:hanging="12"/>
        <w:spacing w:after="0" w:line="617" w:lineRule="auto"/>
        <w:tabs>
          <w:tab w:leader="none" w:pos="223" w:val="left"/>
        </w:tabs>
        <w:numPr>
          <w:ilvl w:val="0"/>
          <w:numId w:val="57"/>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Polices (continued) Fair Value of Financial Instruments (continued)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0" w:type="dxa"/>
            <w:vAlign w:val="bottom"/>
            <w:gridSpan w:val="11"/>
          </w:tcPr>
          <w:p>
            <w:pPr>
              <w:jc w:val="center"/>
              <w:ind w:right="10"/>
              <w:spacing w:after="0"/>
              <w:rPr>
                <w:sz w:val="20"/>
                <w:szCs w:val="20"/>
                <w:color w:val="auto"/>
              </w:rPr>
            </w:pPr>
            <w:r>
              <w:rPr>
                <w:rFonts w:ascii="Arial" w:cs="Arial" w:eastAsia="Arial" w:hAnsi="Arial"/>
                <w:sz w:val="18"/>
                <w:szCs w:val="18"/>
                <w:b w:val="1"/>
                <w:bCs w:val="1"/>
                <w:color w:val="auto"/>
                <w:w w:val="91"/>
              </w:rPr>
              <w:t>Fair Value Measurements at Reporting Date Using</w:t>
            </w:r>
          </w:p>
        </w:tc>
      </w:tr>
      <w:tr>
        <w:trPr>
          <w:trHeight w:val="27"/>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Quoted Prices in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2"/>
              </w:rPr>
              <w:t>Significant Other</w:t>
            </w: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Active Markets for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Identical 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r>
      <w:tr>
        <w:trPr>
          <w:trHeight w:val="270"/>
        </w:trPr>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0" w:type="dxa"/>
            <w:vAlign w:val="bottom"/>
            <w:gridSpan w:val="4"/>
          </w:tcPr>
          <w:p>
            <w:pPr>
              <w:jc w:val="right"/>
              <w:ind w:right="1840"/>
              <w:spacing w:after="0"/>
              <w:rPr>
                <w:sz w:val="20"/>
                <w:szCs w:val="20"/>
                <w:color w:val="auto"/>
              </w:rPr>
            </w:pPr>
            <w:r>
              <w:rPr>
                <w:rFonts w:ascii="Arial" w:cs="Arial" w:eastAsia="Arial" w:hAnsi="Arial"/>
                <w:sz w:val="18"/>
                <w:szCs w:val="18"/>
                <w:b w:val="1"/>
                <w:bCs w:val="1"/>
                <w:color w:val="auto"/>
              </w:rPr>
              <w:t>Description</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March 31, 2015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(Level 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3"/>
                <w:szCs w:val="23"/>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180" w:type="dxa"/>
            <w:vAlign w:val="bottom"/>
          </w:tcPr>
          <w:p>
            <w:pPr>
              <w:spacing w:after="0"/>
              <w:rPr>
                <w:sz w:val="23"/>
                <w:szCs w:val="23"/>
                <w:color w:val="auto"/>
              </w:rPr>
            </w:pPr>
          </w:p>
        </w:tc>
        <w:tc>
          <w:tcPr>
            <w:tcW w:w="1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2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w w:val="94"/>
              </w:rPr>
              <w:t>12,219</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0"/>
              </w:rPr>
              <w:t>12,219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37"/>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ind w:left="820"/>
              <w:spacing w:after="0"/>
              <w:rPr>
                <w:sz w:val="20"/>
                <w:szCs w:val="20"/>
                <w:color w:val="auto"/>
              </w:rPr>
            </w:pPr>
            <w:r>
              <w:rPr>
                <w:rFonts w:ascii="Arial" w:cs="Arial" w:eastAsia="Arial" w:hAnsi="Arial"/>
                <w:sz w:val="18"/>
                <w:szCs w:val="18"/>
                <w:color w:val="auto"/>
                <w:w w:val="94"/>
              </w:rPr>
              <w:t>12,219</w:t>
            </w:r>
          </w:p>
        </w:tc>
        <w:tc>
          <w:tcPr>
            <w:tcW w:w="6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gridSpan w:val="2"/>
          </w:tcPr>
          <w:p>
            <w:pPr>
              <w:ind w:left="12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center"/>
              <w:ind w:left="490"/>
              <w:spacing w:after="0"/>
              <w:rPr>
                <w:sz w:val="20"/>
                <w:szCs w:val="20"/>
                <w:color w:val="auto"/>
              </w:rPr>
            </w:pPr>
            <w:r>
              <w:rPr>
                <w:rFonts w:ascii="Arial" w:cs="Arial" w:eastAsia="Arial" w:hAnsi="Arial"/>
                <w:sz w:val="18"/>
                <w:szCs w:val="18"/>
                <w:color w:val="auto"/>
                <w:w w:val="90"/>
              </w:rPr>
              <w:t>12,219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602"/>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1"/>
          </w:tcPr>
          <w:p>
            <w:pPr>
              <w:ind w:left="380"/>
              <w:spacing w:after="0"/>
              <w:rPr>
                <w:sz w:val="20"/>
                <w:szCs w:val="20"/>
                <w:color w:val="auto"/>
              </w:rPr>
            </w:pPr>
            <w:r>
              <w:rPr>
                <w:rFonts w:ascii="Arial" w:cs="Arial" w:eastAsia="Arial" w:hAnsi="Arial"/>
                <w:sz w:val="18"/>
                <w:szCs w:val="18"/>
                <w:b w:val="1"/>
                <w:bCs w:val="1"/>
                <w:color w:val="auto"/>
              </w:rPr>
              <w:t>Fair Value Measurements at Reporting Date Using</w:t>
            </w:r>
          </w:p>
        </w:tc>
      </w:tr>
      <w:tr>
        <w:trPr>
          <w:trHeight w:val="27"/>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Quoted Prices in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0"/>
              </w:rPr>
              <w:t>Significant Other</w:t>
            </w:r>
          </w:p>
        </w:tc>
        <w:tc>
          <w:tcPr>
            <w:tcW w:w="18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Active Markets for</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9"/>
              </w:rPr>
              <w:t>Observable</w:t>
            </w:r>
          </w:p>
        </w:tc>
        <w:tc>
          <w:tcPr>
            <w:tcW w:w="180" w:type="dxa"/>
            <w:vAlign w:val="bottom"/>
          </w:tcPr>
          <w:p>
            <w:pPr>
              <w:spacing w:after="0"/>
              <w:rPr>
                <w:sz w:val="18"/>
                <w:szCs w:val="18"/>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Unobservable</w:t>
            </w:r>
          </w:p>
        </w:tc>
      </w:tr>
      <w:tr>
        <w:trPr>
          <w:trHeight w:val="234"/>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Identical Assets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2"/>
              </w:rPr>
              <w:t>Inputs</w:t>
            </w:r>
          </w:p>
        </w:tc>
        <w:tc>
          <w:tcPr>
            <w:tcW w:w="180" w:type="dxa"/>
            <w:vAlign w:val="bottom"/>
          </w:tcPr>
          <w:p>
            <w:pPr>
              <w:spacing w:after="0"/>
              <w:rPr>
                <w:sz w:val="20"/>
                <w:szCs w:val="20"/>
                <w:color w:val="auto"/>
              </w:rPr>
            </w:pP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Inputs</w:t>
            </w:r>
          </w:p>
        </w:tc>
      </w:tr>
      <w:tr>
        <w:trPr>
          <w:trHeight w:val="270"/>
        </w:trPr>
        <w:tc>
          <w:tcPr>
            <w:tcW w:w="1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0" w:type="dxa"/>
            <w:vAlign w:val="bottom"/>
            <w:gridSpan w:val="4"/>
          </w:tcPr>
          <w:p>
            <w:pPr>
              <w:jc w:val="right"/>
              <w:ind w:right="2040"/>
              <w:spacing w:after="0"/>
              <w:rPr>
                <w:sz w:val="20"/>
                <w:szCs w:val="20"/>
                <w:color w:val="auto"/>
              </w:rPr>
            </w:pPr>
            <w:r>
              <w:rPr>
                <w:rFonts w:ascii="Arial" w:cs="Arial" w:eastAsia="Arial" w:hAnsi="Arial"/>
                <w:sz w:val="18"/>
                <w:szCs w:val="18"/>
                <w:b w:val="1"/>
                <w:bCs w:val="1"/>
                <w:color w:val="auto"/>
              </w:rPr>
              <w:t>Description</w:t>
            </w:r>
          </w:p>
        </w:tc>
        <w:tc>
          <w:tcPr>
            <w:tcW w:w="16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w w:val="88"/>
              </w:rPr>
              <w:t>December 31, 2014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(Level 1)</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3"/>
              </w:rPr>
              <w:t>(Level 2)</w:t>
            </w:r>
          </w:p>
        </w:tc>
        <w:tc>
          <w:tcPr>
            <w:tcW w:w="180" w:type="dxa"/>
            <w:vAlign w:val="bottom"/>
          </w:tcPr>
          <w:p>
            <w:pPr>
              <w:spacing w:after="0"/>
              <w:rPr>
                <w:sz w:val="23"/>
                <w:szCs w:val="23"/>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1520" w:type="dxa"/>
            <w:vAlign w:val="bottom"/>
            <w:tcBorders>
              <w:bottom w:val="single" w:sz="8" w:color="auto"/>
            </w:tcBorders>
            <w:gridSpan w:val="2"/>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318"/>
        </w:trPr>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1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market</w:t>
            </w:r>
          </w:p>
        </w:tc>
        <w:tc>
          <w:tcPr>
            <w:tcW w:w="3060" w:type="dxa"/>
            <w:vAlign w:val="bottom"/>
            <w:tcBorders>
              <w:bottom w:val="single" w:sz="8" w:color="CCEEFF"/>
            </w:tcBorders>
            <w:gridSpan w:val="2"/>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3,545</w:t>
            </w: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93"/>
              </w:rPr>
              <w:t>3,545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w:t>
            </w:r>
          </w:p>
        </w:tc>
      </w:tr>
      <w:tr>
        <w:trPr>
          <w:trHeight w:val="237"/>
        </w:trPr>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60" w:type="dxa"/>
            <w:vAlign w:val="bottom"/>
            <w:gridSpan w:val="2"/>
          </w:tcPr>
          <w:p>
            <w:pPr>
              <w:spacing w:after="0"/>
              <w:rPr>
                <w:sz w:val="20"/>
                <w:szCs w:val="20"/>
                <w:color w:val="auto"/>
              </w:rPr>
            </w:pPr>
          </w:p>
        </w:tc>
        <w:tc>
          <w:tcPr>
            <w:tcW w:w="1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3,545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center"/>
              <w:ind w:left="530"/>
              <w:spacing w:after="0"/>
              <w:rPr>
                <w:sz w:val="20"/>
                <w:szCs w:val="20"/>
                <w:color w:val="auto"/>
              </w:rPr>
            </w:pPr>
            <w:r>
              <w:rPr>
                <w:rFonts w:ascii="Arial" w:cs="Arial" w:eastAsia="Arial" w:hAnsi="Arial"/>
                <w:sz w:val="18"/>
                <w:szCs w:val="18"/>
                <w:color w:val="auto"/>
                <w:w w:val="93"/>
              </w:rPr>
              <w:t>3,545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rPr>
              <w:t>—</w:t>
            </w:r>
          </w:p>
        </w:tc>
      </w:tr>
      <w:tr>
        <w:trPr>
          <w:trHeight w:val="27"/>
        </w:trPr>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59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371" w:lineRule="exact"/>
        <w:rPr>
          <w:sz w:val="20"/>
          <w:szCs w:val="20"/>
          <w:color w:val="auto"/>
        </w:rPr>
      </w:pPr>
    </w:p>
    <w:p>
      <w:pPr>
        <w:ind w:right="6020" w:firstLine="22"/>
        <w:spacing w:after="0" w:line="476" w:lineRule="auto"/>
        <w:tabs>
          <w:tab w:leader="none" w:pos="23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Summary of Significant Accounting Policies (continued) Research and Development Expenses</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 Company expenses research and development costs as incurred.</w:t>
      </w:r>
    </w:p>
    <w:p>
      <w:pPr>
        <w:spacing w:after="0" w:line="247"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Research and development costs primarily comprise salaries and fringe benefits, professional fees (excluding legal expenses), pre-clinical studies, testing costs, supplies and facilities costs.</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Impairment of Long-Lived Assets</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Company reviews its long-lived assets, which represent property, plant and equipment, for impairment whenever events or changes in circumstances indicate that the carrying amount of an asset may not be recoverable. If such assets are considered to be impaired, the impairment to be recognized is measured as the amount by which the carrying amount of the assets exceeds the fair value of the assets. The Company does not believe that any events have occurred that would indicate that its long-lived assets were impaired at March 31, 2015.</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Income Taxes</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provides for federal and state income taxes whereby a deferred tax asset or liability is measured at the enacted tax rates that would be in effect when any differences between the financial statement and tax bases of assets and liabilities are expected to reverse.</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Significant deferred tax assets of the Company consists of depreciation and amortization, share-based compensation, license fee revenue and inventory reserves.</w:t>
      </w:r>
    </w:p>
    <w:p>
      <w:pPr>
        <w:spacing w:after="0" w:line="94" w:lineRule="exact"/>
        <w:rPr>
          <w:sz w:val="20"/>
          <w:szCs w:val="20"/>
          <w:color w:val="auto"/>
        </w:rPr>
      </w:pPr>
    </w:p>
    <w:p>
      <w:pPr>
        <w:ind w:left="20" w:right="280" w:hanging="13"/>
        <w:spacing w:after="0" w:line="392" w:lineRule="auto"/>
        <w:rPr>
          <w:sz w:val="20"/>
          <w:szCs w:val="20"/>
          <w:color w:val="auto"/>
        </w:rPr>
      </w:pPr>
      <w:r>
        <w:rPr>
          <w:rFonts w:ascii="Arial" w:cs="Arial" w:eastAsia="Arial" w:hAnsi="Arial"/>
          <w:sz w:val="22"/>
          <w:szCs w:val="22"/>
          <w:color w:val="auto"/>
        </w:rPr>
        <w:t xml:space="preserve">The Company’s effective income tax rates for the quarters ended March 31, 2015 and 2014 were 37.2% and 37.6%, respectively. </w:t>
      </w:r>
      <w:r>
        <w:rPr>
          <w:rFonts w:ascii="Arial" w:cs="Arial" w:eastAsia="Arial" w:hAnsi="Arial"/>
          <w:sz w:val="22"/>
          <w:szCs w:val="22"/>
          <w:b w:val="1"/>
          <w:bCs w:val="1"/>
          <w:color w:val="auto"/>
        </w:rPr>
        <w:t>Comprehensive Income</w:t>
      </w:r>
    </w:p>
    <w:p>
      <w:pPr>
        <w:spacing w:after="0" w:line="6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Comprehensive income is defined as the change in equity of a business enterprise during a period from transactions and other events and circumstances from non-owner sources. The foreign currency gain was immaterial for the quarters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59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Summary of Significant Accounting Policies (continued)</w:t>
      </w: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 Accounting Pronouncements</w:t>
      </w:r>
    </w:p>
    <w:p>
      <w:pPr>
        <w:spacing w:after="0" w:line="253"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 xml:space="preserve">In May 2014, the Financial Accounting Standards Board (FASB) issued Accounting Standards Update (ASU) No. 2014-09, </w:t>
      </w:r>
      <w:r>
        <w:rPr>
          <w:rFonts w:ascii="Arial" w:cs="Arial" w:eastAsia="Arial" w:hAnsi="Arial"/>
          <w:sz w:val="19"/>
          <w:szCs w:val="19"/>
          <w:i w:val="1"/>
          <w:iCs w:val="1"/>
          <w:color w:val="auto"/>
        </w:rPr>
        <w:t xml:space="preserve">Revenue from Contracts with Customers </w:t>
      </w:r>
      <w:r>
        <w:rPr>
          <w:rFonts w:ascii="Arial" w:cs="Arial" w:eastAsia="Arial" w:hAnsi="Arial"/>
          <w:sz w:val="19"/>
          <w:szCs w:val="19"/>
          <w:color w:val="auto"/>
        </w:rPr>
        <w:t>ASU 2014-09 affects all entities - public, private, and not-for-profit-that have contracts</w:t>
      </w:r>
      <w:r>
        <w:rPr>
          <w:rFonts w:ascii="Arial" w:cs="Arial" w:eastAsia="Arial" w:hAnsi="Arial"/>
          <w:sz w:val="19"/>
          <w:szCs w:val="19"/>
          <w:i w:val="1"/>
          <w:iCs w:val="1"/>
          <w:color w:val="auto"/>
        </w:rPr>
        <w:t xml:space="preserve"> </w:t>
      </w:r>
      <w:r>
        <w:rPr>
          <w:rFonts w:ascii="Arial" w:cs="Arial" w:eastAsia="Arial" w:hAnsi="Arial"/>
          <w:sz w:val="19"/>
          <w:szCs w:val="19"/>
          <w:color w:val="auto"/>
        </w:rPr>
        <w:t>with customers, except for certain items, which include leases, insurance contracts; most financial instruments, and guarantees (other than product or service warranties). The new revenue recognition standard eliminates the transaction- and industry-specific revenue recognition guidance under current U.S. GAAP and replaces it with a principle-based approach for determining revenue recognition. All nonpublic entities are required to apply the revenue recognition standard for annual reporting periods beginning on or after December 15, 2017, and interim reporting periods within annual reporting periods beginning after December 15, 2018. Nonpublic entities may elect to apply the requirements of the revenue standard earlier as of the following dates: (a) An annual reporting period beginning after December 15, 2016, including interim reporting periods within that reporting period (public entity effective date); (b) an annual reporting period beginning after December 15, 2016, and interim reporting periods within annual reporting periods beginning after December 15, 2017; and (c) an annual reporting period beginning after December 15, 2017, including interim reporting periods within that reporting period. The implementation of ASU 2014-09 has not been fully evaluated as to the effect on the Company's consolidated financial statements.</w:t>
      </w:r>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 xml:space="preserve">On April 1, 2015 the Financial Accounting Standards Board (FASB) voted to delay implementation for a year for both public and private companies under </w:t>
      </w:r>
      <w:r>
        <w:rPr>
          <w:rFonts w:ascii="Arial" w:cs="Arial" w:eastAsia="Arial" w:hAnsi="Arial"/>
          <w:sz w:val="21"/>
          <w:szCs w:val="21"/>
          <w:i w:val="1"/>
          <w:iCs w:val="1"/>
          <w:color w:val="auto"/>
        </w:rPr>
        <w:t>Revenue From Contracts With Customers (Topic 606): Deferral of the Effective Date</w:t>
      </w:r>
      <w:r>
        <w:rPr>
          <w:rFonts w:ascii="Arial" w:cs="Arial" w:eastAsia="Arial" w:hAnsi="Arial"/>
          <w:sz w:val="21"/>
          <w:szCs w:val="21"/>
          <w:color w:val="auto"/>
        </w:rPr>
        <w:t>. As a result, public entities filing under U.S. GAAP will apply the new standard to annual reporting periods beginning after December 15, 2017, and nonpublic entities will apply it to annual reporting periods beginning after December 15,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59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20" w:type="dxa"/>
            <w:vAlign w:val="bottom"/>
          </w:tcPr>
          <w:p>
            <w:pPr>
              <w:ind w:left="20"/>
              <w:spacing w:after="0"/>
              <w:rPr>
                <w:sz w:val="20"/>
                <w:szCs w:val="20"/>
                <w:color w:val="auto"/>
              </w:rPr>
            </w:pPr>
            <w:r>
              <w:rPr>
                <w:rFonts w:ascii="Arial" w:cs="Arial" w:eastAsia="Arial" w:hAnsi="Arial"/>
                <w:sz w:val="22"/>
                <w:szCs w:val="22"/>
                <w:b w:val="1"/>
                <w:bCs w:val="1"/>
                <w:color w:val="auto"/>
                <w:w w:val="97"/>
              </w:rPr>
              <w:t>3.</w:t>
            </w:r>
          </w:p>
        </w:tc>
        <w:tc>
          <w:tcPr>
            <w:tcW w:w="7960" w:type="dxa"/>
            <w:vAlign w:val="bottom"/>
            <w:gridSpan w:val="2"/>
          </w:tcPr>
          <w:p>
            <w:pPr>
              <w:ind w:left="20"/>
              <w:spacing w:after="0"/>
              <w:rPr>
                <w:sz w:val="20"/>
                <w:szCs w:val="20"/>
                <w:color w:val="auto"/>
              </w:rPr>
            </w:pPr>
            <w:r>
              <w:rPr>
                <w:rFonts w:ascii="Arial" w:cs="Arial" w:eastAsia="Arial" w:hAnsi="Arial"/>
                <w:sz w:val="22"/>
                <w:szCs w:val="22"/>
                <w:b w:val="1"/>
                <w:bCs w:val="1"/>
                <w:color w:val="auto"/>
              </w:rPr>
              <w:t>Inventories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80" w:type="dxa"/>
            <w:vAlign w:val="bottom"/>
            <w:gridSpan w:val="3"/>
          </w:tcPr>
          <w:p>
            <w:pPr>
              <w:spacing w:after="0"/>
              <w:rPr>
                <w:sz w:val="20"/>
                <w:szCs w:val="20"/>
                <w:color w:val="auto"/>
              </w:rPr>
            </w:pPr>
            <w:r>
              <w:rPr>
                <w:rFonts w:ascii="Arial" w:cs="Arial" w:eastAsia="Arial" w:hAnsi="Arial"/>
                <w:sz w:val="22"/>
                <w:szCs w:val="22"/>
                <w:color w:val="auto"/>
              </w:rPr>
              <w:t>Inventories consisted of the following:</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2,777</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2,504</w:t>
            </w:r>
          </w:p>
        </w:tc>
        <w:tc>
          <w:tcPr>
            <w:tcW w:w="3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6,630</w:t>
            </w:r>
          </w:p>
        </w:tc>
        <w:tc>
          <w:tcPr>
            <w:tcW w:w="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7"/>
        </w:trPr>
        <w:tc>
          <w:tcPr>
            <w:tcW w:w="220" w:type="dxa"/>
            <w:vAlign w:val="bottom"/>
            <w:vMerge w:val="restart"/>
          </w:tcPr>
          <w:p>
            <w:pPr>
              <w:ind w:left="20"/>
              <w:spacing w:after="0"/>
              <w:rPr>
                <w:sz w:val="20"/>
                <w:szCs w:val="20"/>
                <w:color w:val="auto"/>
              </w:rPr>
            </w:pPr>
            <w:r>
              <w:rPr>
                <w:rFonts w:ascii="Arial" w:cs="Arial" w:eastAsia="Arial" w:hAnsi="Arial"/>
                <w:sz w:val="22"/>
                <w:szCs w:val="22"/>
                <w:b w:val="1"/>
                <w:bCs w:val="1"/>
                <w:color w:val="auto"/>
                <w:w w:val="97"/>
              </w:rPr>
              <w:t>4.</w:t>
            </w:r>
          </w:p>
        </w:tc>
        <w:tc>
          <w:tcPr>
            <w:tcW w:w="7960" w:type="dxa"/>
            <w:vAlign w:val="bottom"/>
            <w:gridSpan w:val="2"/>
            <w:vMerge w:val="restart"/>
          </w:tcPr>
          <w:p>
            <w:pPr>
              <w:ind w:left="20"/>
              <w:spacing w:after="0"/>
              <w:rPr>
                <w:sz w:val="20"/>
                <w:szCs w:val="20"/>
                <w:color w:val="auto"/>
              </w:rPr>
            </w:pPr>
            <w:r>
              <w:rPr>
                <w:rFonts w:ascii="Arial" w:cs="Arial" w:eastAsia="Arial" w:hAnsi="Arial"/>
                <w:sz w:val="22"/>
                <w:szCs w:val="22"/>
                <w:b w:val="1"/>
                <w:bCs w:val="1"/>
                <w:color w:val="auto"/>
              </w:rPr>
              <w:t>Deferred Compensation</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 w:type="dxa"/>
            <w:vAlign w:val="bottom"/>
            <w:vMerge w:val="continue"/>
          </w:tcPr>
          <w:p>
            <w:pPr>
              <w:spacing w:after="0" w:line="20" w:lineRule="exact"/>
              <w:rPr>
                <w:sz w:val="1"/>
                <w:szCs w:val="1"/>
                <w:color w:val="auto"/>
              </w:rPr>
            </w:pPr>
          </w:p>
        </w:tc>
        <w:tc>
          <w:tcPr>
            <w:tcW w:w="7960" w:type="dxa"/>
            <w:vAlign w:val="bottom"/>
            <w:gridSpan w:val="2"/>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20" w:type="dxa"/>
            <w:vAlign w:val="bottom"/>
            <w:vMerge w:val="continue"/>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Company’s founder had agreed, through July 1999, to defer the payment of part of his annual compensation. In 2001, he agreed to accept a contingent future issuance of 441 shares of the Company’s common stock in lieu of a deferred compensation obligation of $1,764, contingent on: (a) the sale of the Company to a third party or (b) the first public offering of shares of common stock in which he would be able to participate and sell a sufficient number of shares of common stock to satisfy any federal or state tax obligation arising as the result of the Company’s payment of the deferred compensation obligation.</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5. Common Stock Repurchase Transactions and Dividends</w:t>
      </w:r>
    </w:p>
    <w:p>
      <w:pPr>
        <w:spacing w:after="0" w:line="253"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In 2015, the Company and TEI Medical repurchased approximately 39.7 shares of common stock for approximately $528. The Company also retired these repurchased shares in 2015.</w:t>
      </w:r>
    </w:p>
    <w:p>
      <w:pPr>
        <w:spacing w:after="0" w:line="202"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In 2014 the Board of Directors declared a cash dividend of $2.67 per share, subject to any required tax withholding. The total amount of the dividend the Company declared to its shareholders was $19,972 and was paid in March and April of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591"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Notes Receivable - Officer</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An officer of the Company has three notes outstanding in the amount of $4,031, with interest rates ranging from 1.15% to 2.25%.</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All three notes mature on April 21, 2021 and are collateralized by shares of the Company’s common stock owned by the officer.</w:t>
      </w:r>
    </w:p>
    <w:p>
      <w:pPr>
        <w:spacing w:after="0" w:line="26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Company has presented these notes receivable as a reduction of stockholders’ equity, except for the note for the exercise of stock options and corresponding potential liability ($1,169) which has been excluded from the accompanying consolidated balance sheets as the substance of the transaction is a fully vested stock option.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Stock-Based Compensation</w:t>
      </w:r>
    </w:p>
    <w:p>
      <w:pPr>
        <w:spacing w:after="0" w:line="25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As of March 31, 2015, the Company had stock options outstanding from the Company’s 2006 Equity Incentive Plan (the 2006 Plan). Stock options issued under the Plan become exercisable over specified periods, generally within four years from the date of grant for employees and one year for board of directors and generally expire ten years from the grant date.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As of March 31, 2015, there was approximately $89 of total unrecognized compensation costs related to unvested stock options. These costs are expected to be recognized over a weighted- average period of approximately one year. There were 6 stock options granted during the three months ended March 31, 2015.</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8. Employee Benefit Plan</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Company has a savings plan for its employees that is designed to be qualified under Section 401(k) of the IRC. Eligible employees are permitted to contribute to the 401(k) plan through payroll deductions within statutory and plan limits. The participants can select from a variety of investment options. The Company currently matches the lesser of $0.40 for each dollar contributed by the participating employee up to 5% of the employee contributions, or 2% of the eligible compensation of each participating employee. Employees received matching contributions of $75 and $67 for the quarters ended March 31, 2015 and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9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color w:val="auto"/>
        </w:rPr>
        <w:t>TEI Biosciences Inc. and Subsidiary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Condensed Consolidated Financial Statements (continued)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March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All amounts in thousands</w:t>
      </w:r>
      <w:r>
        <w:rPr>
          <w:rFonts w:ascii="Arial" w:cs="Arial" w:eastAsia="Arial" w:hAnsi="Arial"/>
          <w:sz w:val="22"/>
          <w:szCs w:val="22"/>
          <w:color w:val="auto"/>
        </w:rPr>
        <w:t>)</w:t>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Commitments and Contingencies</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The Company entered into a sublease on December 5, 2012, for its corporate office facilities, which expires on March 30, 2018.</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Company, as part of this sublease, also paid a $44 security deposit.</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Company’s manufacturing facilities lease expires on December 31, 2017, with a five-year extension at the Company’s option.</w:t>
      </w:r>
    </w:p>
    <w:p>
      <w:pPr>
        <w:spacing w:after="0" w:line="25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Rent expense was $184 for the quarters ended March 31, 2015 and 2014. Future minimum lease payments associated with the leases above are as follows:</w:t>
      </w:r>
    </w:p>
    <w:p>
      <w:pPr>
        <w:spacing w:after="0" w:line="327"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b w:val="1"/>
                <w:bCs w:val="1"/>
                <w:color w:val="auto"/>
              </w:rPr>
              <w:t>Commitment</w:t>
            </w:r>
          </w:p>
        </w:tc>
      </w:tr>
      <w:tr>
        <w:trPr>
          <w:trHeight w:val="594"/>
        </w:trPr>
        <w:tc>
          <w:tcPr>
            <w:tcW w:w="4920" w:type="dxa"/>
            <w:vAlign w:val="bottom"/>
          </w:tcPr>
          <w:p>
            <w:pPr>
              <w:jc w:val="right"/>
              <w:ind w:right="4430"/>
              <w:spacing w:after="0"/>
              <w:rPr>
                <w:sz w:val="20"/>
                <w:szCs w:val="20"/>
                <w:color w:val="auto"/>
              </w:rPr>
            </w:pPr>
            <w:r>
              <w:rPr>
                <w:rFonts w:ascii="Arial" w:cs="Arial" w:eastAsia="Arial" w:hAnsi="Arial"/>
                <w:sz w:val="18"/>
                <w:szCs w:val="18"/>
                <w:color w:val="auto"/>
                <w:w w:val="88"/>
              </w:rPr>
              <w:t>Year:</w:t>
            </w:r>
          </w:p>
        </w:tc>
        <w:tc>
          <w:tcPr>
            <w:tcW w:w="4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4310"/>
              <w:spacing w:after="0"/>
              <w:rPr>
                <w:sz w:val="20"/>
                <w:szCs w:val="20"/>
                <w:color w:val="auto"/>
              </w:rPr>
            </w:pPr>
            <w:r>
              <w:rPr>
                <w:rFonts w:ascii="Arial" w:cs="Arial" w:eastAsia="Arial" w:hAnsi="Arial"/>
                <w:sz w:val="18"/>
                <w:szCs w:val="18"/>
                <w:color w:val="auto"/>
              </w:rPr>
              <w:t>2015</w:t>
            </w:r>
          </w:p>
        </w:tc>
        <w:tc>
          <w:tcPr>
            <w:tcW w:w="4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r>
      <w:tr>
        <w:trPr>
          <w:trHeight w:val="243"/>
        </w:trPr>
        <w:tc>
          <w:tcPr>
            <w:tcW w:w="4920" w:type="dxa"/>
            <w:vAlign w:val="bottom"/>
          </w:tcPr>
          <w:p>
            <w:pPr>
              <w:jc w:val="right"/>
              <w:ind w:right="4310"/>
              <w:spacing w:after="0"/>
              <w:rPr>
                <w:sz w:val="20"/>
                <w:szCs w:val="20"/>
                <w:color w:val="auto"/>
              </w:rPr>
            </w:pPr>
            <w:r>
              <w:rPr>
                <w:rFonts w:ascii="Arial" w:cs="Arial" w:eastAsia="Arial" w:hAnsi="Arial"/>
                <w:sz w:val="18"/>
                <w:szCs w:val="18"/>
                <w:color w:val="auto"/>
              </w:rPr>
              <w:t>2016</w:t>
            </w:r>
          </w:p>
        </w:tc>
        <w:tc>
          <w:tcPr>
            <w:tcW w:w="46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891</w:t>
            </w:r>
          </w:p>
        </w:tc>
      </w:tr>
      <w:tr>
        <w:trPr>
          <w:trHeight w:val="27"/>
        </w:trPr>
        <w:tc>
          <w:tcPr>
            <w:tcW w:w="49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jc w:val="right"/>
              <w:ind w:right="4310"/>
              <w:spacing w:after="0"/>
              <w:rPr>
                <w:sz w:val="20"/>
                <w:szCs w:val="20"/>
                <w:color w:val="auto"/>
              </w:rPr>
            </w:pPr>
            <w:r>
              <w:rPr>
                <w:rFonts w:ascii="Arial" w:cs="Arial" w:eastAsia="Arial" w:hAnsi="Arial"/>
                <w:sz w:val="18"/>
                <w:szCs w:val="18"/>
                <w:color w:val="auto"/>
              </w:rPr>
              <w:t>2017</w:t>
            </w:r>
          </w:p>
        </w:tc>
        <w:tc>
          <w:tcPr>
            <w:tcW w:w="46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891</w:t>
            </w:r>
          </w:p>
        </w:tc>
      </w:tr>
      <w:tr>
        <w:trPr>
          <w:trHeight w:val="243"/>
        </w:trPr>
        <w:tc>
          <w:tcPr>
            <w:tcW w:w="4920" w:type="dxa"/>
            <w:vAlign w:val="bottom"/>
          </w:tcPr>
          <w:p>
            <w:pPr>
              <w:jc w:val="right"/>
              <w:ind w:right="4310"/>
              <w:spacing w:after="0"/>
              <w:rPr>
                <w:sz w:val="20"/>
                <w:szCs w:val="20"/>
                <w:color w:val="auto"/>
              </w:rPr>
            </w:pPr>
            <w:r>
              <w:rPr>
                <w:rFonts w:ascii="Arial" w:cs="Arial" w:eastAsia="Arial" w:hAnsi="Arial"/>
                <w:sz w:val="18"/>
                <w:szCs w:val="18"/>
                <w:color w:val="auto"/>
              </w:rPr>
              <w:t>2018</w:t>
            </w:r>
          </w:p>
        </w:tc>
        <w:tc>
          <w:tcPr>
            <w:tcW w:w="46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68</w:t>
            </w:r>
          </w:p>
        </w:tc>
      </w:tr>
    </w:tbl>
    <w:p>
      <w:pPr>
        <w:spacing w:after="0" w:line="22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Subsequent Events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Company evaluated subsequent events occurring after the consolidated balance sheet date and up to the time the consolidated financial statements were prepared, July 15, 2015, and noted no subsequent events, except:</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The Company entered into an amendment of its manufacturing facilities lease on May 1, 2015, to lease an additional 4 square feet of space through December 31, 2017.</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June 26, 2015, the Company and TEI Medical signed two separate merger agreements with Integra LifeSciences Corporation (Integra) whereby Integra will acquire all the shares of the Company and TEI Medical as stated in the Agreement and Plan of Merger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16</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x"/>
      <w:numFmt w:val="bullet"/>
      <w:start w:val="1"/>
    </w:lvl>
  </w:abstractNum>
  <w:abstractNum w:abstractNumId="1">
    <w:nsid w:val="8138641"/>
    <w:multiLevelType w:val="hybridMultilevel"/>
    <w:lvl w:ilvl="0">
      <w:lvlJc w:val="left"/>
      <w:lvlText w:val="o"/>
      <w:numFmt w:val="bullet"/>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lowerRoman"/>
      <w:start w:val="1"/>
    </w:lvl>
  </w:abstractNum>
  <w:abstractNum w:abstractNumId="7">
    <w:nsid w:val="4516DDE9"/>
    <w:multiLevelType w:val="hybridMultilevel"/>
    <w:lvl w:ilvl="0">
      <w:lvlJc w:val="left"/>
      <w:lvlText w:val="%1."/>
      <w:numFmt w:val="lowerRoman"/>
      <w:start w:val="1"/>
    </w:lvl>
    <w:lvl w:ilvl="1">
      <w:lvlJc w:val="left"/>
      <w:lvlText w:val="%2."/>
      <w:numFmt w:val="decimal"/>
      <w:start w:val="1"/>
    </w:lvl>
  </w:abstractNum>
  <w:abstractNum w:abstractNumId="8">
    <w:nsid w:val="3006C83E"/>
    <w:multiLevelType w:val="hybridMultilevel"/>
    <w:lvl w:ilvl="0">
      <w:lvlJc w:val="left"/>
      <w:lvlText w:val="%1."/>
      <w:numFmt w:val="decimal"/>
      <w:start w:val="2"/>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1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1."/>
      <w:numFmt w:val="decimal"/>
      <w:start w:val="1"/>
    </w:lvl>
    <w:lvl w:ilvl="1">
      <w:lvlJc w:val="left"/>
      <w:lvlText w:val="(%2)"/>
      <w:numFmt w:val="lowerLetter"/>
      <w:start w:val="1"/>
    </w:lvl>
  </w:abstractNum>
  <w:abstractNum w:abstractNumId="20">
    <w:nsid w:val="51EAD36B"/>
    <w:multiLevelType w:val="hybridMultilevel"/>
    <w:lvl w:ilvl="0">
      <w:lvlJc w:val="left"/>
      <w:lvlText w:val="%1."/>
      <w:numFmt w:val="decimal"/>
      <w:start w:val="1"/>
    </w:lvl>
    <w:lvl w:ilvl="1">
      <w:lvlJc w:val="left"/>
      <w:lvlText w:val="(%2)"/>
      <w:numFmt w:val="lowerLetter"/>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1."/>
      <w:numFmt w:val="decimal"/>
      <w:start w:val="2"/>
    </w:lvl>
  </w:abstractNum>
  <w:abstractNum w:abstractNumId="25">
    <w:nsid w:val="70A64E2A"/>
    <w:multiLevelType w:val="hybridMultilevel"/>
    <w:lvl w:ilvl="0">
      <w:lvlJc w:val="left"/>
      <w:lvlText w:val="%1."/>
      <w:numFmt w:val="decimal"/>
      <w:start w:val="2"/>
    </w:lvl>
  </w:abstractNum>
  <w:abstractNum w:abstractNumId="26">
    <w:nsid w:val="6A2342EC"/>
    <w:multiLevelType w:val="hybridMultilevel"/>
    <w:lvl w:ilvl="0">
      <w:lvlJc w:val="left"/>
      <w:lvlText w:val="%1."/>
      <w:numFmt w:val="decimal"/>
      <w:start w:val="2"/>
    </w:lvl>
  </w:abstractNum>
  <w:abstractNum w:abstractNumId="27">
    <w:nsid w:val="2A487CB0"/>
    <w:multiLevelType w:val="hybridMultilevel"/>
    <w:lvl w:ilvl="0">
      <w:lvlJc w:val="left"/>
      <w:lvlText w:val="%1."/>
      <w:numFmt w:val="decimal"/>
      <w:start w:val="2"/>
    </w:lvl>
  </w:abstractNum>
  <w:abstractNum w:abstractNumId="28">
    <w:nsid w:val="1D4ED43B"/>
    <w:multiLevelType w:val="hybridMultilevel"/>
    <w:lvl w:ilvl="0">
      <w:lvlJc w:val="left"/>
      <w:lvlText w:val="%1."/>
      <w:numFmt w:val="decimal"/>
      <w:start w:val="2"/>
    </w:lvl>
  </w:abstractNum>
  <w:abstractNum w:abstractNumId="29">
    <w:nsid w:val="725A06FB"/>
    <w:multiLevelType w:val="hybridMultilevel"/>
    <w:lvl w:ilvl="0">
      <w:lvlJc w:val="left"/>
      <w:lvlText w:val="%1."/>
      <w:numFmt w:val="decimal"/>
      <w:start w:val="2"/>
    </w:lvl>
  </w:abstractNum>
  <w:abstractNum w:abstractNumId="30">
    <w:nsid w:val="2CD89A32"/>
    <w:multiLevelType w:val="hybridMultilevel"/>
    <w:lvl w:ilvl="0">
      <w:lvlJc w:val="left"/>
      <w:lvlText w:val="%1."/>
      <w:numFmt w:val="decimal"/>
      <w:start w:val="2"/>
    </w:lvl>
  </w:abstractNum>
  <w:abstractNum w:abstractNumId="31">
    <w:nsid w:val="57E4CCAF"/>
    <w:multiLevelType w:val="hybridMultilevel"/>
    <w:lvl w:ilvl="0">
      <w:lvlJc w:val="left"/>
      <w:lvlText w:val="%1."/>
      <w:numFmt w:val="decimal"/>
      <w:start w:val="2"/>
    </w:lvl>
  </w:abstractNum>
  <w:abstractNum w:abstractNumId="32">
    <w:nsid w:val="7A6D8D3C"/>
    <w:multiLevelType w:val="hybridMultilevel"/>
    <w:lvl w:ilvl="0">
      <w:lvlJc w:val="left"/>
      <w:lvlText w:val="%1."/>
      <w:numFmt w:val="decimal"/>
      <w:start w:val="2"/>
    </w:lvl>
  </w:abstractNum>
  <w:abstractNum w:abstractNumId="33">
    <w:nsid w:val="4B588F54"/>
    <w:multiLevelType w:val="hybridMultilevel"/>
    <w:lvl w:ilvl="0">
      <w:lvlJc w:val="left"/>
      <w:lvlText w:val="(%1)"/>
      <w:numFmt w:val="lowerLetter"/>
      <w:start w:val="2"/>
    </w:lvl>
  </w:abstractNum>
  <w:abstractNum w:abstractNumId="34">
    <w:nsid w:val="542289EC"/>
    <w:multiLevelType w:val="hybridMultilevel"/>
    <w:lvl w:ilvl="0">
      <w:lvlJc w:val="left"/>
      <w:lvlText w:val="%1."/>
      <w:numFmt w:val="decimal"/>
      <w:start w:val="9"/>
    </w:lvl>
  </w:abstractNum>
  <w:abstractNum w:abstractNumId="35">
    <w:nsid w:val="6DE91B18"/>
    <w:multiLevelType w:val="hybridMultilevel"/>
    <w:lvl w:ilvl="0">
      <w:lvlJc w:val="left"/>
      <w:lvlText w:val="%1."/>
      <w:numFmt w:val="decimal"/>
      <w:start w:val="9"/>
    </w:lvl>
  </w:abstractNum>
  <w:abstractNum w:abstractNumId="36">
    <w:nsid w:val="38437FDB"/>
    <w:multiLevelType w:val="hybridMultilevel"/>
    <w:lvl w:ilvl="0">
      <w:lvlJc w:val="left"/>
      <w:lvlText w:val="%1."/>
      <w:numFmt w:val="decimal"/>
      <w:start w:val="9"/>
    </w:lvl>
  </w:abstractNum>
  <w:abstractNum w:abstractNumId="37">
    <w:nsid w:val="7644A45C"/>
    <w:multiLevelType w:val="hybridMultilevel"/>
    <w:lvl w:ilvl="0">
      <w:lvlJc w:val="left"/>
      <w:lvlText w:val="%1."/>
      <w:numFmt w:val="decimal"/>
      <w:start w:val="9"/>
    </w:lvl>
  </w:abstractNum>
  <w:abstractNum w:abstractNumId="38">
    <w:nsid w:val="32FFF902"/>
    <w:multiLevelType w:val="hybridMultilevel"/>
    <w:lvl w:ilvl="0">
      <w:lvlJc w:val="left"/>
      <w:lvlText w:val="%1."/>
      <w:numFmt w:val="decimal"/>
      <w:start w:val="9"/>
    </w:lvl>
  </w:abstractNum>
  <w:abstractNum w:abstractNumId="39">
    <w:nsid w:val="684A481A"/>
    <w:multiLevelType w:val="hybridMultilevel"/>
    <w:lvl w:ilvl="0">
      <w:lvlJc w:val="left"/>
      <w:lvlText w:val="%1."/>
      <w:numFmt w:val="decimal"/>
      <w:start w:val="9"/>
    </w:lvl>
  </w:abstractNum>
  <w:abstractNum w:abstractNumId="40">
    <w:nsid w:val="579478FE"/>
    <w:multiLevelType w:val="hybridMultilevel"/>
    <w:lvl w:ilvl="0">
      <w:lvlJc w:val="left"/>
      <w:lvlText w:val="%1."/>
      <w:numFmt w:val="decimal"/>
      <w:start w:val="10"/>
    </w:lvl>
  </w:abstractNum>
  <w:abstractNum w:abstractNumId="41">
    <w:nsid w:val="749ABB43"/>
    <w:multiLevelType w:val="hybridMultilevel"/>
    <w:lvl w:ilvl="0">
      <w:lvlJc w:val="left"/>
      <w:lvlText w:val="%1."/>
      <w:numFmt w:val="decimal"/>
      <w:start w:val="10"/>
    </w:lvl>
  </w:abstractNum>
  <w:abstractNum w:abstractNumId="42">
    <w:nsid w:val="3DC240FB"/>
    <w:multiLevelType w:val="hybridMultilevel"/>
    <w:lvl w:ilvl="0">
      <w:lvlJc w:val="left"/>
      <w:lvlText w:val="%1."/>
      <w:numFmt w:val="decimal"/>
      <w:start w:val="10"/>
    </w:lvl>
  </w:abstractNum>
  <w:abstractNum w:abstractNumId="43">
    <w:nsid w:val="1BA026FA"/>
    <w:multiLevelType w:val="hybridMultilevel"/>
    <w:lvl w:ilvl="0">
      <w:lvlJc w:val="left"/>
      <w:lvlText w:val="%1."/>
      <w:numFmt w:val="decimal"/>
      <w:start w:val="10"/>
    </w:lvl>
  </w:abstractNum>
  <w:abstractNum w:abstractNumId="44">
    <w:nsid w:val="79A1DEAA"/>
    <w:multiLevelType w:val="hybridMultilevel"/>
    <w:lvl w:ilvl="0">
      <w:lvlJc w:val="left"/>
      <w:lvlText w:val="(%1)"/>
      <w:numFmt w:val="decimal"/>
      <w:start w:val="26"/>
    </w:lvl>
  </w:abstractNum>
  <w:abstractNum w:abstractNumId="45">
    <w:nsid w:val="75C6C33A"/>
    <w:multiLevelType w:val="hybridMultilevel"/>
    <w:lvl w:ilvl="0">
      <w:lvlJc w:val="left"/>
      <w:lvlText w:val="(%1)"/>
      <w:numFmt w:val="decimal"/>
      <w:start w:val="26"/>
    </w:lvl>
  </w:abstractNum>
  <w:abstractNum w:abstractNumId="46">
    <w:nsid w:val="12E685FB"/>
    <w:multiLevelType w:val="hybridMultilevel"/>
    <w:lvl w:ilvl="0">
      <w:lvlJc w:val="left"/>
      <w:lvlText w:val="\emdash "/>
      <w:numFmt w:val="bullet"/>
      <w:start w:val="1"/>
    </w:lvl>
  </w:abstractNum>
  <w:abstractNum w:abstractNumId="47">
    <w:nsid w:val="70C6A529"/>
    <w:multiLevelType w:val="hybridMultilevel"/>
    <w:lvl w:ilvl="0">
      <w:lvlJc w:val="left"/>
      <w:lvlText w:val="(%1)"/>
      <w:numFmt w:val="decimal"/>
      <w:start w:val="528"/>
    </w:lvl>
  </w:abstractNum>
  <w:abstractNum w:abstractNumId="48">
    <w:nsid w:val="520EEDD1"/>
    <w:multiLevelType w:val="hybridMultilevel"/>
    <w:lvl w:ilvl="0">
      <w:lvlJc w:val="left"/>
      <w:lvlText w:val="8"/>
      <w:numFmt w:val="bullet"/>
      <w:start w:val="1"/>
    </w:lvl>
  </w:abstractNum>
  <w:abstractNum w:abstractNumId="49">
    <w:nsid w:val="374A3FE6"/>
    <w:multiLevelType w:val="hybridMultilevel"/>
    <w:lvl w:ilvl="0">
      <w:lvlJc w:val="left"/>
      <w:lvlText w:val="(%1)"/>
      <w:numFmt w:val="decimal"/>
      <w:start w:val="502"/>
    </w:lvl>
  </w:abstractNum>
  <w:abstractNum w:abstractNumId="50">
    <w:nsid w:val="4F4EF005"/>
    <w:multiLevelType w:val="hybridMultilevel"/>
    <w:lvl w:ilvl="0">
      <w:lvlJc w:val="left"/>
      <w:lvlText w:val="%1."/>
      <w:numFmt w:val="decimal"/>
      <w:start w:val="2"/>
    </w:lvl>
  </w:abstractNum>
  <w:abstractNum w:abstractNumId="51">
    <w:nsid w:val="23F9C13C"/>
    <w:multiLevelType w:val="hybridMultilevel"/>
    <w:lvl w:ilvl="0">
      <w:lvlJc w:val="left"/>
      <w:lvlText w:val="%1."/>
      <w:numFmt w:val="decimal"/>
      <w:start w:val="2"/>
    </w:lvl>
  </w:abstractNum>
  <w:abstractNum w:abstractNumId="52">
    <w:nsid w:val="649BB77C"/>
    <w:multiLevelType w:val="hybridMultilevel"/>
    <w:lvl w:ilvl="0">
      <w:lvlJc w:val="left"/>
      <w:lvlText w:val="(%1)"/>
      <w:numFmt w:val="lowerLetter"/>
      <w:start w:val="3"/>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decimal"/>
      <w:start w:val="2"/>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1."/>
      <w:numFmt w:val="decimal"/>
      <w:start w:val="2"/>
    </w:lvl>
  </w:abstractNum>
  <w:abstractNum w:abstractNumId="57">
    <w:nsid w:val="235BA8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2019-12-29T16:38:40Z</dcterms:created>
  <dcterms:modified xsi:type="dcterms:W3CDTF">2019-12-29T16:38:40Z</dcterms:modified>
</cp:coreProperties>
</file>