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March 31, 2013</w:t>
      </w:r>
    </w:p>
    <w:p>
      <w:pPr>
        <w:spacing w:after="0" w:line="343"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x</w:t>
            </w:r>
          </w:p>
        </w:tc>
        <w:tc>
          <w:tcPr>
            <w:tcW w:w="570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o</w:t>
            </w:r>
          </w:p>
        </w:tc>
        <w:tc>
          <w:tcPr>
            <w:tcW w:w="57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April 30, 2013 was 28,064,689.</w:t>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4"/>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4"/>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Condensed Consolidated Statements of Operations and Comprehensive Income for the three months ended March 31, 2013 and 2012 (Unaudited)</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11"/>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Consolidated Balance Sheets as of March 31, 2013 and December 31, 2012 (Unaudited)</w:t>
              </w:r>
            </w:hyperlink>
          </w:p>
        </w:tc>
        <w:tc>
          <w:tcPr>
            <w:tcW w:w="29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Condensed Consolidated Statements of Cash Flows for the three months ended March 31, 2013 and 2012 (Unaudited)</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0"/>
          </w:tcPr>
          <w:p>
            <w:pPr>
              <w:spacing w:after="0"/>
              <w:rPr>
                <w:rFonts w:ascii="Arial" w:cs="Arial" w:eastAsia="Arial" w:hAnsi="Arial"/>
                <w:sz w:val="16"/>
                <w:szCs w:val="16"/>
                <w:color w:val="0000FF"/>
                <w:w w:val="92"/>
              </w:rPr>
            </w:pPr>
            <w:hyperlink w:anchor="page18">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18">
              <w:r>
                <w:rPr>
                  <w:rFonts w:ascii="Arial" w:cs="Arial" w:eastAsia="Arial" w:hAnsi="Arial"/>
                  <w:sz w:val="16"/>
                  <w:szCs w:val="16"/>
                  <w:color w:val="0000FF"/>
                </w:rPr>
                <w:t>19</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w w:val="92"/>
              </w:rPr>
            </w:pPr>
            <w:hyperlink w:anchor="page29">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30</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80" w:type="dxa"/>
            <w:vAlign w:val="bottom"/>
            <w:gridSpan w:val="5"/>
          </w:tcPr>
          <w:p>
            <w:pPr>
              <w:spacing w:after="0"/>
              <w:rPr>
                <w:rFonts w:ascii="Arial" w:cs="Arial" w:eastAsia="Arial" w:hAnsi="Arial"/>
                <w:sz w:val="16"/>
                <w:szCs w:val="16"/>
                <w:color w:val="0000FF"/>
                <w:w w:val="88"/>
              </w:rPr>
            </w:pPr>
            <w:hyperlink w:anchor="page30">
              <w:r>
                <w:rPr>
                  <w:rFonts w:ascii="Arial" w:cs="Arial" w:eastAsia="Arial" w:hAnsi="Arial"/>
                  <w:sz w:val="16"/>
                  <w:szCs w:val="16"/>
                  <w:color w:val="0000FF"/>
                  <w:w w:val="88"/>
                </w:rPr>
                <w:t>Item 4. Controls and Procedures</w:t>
              </w:r>
            </w:hyperlink>
          </w:p>
        </w:tc>
        <w:tc>
          <w:tcPr>
            <w:tcW w:w="2320" w:type="dxa"/>
            <w:vAlign w:val="bottom"/>
            <w:gridSpan w:val="4"/>
          </w:tcPr>
          <w:p>
            <w:pPr>
              <w:spacing w:after="0"/>
              <w:rPr>
                <w:sz w:val="24"/>
                <w:szCs w:val="24"/>
                <w:color w:val="auto"/>
              </w:rPr>
            </w:pPr>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31">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00" w:type="dxa"/>
            <w:vAlign w:val="bottom"/>
            <w:gridSpan w:val="3"/>
          </w:tcPr>
          <w:p>
            <w:pPr>
              <w:spacing w:after="0"/>
              <w:rPr>
                <w:rFonts w:ascii="Arial" w:cs="Arial" w:eastAsia="Arial" w:hAnsi="Arial"/>
                <w:sz w:val="16"/>
                <w:szCs w:val="16"/>
                <w:color w:val="0000FF"/>
                <w:w w:val="90"/>
              </w:rPr>
            </w:pPr>
            <w:hyperlink w:anchor="page32">
              <w:r>
                <w:rPr>
                  <w:rFonts w:ascii="Arial" w:cs="Arial" w:eastAsia="Arial" w:hAnsi="Arial"/>
                  <w:sz w:val="16"/>
                  <w:szCs w:val="16"/>
                  <w:color w:val="0000FF"/>
                  <w:w w:val="90"/>
                </w:rPr>
                <w:t>Item 1. Legal Proceedings</w:t>
              </w:r>
            </w:hyperlink>
          </w:p>
        </w:tc>
        <w:tc>
          <w:tcPr>
            <w:tcW w:w="844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00" w:type="dxa"/>
            <w:vAlign w:val="bottom"/>
            <w:gridSpan w:val="3"/>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1A. Risk Factors</w:t>
              </w:r>
            </w:hyperlink>
          </w:p>
        </w:tc>
        <w:tc>
          <w:tcPr>
            <w:tcW w:w="844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2320" w:type="dxa"/>
            <w:vAlign w:val="bottom"/>
            <w:tcBorders>
              <w:left w:val="single" w:sz="8" w:color="0000FF"/>
            </w:tcBorders>
            <w:gridSpan w:val="4"/>
            <w:shd w:val="clear" w:color="auto" w:fill="0000FF"/>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85"/>
              </w:rPr>
            </w:pPr>
            <w:hyperlink w:anchor="page36">
              <w:r>
                <w:rPr>
                  <w:rFonts w:ascii="Arial" w:cs="Arial" w:eastAsia="Arial" w:hAnsi="Arial"/>
                  <w:sz w:val="16"/>
                  <w:szCs w:val="16"/>
                  <w:color w:val="0000FF"/>
                  <w:w w:val="85"/>
                </w:rPr>
                <w:t>Item 6. Exhibits</w:t>
              </w:r>
            </w:hyperlink>
          </w:p>
        </w:tc>
        <w:tc>
          <w:tcPr>
            <w:tcW w:w="1100" w:type="dxa"/>
            <w:vAlign w:val="bottom"/>
            <w:gridSpan w:val="4"/>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90"/>
              </w:rPr>
            </w:pPr>
            <w:hyperlink w:anchor="page38">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10.3</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10.4</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10.10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11,912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4,720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178,718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17,467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6,693</w:t>
            </w: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(See Note 11):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28,345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28,488</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(loss) income (See Note 12)</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13,639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96,938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 accounts receivable, net of allowances of $10,528 and $7,221</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111,944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114,916</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171,806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38,470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39,100</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447,059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453,051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177,898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212,274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212,267</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294,067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15,957</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1,156,491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36,742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3,505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34,914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31,768</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Long-term borrowings under senior credit facility</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321,875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321,875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convertible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5,393</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646,602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645,824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$0.01 par value; 60,000 authorized shares; 36,959 and 36,852 issued at March 31,</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2013 and December 31, 2012, respectively</w:t>
            </w:r>
          </w:p>
        </w:tc>
        <w:tc>
          <w:tcPr>
            <w:tcW w:w="32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589,948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587,301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8,903 shares at March 31, 2013 and December 31, 2012</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(367,121)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297,973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302,023</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509,889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517,775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1,156,491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22"/>
                <w:szCs w:val="22"/>
                <w:color w:val="auto"/>
              </w:rPr>
            </w:pPr>
          </w:p>
        </w:tc>
      </w:tr>
      <w:tr>
        <w:trPr>
          <w:trHeight w:val="21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60"/>
        </w:trPr>
        <w:tc>
          <w:tcPr>
            <w:tcW w:w="78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(4,050)</w:t>
            </w:r>
          </w:p>
        </w:tc>
        <w:tc>
          <w:tcPr>
            <w:tcW w:w="100" w:type="dxa"/>
            <w:vAlign w:val="bottom"/>
          </w:tcPr>
          <w:p>
            <w:pPr>
              <w:spacing w:after="0"/>
              <w:rPr>
                <w:sz w:val="20"/>
                <w:szCs w:val="20"/>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6,693</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11,389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12,576</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 (benefit) provision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760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interest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(8,885)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(853)</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1,619</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7,846</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32,318</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4"/>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60"/>
        </w:trPr>
        <w:tc>
          <w:tcPr>
            <w:tcW w:w="78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(10,853)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(10,412)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of property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used in business acquisition, net of cash acquired</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(2,766)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short-term investments</w:t>
            </w: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(53,248)</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(13,087)</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(63,835)</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4"/>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60"/>
        </w:trPr>
        <w:tc>
          <w:tcPr>
            <w:tcW w:w="78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Repayments under senior credit facility</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(12,813)</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(12,560)</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1,911</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(42,166)</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96,938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100,808</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58,642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the opinion of management, the March 31, 2013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2012 included in the Company’s Annual Report on Form 10-K. The December 31, 2012 consolidated balance sheet was derived from audited financial statements, but does not include all disclosures required by accounting principles generally accepted in the United States. Operating results for the three-month period ended March 31, 2013 are not necessarily indicative of the results to be expected for the entire year.</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and Adopted Accounting Standards</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February 2013, the Financial Accounting Standards Board issued Accounting Standards Update (ASU) No. 2013-02, </w:t>
      </w:r>
      <w:r>
        <w:rPr>
          <w:rFonts w:ascii="Arial" w:cs="Arial" w:eastAsia="Arial" w:hAnsi="Arial"/>
          <w:sz w:val="18"/>
          <w:szCs w:val="18"/>
          <w:i w:val="1"/>
          <w:iCs w:val="1"/>
          <w:color w:val="auto"/>
        </w:rPr>
        <w:t>Reporting of Amounts Reclassified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 of Accumulated Other Comprehensive Income, </w:t>
      </w:r>
      <w:r>
        <w:rPr>
          <w:rFonts w:ascii="Arial" w:cs="Arial" w:eastAsia="Arial" w:hAnsi="Arial"/>
          <w:sz w:val="18"/>
          <w:szCs w:val="18"/>
          <w:color w:val="auto"/>
        </w:rPr>
        <w:t>the FASB's final guidance related to additional reporting and disclosure of amounts reclassified out of</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(AOCI). The amended guidance requires entities to provide information about the amounts reclassified out of accumulated other comprehensive income by component. Additionally, entities are required to present, either on the face of the financial statements or in the notes, significant amounts reclassified out of accumulated other comprehensive income by the respective line items of net income. The amended guidance does not change the current requirements for reporting net income or other comprehensive income. This update is effective for annual and interim reporting periods for fiscal years beginning after December 15, 2012. The adoption of this standard did not have a material impact on the Company's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898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i w:val="1"/>
          <w:iCs w:val="1"/>
          <w:u w:val="single" w:color="auto"/>
          <w:color w:val="auto"/>
        </w:rPr>
        <w:t>Tarsus Medical, Inc.</w:t>
      </w:r>
    </w:p>
    <w:p>
      <w:pPr>
        <w:ind w:right="80"/>
        <w:spacing w:after="0" w:line="257" w:lineRule="auto"/>
        <w:rPr>
          <w:sz w:val="20"/>
          <w:szCs w:val="20"/>
          <w:color w:val="auto"/>
        </w:rPr>
      </w:pPr>
      <w:r>
        <w:rPr>
          <w:rFonts w:ascii="Arial" w:cs="Arial" w:eastAsia="Arial" w:hAnsi="Arial"/>
          <w:sz w:val="18"/>
          <w:szCs w:val="18"/>
          <w:color w:val="auto"/>
        </w:rPr>
        <w:t>On January 24, 2013, the Company acquired all outstanding preferred and common stock of Tarsus Medical, Inc. for a total of $4.7 million consisting of $2.8 million in cash (less cash acquired) and contingent consideration with an estimated acquisition date fair value of approximately $1.6 million. The potential maximum undiscounted contingent consideration consists of the first milestone payment of up to $1.5 million and the second payment of up to $11.5 million. These payments are based on reaching certain sales of acquired products. Tarsus Medical, Inc. is a podiatry device company addressing clinical needs associated with diseases and injuries of the foot and ankle.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preliminary allocation of the purchase price based on fair value of the assets acquired and liabilities assumed: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Preliminary</w:t>
            </w:r>
          </w:p>
        </w:tc>
        <w:tc>
          <w:tcPr>
            <w:tcW w:w="170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170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5,040</w:t>
            </w:r>
          </w:p>
        </w:tc>
        <w:tc>
          <w:tcPr>
            <w:tcW w:w="1700" w:type="dxa"/>
            <w:vAlign w:val="bottom"/>
          </w:tcPr>
          <w:p>
            <w:pPr>
              <w:ind w:left="140"/>
              <w:spacing w:after="0"/>
              <w:rPr>
                <w:sz w:val="20"/>
                <w:szCs w:val="20"/>
                <w:color w:val="auto"/>
              </w:rPr>
            </w:pPr>
            <w:r>
              <w:rPr>
                <w:rFonts w:ascii="Arial" w:cs="Arial" w:eastAsia="Arial" w:hAnsi="Arial"/>
                <w:sz w:val="18"/>
                <w:szCs w:val="18"/>
                <w:color w:val="auto"/>
              </w:rPr>
              <w:t>10 - 14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Indefinite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Deferred tax asset - long term</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1,334</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6,928</w:t>
            </w:r>
          </w:p>
        </w:tc>
        <w:tc>
          <w:tcPr>
            <w:tcW w:w="1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2,152</w:t>
            </w:r>
          </w:p>
        </w:tc>
        <w:tc>
          <w:tcPr>
            <w:tcW w:w="170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4,665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Management determined the preliminary fair value of net assets acquired during the first quarter of 2013. The Company accounts for the contingent consideration by recording its fair value as a liability on the date of the acquisition. The contingent consideration is remeasured to fair value at each reporting date until the contingency is resolved. Changes in fair value of contingent consideration are recognized in earnings. Accordingly, on January 24, 2013 the Company recorded $1.6 million representing the initial fair value estimate of the contingent consideration that will be earned through December 31, 2015. At March 31, 2013 there was no change in the fair value of the contingent consideration. The fair value of this liability is based on future sales projections of the Tarsus Medical product under various potential scenarios and weighting the probability of these outcomes for the period ended December 31, 2015. At the date of the acquisition, the first milestone cash flow projection was discounted using a rate of 4.3% based on an estimated after tax cost of debt; the second milestone cash flow projection was discounted using a weighted average cost of capital of 16.5%. These fair value measurements were based on significant inputs not observed in the market and thus represented a Level 3 measurement.</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goodwill recorded in connection with this acquisition is based on (i) expected cost savings, operating synergies and other benefits expected to result from the combined operations, (ii) the value of the going-concern element of Tarsus’ existing business (that is, the higher rate of return on the assembled net assets versus if the Company had acquired all of the net assets separately), and (iii) intangible assets that do not qualify for separate recognition such as Tarsus’ assembled workforce. The goodwill acquired will not be deductible for tax purposes.</w:t>
      </w:r>
    </w:p>
    <w:p>
      <w:pPr>
        <w:spacing w:after="0" w:line="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impact of the Tarsus acquisition is not material to the consolidated operating results of the Company; therefore, the pro-forma impact of the acquisition has not been presented.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7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r>
      <w:tr>
        <w:trPr>
          <w:trHeight w:val="196"/>
        </w:trPr>
        <w:tc>
          <w:tcPr>
            <w:tcW w:w="7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107,354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102,401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Work-in process</w:t>
            </w:r>
          </w:p>
        </w:tc>
        <w:tc>
          <w:tcPr>
            <w:tcW w:w="36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42,504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39,944</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29,700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29,461</w:t>
            </w:r>
          </w:p>
        </w:tc>
      </w:tr>
      <w:tr>
        <w:trPr>
          <w:trHeight w:val="237"/>
        </w:trPr>
        <w:tc>
          <w:tcPr>
            <w:tcW w:w="7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179,558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171,806</w:t>
            </w:r>
          </w:p>
        </w:tc>
      </w:tr>
      <w:tr>
        <w:trPr>
          <w:trHeight w:val="27"/>
        </w:trPr>
        <w:tc>
          <w:tcPr>
            <w:tcW w:w="7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finished goods inventory includes $2.2 million of capitalized medical device excise tax at March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This assessment is performed annually during the third quarter and was performed most recently on July 31, 2012 resulting in no impairment. However, if future results do not meet or exceed the Company's forecasts, or if unfavorable changes occur in the weighted-average cost of capital, growth assumptions for future revenue, terminal value growth rate and/or forecasted cash flows utilized in the discounted cash flow analysis, the Company may record an impairment of this goodwill at a future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2013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Tarsus Medical, Inc. acquisition</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March 31, 2013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93,701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57,141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60,078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55,855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292,278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Weighted</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2012</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Net</w:t>
            </w:r>
          </w:p>
        </w:tc>
        <w:tc>
          <w:tcPr>
            <w:tcW w:w="15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years   $</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80,387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40,626</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years $</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75,692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12 years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147,290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74,707</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 years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147,690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77,685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Trademarks/brand names</w:t>
            </w: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31 years</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18,593</w:t>
            </w: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 years</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w w:val="96"/>
              </w:rPr>
              <w:t>Trademarks/brand names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48,484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Indefinite</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27 years</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26,532</w:t>
            </w: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 years</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 years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3,332</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years</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69"/>
        </w:trPr>
        <w:tc>
          <w:tcPr>
            <w:tcW w:w="20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212,274</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At March 31, 2013 and December 31, 2012, all other included in-process research and development of $2.1 million and $1.7 million, respectively, which was indefinite-lived.</w:t>
      </w:r>
    </w:p>
    <w:p>
      <w:pPr>
        <w:spacing w:after="0" w:line="1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Based on quarter-end exchange rates, annual amortization expense is expected to approximate $19.4 million in 2013, $18.4 million in 2014, $16.6 million in 2015, $14.4 million in 2016 and $12.5 million in 2017. Identifiable intangible assets are initially recorded at fair market value at the time of acquisition using an income or cost approach.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10, 2010, the Company entered into an amended and restated credit agreement with a syndicate of lending banks (the “Senior Credit Facility”), it amended the Senior Credit Facility on June 8, 2011, and further amended it on May 11,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340" w:right="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allows the Company to further increase the size of the revolving credit component by an aggregate of $200 million with additional commitments;</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the Company with decreased borrowing rates and annual commitment fees, and provides more favorable financial covenants;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 The Senior Credit Facility is collateralized by substantially all of the assets of the Company’s U.S. subsidiaries, excluding intangible assets. The Senior Credit Facility is subject to various financial and negative covenants and at March 31, 2013, the Company was in compliance with all such covenants.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 (b) consolidated EBITDA) at the time of the applicable borrowing.</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also pays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March 31, 2013 and December 31, 2012, there was $321.9 million outstanding under the Senior Credit Facility at a weighted average interest rate of 1.7% and 1.8%, respectively. At March 31, 2013, there was approximately $278.1 million available for borrowing under the Senior Credit Facility. The fair value of outstanding borrowings under the Senior Credit Facility at March 31, 2013 was approximately $317.1 million. The fair value of the 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March 31, 2013, the carrying amount of the liability component was $199.5 million, the remaining unamortized discount was $30.5 million, and the principal amount outstanding was $230.0 million. The fair value of the 2016 Notes at March 31, 2013 was approximately $236.3 million. At December 31, 2012, the carrying amount of the liability component was $197.7 million, the remaining unamortized discount was $32.3 million and the principal amount outstanding was $230.0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March 31, 2013, none of these conditions existed with respect to the 2016 Notes and as a result, the 2016 Notes are classified as long term.</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June 2012, the Company repaid the 2012 Notes at maturity with long-term borrowings from its Senior Credit Facility and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1,610</w:t>
            </w:r>
          </w:p>
        </w:tc>
        <w:tc>
          <w:tcPr>
            <w:tcW w:w="10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1,739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7"/>
              </w:rPr>
              <w:t>2,428</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2,673</w:t>
            </w:r>
          </w:p>
        </w:tc>
      </w:tr>
      <w:tr>
        <w:trPr>
          <w:trHeight w:val="67"/>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2012 Notes: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1,789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2,769</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expects that approximately $1.8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2"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 for derivatives designated as hedging instruments as of March 31, 2013 and December 31, 2012:</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Fair Value as of</w:t>
            </w:r>
          </w:p>
        </w:tc>
        <w:tc>
          <w:tcPr>
            <w:tcW w:w="0" w:type="dxa"/>
            <w:vAlign w:val="bottom"/>
          </w:tcPr>
          <w:p>
            <w:pPr>
              <w:spacing w:after="0"/>
              <w:rPr>
                <w:sz w:val="1"/>
                <w:szCs w:val="1"/>
                <w:color w:val="auto"/>
              </w:rPr>
            </w:pPr>
          </w:p>
        </w:tc>
      </w:tr>
      <w:tr>
        <w:trPr>
          <w:trHeight w:val="152"/>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99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right="60" w:hanging="332"/>
        <w:spacing w:after="0" w:line="208"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At March 31, 2013 and December 31, 2012, the notional amount related to the Company’s sole interest rate swap was $123.8 million and $127.5 million, respectively. In the next twelve months, the Company expects to reduce the notional amount by $15.0 million.</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months ended March 31, 2013 and 2012: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204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2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2013</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98"/>
              <w:spacing w:after="0"/>
              <w:rPr>
                <w:sz w:val="20"/>
                <w:szCs w:val="20"/>
                <w:color w:val="auto"/>
              </w:rPr>
            </w:pPr>
            <w:r>
              <w:rPr>
                <w:rFonts w:ascii="Arial" w:cs="Arial" w:eastAsia="Arial" w:hAnsi="Arial"/>
                <w:sz w:val="18"/>
                <w:szCs w:val="18"/>
                <w:color w:val="auto"/>
                <w:w w:val="97"/>
              </w:rPr>
              <w:t>Costs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0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Three Months Ended March 31, 2012</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40" w:type="dxa"/>
            <w:vAlign w:val="bottom"/>
          </w:tcPr>
          <w:p>
            <w:pPr>
              <w:jc w:val="right"/>
              <w:ind w:right="398"/>
              <w:spacing w:after="0"/>
              <w:rPr>
                <w:sz w:val="20"/>
                <w:szCs w:val="20"/>
                <w:color w:val="auto"/>
              </w:rPr>
            </w:pPr>
            <w:r>
              <w:rPr>
                <w:rFonts w:ascii="Arial" w:cs="Arial" w:eastAsia="Arial" w:hAnsi="Arial"/>
                <w:sz w:val="18"/>
                <w:szCs w:val="18"/>
                <w:color w:val="auto"/>
                <w:w w:val="97"/>
              </w:rPr>
              <w:t>Costs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20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recognized no gains or losses resulting from ineffectiveness of cash flow hedges during the three months ended March 31, 2013 and 2012. At March 31, 2013 there were foreign currency contracts outstanding not designated as hedges with the notional amount equivalent to $3.8 million.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March 31, 2013,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Stock options issued under the Plans become exercisable over specified periods, generally within four years from the date of grant for officers and directors, and generally expire from six to ten years for directors and certain executive officers. Restricted stock issued under the Plans vests over specified periods, generally three years after the date of grant. Performance stock vesting, issued under the Plans, is subject to service and performance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were no stock options granted during the three months ended March 31, 2013. As of March 31, 2013, there were approximately $1.8 million of total unrecognized compensation costs related to unvested stock options. These costs are expected to be recognized over a weighted-average period of approximately two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Performance stock, restricted stock and contract stock awards generally have requisite service periods of three years. Performance stock awards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The Company granted approximately 129,000 restricted stock awards/stock units and 55,000 performance shares during the three months ended March 31, 2013. As of March 31, 2013, there were approximately $18.0 million of total unrecognized compensation costs related to these unvested awards. The Company expects to recognize these costs over a weighted-average period of approximately two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color w:val="auto"/>
        </w:rPr>
        <w:t>On October 23, 2012, the Company's Board of Directors authorized a repurchase of up to $75.0 million of its outstanding common stock through December 2014. The Company has not repurchased any of its outstanding shares of common stock during the three month periods ended March 31, 2013 and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there remained $75.0 million available for repurchases under this authorization.</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addition to the authorization above, on June 3, 2011, the Company’s Board of Directors separately authorized the Company to repurchase shares of common stock from the proceeds of the 2016 Notes in connection with that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Effective March 31, 2011, the Company froze the benefits due to the participants of the UK Plan in their entirety; this curtailment resulted in a $0.3 million reduction in the projected benefit obligations which the Company recorded on that date. The plans cover certain current and former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r>
      <w:tr>
        <w:trPr>
          <w:trHeight w:val="196"/>
        </w:trPr>
        <w:tc>
          <w:tcPr>
            <w:tcW w:w="8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plan assets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period benefit cost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made $0.2 million of contributions to its defined benefit pension plans during the three months ended March 31, 2013 and 2012,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352"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2012</w:t>
            </w:r>
          </w:p>
        </w:tc>
      </w:tr>
      <w:tr>
        <w:trPr>
          <w:trHeight w:val="243"/>
        </w:trPr>
        <w:tc>
          <w:tcPr>
            <w:tcW w:w="8180" w:type="dxa"/>
            <w:vAlign w:val="bottom"/>
          </w:tcPr>
          <w:p>
            <w:pPr>
              <w:spacing w:after="0"/>
              <w:rPr>
                <w:sz w:val="20"/>
                <w:szCs w:val="20"/>
                <w:color w:val="auto"/>
              </w:rPr>
            </w:pPr>
            <w:r>
              <w:rPr>
                <w:rFonts w:ascii="Arial" w:cs="Arial" w:eastAsia="Arial" w:hAnsi="Arial"/>
                <w:sz w:val="18"/>
                <w:szCs w:val="18"/>
                <w:color w:val="auto"/>
              </w:rPr>
              <w:t>Reported tax rate</w:t>
            </w:r>
          </w:p>
        </w:tc>
        <w:tc>
          <w:tcPr>
            <w:tcW w:w="9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29.6%</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r>
    </w:tbl>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effective income tax rate for the three months ended March 31, 2013 and 2012 were 29.6% and 30.2%, respectively. For the three months ended March 31, 2013, the reduction in the income tax rate compared to the same period in 2012 was primarily the result of a change in the jurisdictional mix of year-to-date worldwide pretax income and a reinstatement of the Federal research and development credit. The Company recorded a benefit of $0.9 million in the current quarter due to the extension of the Federal research credit by the American Taxpayer Relief Act which was signed into law this quarter. The Company recorded a benefit of $0.4 million in the current quarter for the release of tax contingency reserves. This amount is offset by an expense of $0.4 million due to a change in the German local tax rate, which is also effective this quarter.</w:t>
      </w:r>
    </w:p>
    <w:p>
      <w:pPr>
        <w:spacing w:after="0" w:line="17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1.0% due in part to foreign earnings taxed at lower tax rates combined with losses in the U.S., the benefit from the Federal research credit. This estimate could be revised in the future as additional information is presented to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r>
      <w:tr>
        <w:trPr>
          <w:trHeight w:val="364"/>
        </w:trPr>
        <w:tc>
          <w:tcPr>
            <w:tcW w:w="7540" w:type="dxa"/>
            <w:vAlign w:val="bottom"/>
            <w:shd w:val="clear" w:color="auto" w:fill="CCEEFF"/>
          </w:tcPr>
          <w:p>
            <w:pPr>
              <w:spacing w:after="0"/>
              <w:rPr>
                <w:sz w:val="24"/>
                <w:szCs w:val="24"/>
                <w:color w:val="auto"/>
              </w:rPr>
            </w:pPr>
          </w:p>
        </w:tc>
        <w:tc>
          <w:tcPr>
            <w:tcW w:w="32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640" w:type="dxa"/>
            <w:vAlign w:val="bottom"/>
            <w:shd w:val="clear" w:color="auto" w:fill="CCEEFF"/>
          </w:tcPr>
          <w:p>
            <w:pPr>
              <w:spacing w:after="0"/>
              <w:rPr>
                <w:sz w:val="24"/>
                <w:szCs w:val="24"/>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4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27,796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28,345</w:t>
            </w:r>
          </w:p>
        </w:tc>
      </w:tr>
      <w:tr>
        <w:trPr>
          <w:trHeight w:val="27"/>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124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4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27,796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28,345</w:t>
            </w:r>
          </w:p>
        </w:tc>
      </w:tr>
      <w:tr>
        <w:trPr>
          <w:trHeight w:val="27"/>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Stock options and restricted stock</w:t>
            </w:r>
          </w:p>
        </w:tc>
        <w:tc>
          <w:tcPr>
            <w:tcW w:w="12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7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28,488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1240" w:type="dxa"/>
            <w:vAlign w:val="bottom"/>
          </w:tcPr>
          <w:p>
            <w:pPr>
              <w:jc w:val="right"/>
              <w:ind w:right="103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0.23</w:t>
            </w:r>
          </w:p>
        </w:tc>
      </w:tr>
    </w:tbl>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March 31, 2013 and 2012, the Company had 1.7 million of outstanding stock options. The Company also has warrants outstanding relating to its 2016 Notes at March 31, 2013 and 2012. All stock options, restricted stock and warrants are excluded in the diluted earnings per share calculation using the treasury stock method because of their anti-dilutive effect at March 31, 2013. For the three months ended March 31, 2012, 1.5 million of anti-dilutive stock options were excluded from the diluted earnings per share calculation.</w:t>
      </w:r>
    </w:p>
    <w:p>
      <w:pPr>
        <w:spacing w:after="0" w:line="183" w:lineRule="exact"/>
        <w:rPr>
          <w:sz w:val="20"/>
          <w:szCs w:val="20"/>
          <w:color w:val="auto"/>
        </w:rPr>
      </w:pPr>
    </w:p>
    <w:p>
      <w:pPr>
        <w:jc w:val="both"/>
        <w:ind w:right="8100" w:firstLine="8"/>
        <w:spacing w:after="0" w:line="453"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(LOSS) INCOME </w:t>
      </w:r>
      <w:r>
        <w:rPr>
          <w:rFonts w:ascii="Arial" w:cs="Arial" w:eastAsia="Arial" w:hAnsi="Arial"/>
          <w:sz w:val="16"/>
          <w:szCs w:val="16"/>
          <w:color w:val="auto"/>
        </w:rPr>
        <w:t>Comprehensive (loss) income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6,845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2012 and March 31, 2013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896"/>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adjustments out of Accumulated Other Comprehensive (Loss) Income during the three months ended March 31, 2013 were as follows: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5"/>
              </w:rPr>
              <w:t>Three Months Ended March 31, 2013</w:t>
            </w: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165"/>
        </w:trPr>
        <w:tc>
          <w:tcPr>
            <w:tcW w:w="38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Arial" w:cs="Arial" w:eastAsia="Arial" w:hAnsi="Arial"/>
                <w:sz w:val="14"/>
                <w:szCs w:val="14"/>
                <w:b w:val="1"/>
                <w:bCs w:val="1"/>
                <w:color w:val="auto"/>
                <w:w w:val="96"/>
              </w:rPr>
              <w:t>Affected Line Item in the Statement where Net Income</w:t>
            </w:r>
          </w:p>
        </w:tc>
      </w:tr>
      <w:tr>
        <w:trPr>
          <w:trHeight w:val="192"/>
        </w:trPr>
        <w:tc>
          <w:tcPr>
            <w:tcW w:w="388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20" w:type="dxa"/>
            <w:vAlign w:val="bottom"/>
          </w:tcPr>
          <w:p>
            <w:pPr>
              <w:ind w:left="1260"/>
              <w:spacing w:after="0"/>
              <w:rPr>
                <w:sz w:val="20"/>
                <w:szCs w:val="20"/>
                <w:color w:val="auto"/>
              </w:rPr>
            </w:pPr>
            <w:r>
              <w:rPr>
                <w:rFonts w:ascii="Arial" w:cs="Arial" w:eastAsia="Arial" w:hAnsi="Arial"/>
                <w:sz w:val="14"/>
                <w:szCs w:val="14"/>
                <w:b w:val="1"/>
                <w:bCs w:val="1"/>
                <w:color w:val="auto"/>
              </w:rPr>
              <w:t>(loss) is Presented</w:t>
            </w:r>
          </w:p>
        </w:tc>
      </w:tr>
      <w:tr>
        <w:trPr>
          <w:trHeight w:val="264"/>
        </w:trPr>
        <w:tc>
          <w:tcPr>
            <w:tcW w:w="3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internally manages and reports the results of its businesses to its chief operating decision maker through five reportable segments. The five reportable segments are U.S. Neurosurgery, U.S. Instruments, U.S. Extremities, U.S. Spine and Other, and International. The U.S. Neurosurgery segment sells a full line of products specifically for neurosurgery and critical care such as tissue ablation equipment, dural repair products, cerebral spinal fluid management devices, intracranial monitoring equipment, and cranial stabilization equipment. The U.S. Instruments business sells more than 60,000 instrument patterns and surgical and lighting products to hospitals, surgery centers, and dental, podiatry, and veterinary offices. The U.S. Extremities segment includes the U.S. Extremity reconstruction business, which includes such offerings as skin and wound repair, bone and joint fixation, implants in the upper and lower extremities, bone grafts and nerve and tendon repair. 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medicine and other products to strategic partners. The International segment sells similar products to those discussed above, but are managed through the following geographies: (i) Europe, Middle East and Africa, and (ii) Central/South America, Asia-Pacific and Canada. The Corporate and other category includes</w:t>
      </w:r>
    </w:p>
    <w:p>
      <w:pPr>
        <w:spacing w:after="0" w:line="5" w:lineRule="exact"/>
        <w:rPr>
          <w:sz w:val="20"/>
          <w:szCs w:val="20"/>
          <w:color w:val="auto"/>
        </w:rPr>
      </w:pPr>
    </w:p>
    <w:p>
      <w:pPr>
        <w:ind w:right="400" w:firstLine="8"/>
        <w:spacing w:after="0" w:line="261"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various legal, finance, executive, and human resource functions, (ii) brand management, (iii) share-based compensation costs, and (iv) costs related to procurement, manufacturing operations and logistics for the Company’s entire organization.</w:t>
      </w:r>
    </w:p>
    <w:p>
      <w:pPr>
        <w:spacing w:after="0" w:line="18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three months ended March 31, 2013 and 2012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38,996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40,183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31,361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45,799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46,611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196,652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196,185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13,213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64,734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segment profits for the U.S. Instruments and U.S. Extremities segments, and Corporate and Other for the three months ended March 31, 2012 have been revised.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90,260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63,185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66,057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43,207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43,976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196,652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196,185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that the various U.S. segments manage that are generated from non-U.S. customers and therefore are included in Europe and the Rest of World revenues below. Total revenue by major geographic area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150,019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23,617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23,668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23,016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196,652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196,185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On April 10, 2013, the Company issued a press release announcing, among other things, that on April 10, 2013 it initiated a voluntary recall of certain products manufactured in its Añasco, Puerto Rico facility between December 2010 and May 2011 and between November 2012 and March 2013. Specific lots of these products have been recalled because the Company identified that there may have been deviations from required processes in their production.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reports of patient injuries or other adverse events attributable to the products subject to the recall. The Company continues to manufacture all such products in its Añasco facility.</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believes that most of the recalled product lots manufactured between December 2010 and May 2011 have already been consumed, and therefore the recall of those lots will not have a material financial impact. However, the return of products manufactured between November 2012 and March 2013, substantially all of which were sold in the three months ended March 31, 2013, reduced revenues in the first quarter of 2013. In addition, the Company anticipates that it will not be able to produce all the affected products quickly enough to meet the demand from customers for at least several months.</w:t>
      </w:r>
    </w:p>
    <w:p>
      <w:pPr>
        <w:spacing w:after="0" w:line="15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Given the nature of the product recall, in connection with the preparation of our March 31, 2013 financial statements, the Company has reviewed account balances subject to estimation at March 31, 2013 and recorded adjustments to the financial statements to reflect changes in estimates as to the recoverability of inventory and sales returns. The Company recorded a charge of $4.2 million in connection with this recall across its U.S. Neurosurgery, U.S. Spine and Other and International segments. Of the total charge, $2.9 million was recorded as a reduction of net sales and $1.3 million was recorded as an increase in cost of sales. These estimates will be adjusted accordingly based on actual product returns.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2012 included in our Annual Report on Form 10-K.</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2012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 group includes specialty metal implants for surgery of the extremities, shoulder and spine, orthobiologics products for repair and grafting of bone, dermal regeneration products and tissue-engineered wound dressings and nerve and tendon repair products. Our neurosurgery product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United States, we have several sales channels. We sell orthopedics products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(i) helps patients by limiting uncertainty for medical professionals and (ii) is a high-quality investment for shareholders. We will achieve these goals by delivering on our Brand Promises to our customers worldwide and by becoming a top player in all markets in which we compete. Our strategy includes the following key elements: geographic expansion, disciplined focus and execution, global quality assurance and acquiring or in-licensing products that fit existing sales channels, margin expansion and leveraging platform synergies.</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internal growth and by acquisitions), (2) gross margins on total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revenues, (3) operating margins (which we aim to expand as we leverage our existing infrastructure), (4) earnings before interest, taxes, depreciation, and amortization, and (5) earnings per diluted share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Regenerative Medicine Platform</w:t>
      </w:r>
      <w:r>
        <w:rPr>
          <w:rFonts w:ascii="Arial" w:cs="Arial" w:eastAsia="Arial" w:hAnsi="Arial"/>
          <w:sz w:val="18"/>
          <w:szCs w:val="18"/>
          <w:color w:val="auto"/>
        </w:rPr>
        <w:t>. 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116" w:lineRule="exact"/>
        <w:rPr>
          <w:rFonts w:ascii="Arial" w:cs="Arial" w:eastAsia="Arial" w:hAnsi="Arial"/>
          <w:sz w:val="18"/>
          <w:szCs w:val="18"/>
          <w:color w:val="auto"/>
        </w:rPr>
      </w:pPr>
    </w:p>
    <w:p>
      <w:pPr>
        <w:ind w:left="640" w:right="60" w:hanging="321"/>
        <w:spacing w:after="0" w:line="279"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Each of our three selling platforms contributes a different strength to our core business. Orthopedics enables</w:t>
      </w:r>
      <w:r>
        <w:rPr>
          <w:rFonts w:ascii="Arial" w:cs="Arial" w:eastAsia="Arial" w:hAnsi="Arial"/>
          <w:sz w:val="17"/>
          <w:szCs w:val="17"/>
          <w:i w:val="1"/>
          <w:iCs w:val="1"/>
          <w:color w:val="auto"/>
        </w:rPr>
        <w:t xml:space="preserve"> </w:t>
      </w:r>
      <w:r>
        <w:rPr>
          <w:rFonts w:ascii="Arial" w:cs="Arial" w:eastAsia="Arial" w:hAnsi="Arial"/>
          <w:sz w:val="17"/>
          <w:szCs w:val="17"/>
          <w:color w:val="auto"/>
        </w:rPr>
        <w:t>us to grow our top line and increase gross margins. Neurosurgery provides stable growth as a market with few elective procedures. The Instruments business has a strong capacity to generate cash flows. We have unique synergies among these platforms, such as our regenerative medicine technology, instrument sourcing capabilities, and Group Purchasing Organization (“GPO”) contract management.</w:t>
      </w:r>
    </w:p>
    <w:p>
      <w:pPr>
        <w:spacing w:after="0" w:line="117" w:lineRule="exact"/>
        <w:rPr>
          <w:rFonts w:ascii="Arial" w:cs="Arial" w:eastAsia="Arial" w:hAnsi="Arial"/>
          <w:sz w:val="17"/>
          <w:szCs w:val="17"/>
          <w:color w:val="auto"/>
        </w:rPr>
      </w:pPr>
    </w:p>
    <w:p>
      <w:pPr>
        <w:ind w:left="640" w:right="20" w:hanging="321"/>
        <w:spacing w:after="0" w:line="25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Unique Sales Footprint</w:t>
      </w:r>
      <w:r>
        <w:rPr>
          <w:rFonts w:ascii="Arial" w:cs="Arial" w:eastAsia="Arial" w:hAnsi="Arial"/>
          <w:sz w:val="18"/>
          <w:szCs w:val="18"/>
          <w:color w:val="auto"/>
        </w:rPr>
        <w:t>. 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manages. We have market-leading products for neurosurgeons, many of whom also perform spine surgeries, and we have yet to fully leverage those relationships to sell our spine products. We also have clinical expertise across all of our channels in the United States, and have an opportunity to expand and leverage this expertise in markets worldwide.</w:t>
      </w:r>
    </w:p>
    <w:p>
      <w:pPr>
        <w:spacing w:after="0" w:line="134" w:lineRule="exact"/>
        <w:rPr>
          <w:rFonts w:ascii="Arial" w:cs="Arial" w:eastAsia="Arial" w:hAnsi="Arial"/>
          <w:sz w:val="18"/>
          <w:szCs w:val="18"/>
          <w:color w:val="auto"/>
        </w:rPr>
      </w:pPr>
    </w:p>
    <w:p>
      <w:pPr>
        <w:ind w:left="640" w:right="60" w:hanging="321"/>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grow over the years, and is key to our ability to grow into a multi-billion dollar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January 24, 2013, the Company acquired all outstanding preferred and common stock of Tarsus Medical, Inc. for total of $4.7 million, consisting of $2.8 million in cash (less cash acquired) and contingent consideration with an estimated acquisition date fair value of approximately$1.6 million. The potential maximum undiscounted contingent consideration payment consists of first milestone payment of up to $1.5 million and the second payment of up to $11.5 million. These payments are based on reaching certain sales of acquired products. We believe that Tarsus Medical's technology will allow us to enter the syndesmosis repair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loss for the three months ended March 31, 2013, was $4.1 million, or $0.15 per diluted share as compared with net income of $6.7 million or $0.23 per diluted share for the three months ended March 31, 2012.</w:t>
      </w:r>
    </w:p>
    <w:p>
      <w:pPr>
        <w:spacing w:after="0" w:line="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results of operations for the three months ended March 31, 2013 were impacted by a voluntary recall of certain products manufactured in our Añasco, Puerto Rico facility. The net income decrease for the three months ended March 31, 2013 over the same period last year directly resulted from increases in the sales returns reserve and product shortages caused by the recall that led to revenue reductions. We also incurred incremental expenses during the first quarter related to the recall, including scrap of finished good products that were not released to customers and work in process, legal and consulting costs, and expenses for remediation of our quality systems. The effects of the recall noted above were offset by a decrease in our interest expense as a result of the June 2012 repayment of our 2012 Notes and capitalization of a portion of our interest expense into the cost of our capital projects.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Facility optimization charges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14,959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12,647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color w:val="auto"/>
                <w:w w:val="97"/>
              </w:rPr>
              <w:t>The items reported above are reflected in the condensed consolidated statements of operations as follows:</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8340" w:type="dxa"/>
            <w:vAlign w:val="bottom"/>
          </w:tcPr>
          <w:p>
            <w:pPr>
              <w:spacing w:after="0"/>
              <w:rPr>
                <w:sz w:val="24"/>
                <w:szCs w:val="24"/>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14,959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as other aspects of the project reach the application development stage, we will capitalize those expenditures as well.</w:t>
      </w:r>
    </w:p>
    <w:p>
      <w:pPr>
        <w:spacing w:after="0" w:line="1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Remediation activities in our regenerative medicine facility in Plainsboro, New Jersey affected revenues and gross margin in the first quarter of 2013.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did not restrict our ability to manufacture or ship products, nor did it require the recall of any product. In June and July 2012, the FDA again inspected the regenerative medicine facility. The second inspection closed out on July 30, 2012 and a FDA Form 483 Inspectional Observations was issued. We have been addressing the Form 483 observations, warning letter citations and communicating with the FDA on a monthly basis. Our efforts with respect to closing out the warning letter are well along, and we expect the FDA to return for another inspection at this facility later in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Since August 2011, we have undertaken significant efforts to remediate the observations that the FDA has made and continue to do so, including both capital investment for new equipment, leasehold improvements and incremental spending to improve or revise quality systems. We have recorded expenses totaling approximately $15.2 million since August 2011 through the end of the quarter ended March 31, 2013, of which $6.8 million was associated with remediation activities and $8.4 million for unplanned idle time and underutilization. The capital expenditures directed to the remediation of our regenerative medicine facility over the same period were $7.5 million.</w:t>
      </w:r>
    </w:p>
    <w:p>
      <w:pPr>
        <w:spacing w:after="0" w:line="13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the first quarter of 2013 and 2012, we expensed approximately $1.5 million and $1.6 million, respectively. For the full year 2013, we expect to spend approximately $2.8 million on our remediation activities and we expect to have them completed by the end of the second quarter.</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FDA inspected our neurosurgery manufacturing facility in Andover, England in June 2012. Subsequently, on November 5, 2012, we received a warning letter from the FDA dated November 1, 2012 related to quality systems issues at the Andover manufacturing facility. The warning letter identified violations related to corrective and preventative actions, process validations, internal quality audits, and internal review of the suitability and effectiveness of the quality system at defined intervals. We filed the FDA warning letter as an exhibit to a Current Report on Form 8-K on November 13, 2012. Since the conclusion of the FDA inspection in June 2012, we have undertaken significant efforts to remediate the observations that the FDA has made and continue to do so. We are providing the FDA with monthly status reports and working cooperatively with the FDA to resolve any outstanding issues.</w:t>
      </w:r>
    </w:p>
    <w:p>
      <w:pPr>
        <w:spacing w:after="0" w:line="165"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On February 14, 2013, we received a warning letter from the FDA relating to quality systems issues at our manufacturing facility located in Añasco, Puerto Rico. The letter resulted from an inspection conducted at that facility during October and November 2012. On February 15, 2013 we stopped distribution of our collagen products manufactured in the Añasco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Añasco facility.</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April 10, 2013, we initiated a voluntary recall of certain products manufactured in our Añasco, Puerto Rico facility between December 2010 and May 2011 and between November 2012 and March 2013. Specific lots of these products, as described below, have been recalled because we identified that there may have been deviations from required processes in their production. We identified through an internal quality assurance review that we may have deviated from a production process during the manufacture of specific lots of collagen products during the periods described in the preceding paragraph. The product lots in question passed all product finished goods testing including endotoxin testing, are sterile, and were tested and accepted for release. However, due to the process deviation, they may have been released with higher levels of endotoxins than permitted by the product specifications. Higher levels of endotoxins may result in a fever in the immediate postoperative period.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reports of patient injuries or other adverse events attributable to the products subject to the recall. We continue to manufacture all such products in our Añasco facility.</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believe that most of the recalled product lots manufactured between December 2010 and May 2011 have already been consumed, and that therefore, the recall of those lots will not have a material financial impact. However, the return of products, manufactured between November 2012 and March 2013, which were substantially sold in the first three months ended March 31, 2013, directly reduced revenues in the first quarter of 2013 by $2.9 million. In addition, we anticipate that we will not be able to produce all the affected products quickly enough to meet the demand from customers for at least several months. Such supply shortages resulted in lower revenues in the first quarter of 2013 and will result in lower revenues for the second and third quarters of 2013 than previously forecasted. We expect that the recall and expected supply shortages will have the greatest impact on the U.S. Neurosurgery, U.S. Spine and Other, and International Segments during the first and second quarters.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met with the Office of Compliance at the Center for Devices and Radiological Health on March 26, 2013. We presented our plans for both immediate remediation and our corporate plan for the development and implementation of one Quality System. We have engaged former FDA professionals as third party consultants to work with us on our remediation plans. We also met with the Office of Compliance at the FDA San Juan, Puerto Rico office to discuss the remediation plans at the Añasco facility. We have prioritized senior level quality and regulatory staff to address the quality system improvement plans at all of our facilities.</w:t>
      </w:r>
    </w:p>
    <w:p>
      <w:pPr>
        <w:spacing w:after="0" w:line="188" w:lineRule="exact"/>
        <w:rPr>
          <w:sz w:val="20"/>
          <w:szCs w:val="20"/>
          <w:color w:val="auto"/>
        </w:rPr>
      </w:pPr>
    </w:p>
    <w:p>
      <w:pPr>
        <w:ind w:right="620"/>
        <w:spacing w:after="0" w:line="290" w:lineRule="auto"/>
        <w:rPr>
          <w:sz w:val="20"/>
          <w:szCs w:val="20"/>
          <w:color w:val="auto"/>
        </w:rPr>
      </w:pPr>
      <w:r>
        <w:rPr>
          <w:rFonts w:ascii="Arial" w:cs="Arial" w:eastAsia="Arial" w:hAnsi="Arial"/>
          <w:sz w:val="18"/>
          <w:szCs w:val="18"/>
          <w:color w:val="auto"/>
        </w:rPr>
        <w:t>The recall applies to limited and specific lots of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Dural Graft Matrix,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Plus Dural Regeneration Matrix,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Suturable Dural Regeneration Matrix, DuraGen XS™ Dural Regeneration Matrix, Layershield</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Adhesion Barrier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Matrix, NeuraWrap™ Nerve Protector, NeuraGen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Nerve Guide, BioMend</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Membrane, OraMem</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Membrane, BioMend</w:t>
      </w:r>
      <w:r>
        <w:rPr>
          <w:rFonts w:ascii="Arial" w:cs="Arial" w:eastAsia="Arial" w:hAnsi="Arial"/>
          <w:sz w:val="17"/>
          <w:szCs w:val="17"/>
          <w:color w:val="auto"/>
          <w:vertAlign w:val="superscript"/>
        </w:rPr>
        <w:t>®</w:t>
      </w:r>
      <w:r>
        <w:rPr>
          <w:rFonts w:ascii="Arial" w:cs="Arial" w:eastAsia="Arial" w:hAnsi="Arial"/>
          <w:sz w:val="17"/>
          <w:szCs w:val="17"/>
          <w:color w:val="auto"/>
        </w:rPr>
        <w:t xml:space="preserve"> Extend Absorbable Collagen Membrane, CollaCote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Wound Dressing for Dental Surgery, CollaTape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Wound Dressing for Dental Surgery, CollaPlug</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Wound Dressing for Dental Surgery, HeliTape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Wound Dressing for Dental Surgery, HeliPlug</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Wound Dressing for Dental Surgery, OraTape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Wound Dressing for Dental Surgery, OraPlug</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Wound Dressing for Dental Surgery, Instat</w:t>
      </w:r>
      <w:r>
        <w:rPr>
          <w:rFonts w:ascii="Arial" w:cs="Arial" w:eastAsia="Arial" w:hAnsi="Arial"/>
          <w:sz w:val="17"/>
          <w:szCs w:val="17"/>
          <w:color w:val="auto"/>
          <w:vertAlign w:val="superscript"/>
        </w:rPr>
        <w:t>®</w:t>
      </w:r>
      <w:r>
        <w:rPr>
          <w:rFonts w:ascii="Arial" w:cs="Arial" w:eastAsia="Arial" w:hAnsi="Arial"/>
          <w:sz w:val="17"/>
          <w:szCs w:val="17"/>
          <w:color w:val="auto"/>
        </w:rPr>
        <w:t xml:space="preserve"> Microfibrillar Collagen Hemostat, Helistat</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Hemostatic Sponge (ACS/Helistat), and Helitene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Absorbable Collagen Hemostatic Agent. The Absorbable Collagen Sponge (ACS) is not a final product, but a component of a product assembled by another company.</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undertaken significant efforts to remediate the observations that the FDA has made and have been working on improving and revising our quality systems. During the three months ended March 31, 2013, we incurred $0.6 million in remediation activities expenses consisting of consulting expenses and other work activities required to complete our remediation activities. For the full year 2013, we expect to spend approximately $4.0 million on our quality systems activities and expect to have these activities completed in the second half of 2013. We will provide periodic status reports and work cooperatively with the FDA to resolve any outstanding issues.</w:t>
      </w:r>
    </w:p>
    <w:p>
      <w:pPr>
        <w:sectPr>
          <w:pgSz w:w="11900" w:h="16838" w:orient="portrait"/>
          <w:cols w:equalWidth="0" w:num="1">
            <w:col w:w="11380"/>
          </w:cols>
          <w:pgMar w:left="240" w:top="125" w:right="2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gross margin on product revenues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Neurosurgery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Extremities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Spine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International *</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goods sold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margin on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margin as a percentage of 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040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p>
      <w:pPr>
        <w:ind w:left="600"/>
        <w:spacing w:after="0"/>
        <w:tabs>
          <w:tab w:leader="none" w:pos="22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040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spacing w:after="0"/>
        <w:tabs>
          <w:tab w:leader="none" w:pos="820" w:val="left"/>
          <w:tab w:leader="none" w:pos="1640" w:val="left"/>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38,996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40,183</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36,948</w:t>
      </w:r>
      <w:r>
        <w:rPr>
          <w:sz w:val="20"/>
          <w:szCs w:val="20"/>
          <w:color w:val="auto"/>
        </w:rPr>
        <w:tab/>
      </w:r>
      <w:r>
        <w:rPr>
          <w:rFonts w:ascii="Arial" w:cs="Arial" w:eastAsia="Arial" w:hAnsi="Arial"/>
          <w:sz w:val="18"/>
          <w:szCs w:val="18"/>
          <w:color w:val="auto"/>
        </w:rPr>
        <w:t>37,994</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31,361</w:t>
      </w:r>
      <w:r>
        <w:rPr>
          <w:sz w:val="20"/>
          <w:szCs w:val="20"/>
          <w:color w:val="auto"/>
        </w:rPr>
        <w:tab/>
      </w:r>
      <w:r>
        <w:rPr>
          <w:rFonts w:ascii="Arial" w:cs="Arial" w:eastAsia="Arial" w:hAnsi="Arial"/>
          <w:sz w:val="18"/>
          <w:szCs w:val="18"/>
          <w:color w:val="auto"/>
        </w:rPr>
        <w:t>26,587</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43,548</w:t>
      </w:r>
      <w:r>
        <w:rPr>
          <w:sz w:val="20"/>
          <w:szCs w:val="20"/>
          <w:color w:val="auto"/>
        </w:rPr>
        <w:tab/>
      </w:r>
      <w:r>
        <w:rPr>
          <w:rFonts w:ascii="Arial" w:cs="Arial" w:eastAsia="Arial" w:hAnsi="Arial"/>
          <w:sz w:val="18"/>
          <w:szCs w:val="18"/>
          <w:color w:val="auto"/>
        </w:rPr>
        <w:t>44,810</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45,799</w:t>
      </w:r>
      <w:r>
        <w:rPr>
          <w:sz w:val="20"/>
          <w:szCs w:val="20"/>
          <w:color w:val="auto"/>
        </w:rPr>
        <w:tab/>
      </w:r>
      <w:r>
        <w:rPr>
          <w:rFonts w:ascii="Arial" w:cs="Arial" w:eastAsia="Arial" w:hAnsi="Arial"/>
          <w:sz w:val="18"/>
          <w:szCs w:val="18"/>
          <w:color w:val="auto"/>
        </w:rPr>
        <w:t>46,611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040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57" w:lineRule="exact"/>
        <w:rPr>
          <w:sz w:val="20"/>
          <w:szCs w:val="20"/>
          <w:color w:val="auto"/>
        </w:rPr>
      </w:pPr>
    </w:p>
    <w:p>
      <w:pPr>
        <w:ind w:left="740"/>
        <w:spacing w:after="0"/>
        <w:tabs>
          <w:tab w:leader="none" w:pos="2380" w:val="left"/>
        </w:tabs>
        <w:rPr>
          <w:sz w:val="20"/>
          <w:szCs w:val="20"/>
          <w:color w:val="auto"/>
        </w:rPr>
      </w:pPr>
      <w:r>
        <w:rPr>
          <w:rFonts w:ascii="Arial" w:cs="Arial" w:eastAsia="Arial" w:hAnsi="Arial"/>
          <w:sz w:val="18"/>
          <w:szCs w:val="18"/>
          <w:color w:val="auto"/>
        </w:rPr>
        <w:t>196,652</w:t>
      </w:r>
      <w:r>
        <w:rPr>
          <w:sz w:val="20"/>
          <w:szCs w:val="20"/>
          <w:color w:val="auto"/>
        </w:rPr>
        <w:tab/>
      </w:r>
      <w:r>
        <w:rPr>
          <w:rFonts w:ascii="Arial" w:cs="Arial" w:eastAsia="Arial" w:hAnsi="Arial"/>
          <w:sz w:val="18"/>
          <w:szCs w:val="18"/>
          <w:color w:val="auto"/>
        </w:rPr>
        <w:t>196,185</w:t>
      </w:r>
    </w:p>
    <w:p>
      <w:pPr>
        <w:spacing w:after="0" w:line="63" w:lineRule="exact"/>
        <w:rPr>
          <w:sz w:val="20"/>
          <w:szCs w:val="20"/>
          <w:color w:val="auto"/>
        </w:rPr>
      </w:pPr>
    </w:p>
    <w:p>
      <w:pPr>
        <w:ind w:left="840"/>
        <w:spacing w:after="0"/>
        <w:tabs>
          <w:tab w:leader="none" w:pos="2480" w:val="left"/>
        </w:tabs>
        <w:rPr>
          <w:sz w:val="20"/>
          <w:szCs w:val="20"/>
          <w:color w:val="auto"/>
        </w:rPr>
      </w:pPr>
      <w:r>
        <w:rPr>
          <w:rFonts w:ascii="Arial" w:cs="Arial" w:eastAsia="Arial" w:hAnsi="Arial"/>
          <w:sz w:val="18"/>
          <w:szCs w:val="18"/>
          <w:color w:val="auto"/>
        </w:rPr>
        <w:t>80,268</w:t>
      </w:r>
      <w:r>
        <w:rPr>
          <w:sz w:val="20"/>
          <w:szCs w:val="20"/>
          <w:color w:val="auto"/>
        </w:rPr>
        <w:tab/>
      </w:r>
      <w:r>
        <w:rPr>
          <w:rFonts w:ascii="Arial" w:cs="Arial" w:eastAsia="Arial" w:hAnsi="Arial"/>
          <w:sz w:val="18"/>
          <w:szCs w:val="18"/>
          <w:color w:val="auto"/>
        </w:rPr>
        <w:t>74,675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040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57" w:lineRule="exact"/>
        <w:rPr>
          <w:sz w:val="20"/>
          <w:szCs w:val="20"/>
          <w:color w:val="auto"/>
        </w:rPr>
      </w:pPr>
    </w:p>
    <w:p>
      <w:pPr>
        <w:spacing w:after="0"/>
        <w:tabs>
          <w:tab w:leader="none" w:pos="740" w:val="left"/>
          <w:tab w:leader="none" w:pos="164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116,384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040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84"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8"/>
          <w:szCs w:val="18"/>
          <w:color w:val="auto"/>
        </w:rPr>
        <w:t>59.2%</w:t>
      </w:r>
      <w:r>
        <w:rPr>
          <w:sz w:val="20"/>
          <w:szCs w:val="20"/>
          <w:color w:val="auto"/>
        </w:rPr>
        <w:tab/>
      </w:r>
      <w:r>
        <w:rPr>
          <w:rFonts w:ascii="Arial" w:cs="Arial" w:eastAsia="Arial" w:hAnsi="Arial"/>
          <w:sz w:val="16"/>
          <w:szCs w:val="16"/>
          <w:color w:val="auto"/>
        </w:rPr>
        <w:t>61.9%</w:t>
      </w:r>
    </w:p>
    <w:p>
      <w:pPr>
        <w:spacing w:after="0" w:line="200" w:lineRule="exact"/>
        <w:rPr>
          <w:sz w:val="20"/>
          <w:szCs w:val="20"/>
          <w:color w:val="auto"/>
        </w:rPr>
      </w:pPr>
    </w:p>
    <w:p>
      <w:pPr>
        <w:sectPr>
          <w:pgSz w:w="11900" w:h="16838" w:orient="portrait"/>
          <w:cols w:equalWidth="0" w:num="2">
            <w:col w:w="7520" w:space="720"/>
            <w:col w:w="3140"/>
          </w:cols>
          <w:pgMar w:left="240" w:top="125" w:right="279" w:bottom="1440" w:gutter="0" w:footer="0" w:header="0"/>
          <w:type w:val="continuous"/>
        </w:sectPr>
      </w:pPr>
    </w:p>
    <w:p>
      <w:pPr>
        <w:spacing w:after="0" w:line="295" w:lineRule="exact"/>
        <w:rPr>
          <w:sz w:val="20"/>
          <w:szCs w:val="20"/>
          <w:color w:val="auto"/>
        </w:rPr>
      </w:pPr>
    </w:p>
    <w:p>
      <w:pPr>
        <w:ind w:right="600" w:firstLine="8"/>
        <w:spacing w:after="0" w:line="308" w:lineRule="auto"/>
        <w:tabs>
          <w:tab w:leader="none" w:pos="1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as Compared to Three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March 31, 2013, total revenues increased slightly by $0.5 million to $196.7 million from $196.2 million for the same period in 2012.</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total revenues were negatively affected by our voluntary recall of certain products manufactured in our Anasco, Puerto Rico facility, including DuraGen® Dural Graft Matrix products. Although we continue to manufacture all the affected products in, and distribute from, our Anasco facility, the recall caused significant supply disruptions resulting in a decrease in our worldwide revenue and a larger than usual total backorder at the end of the quarter. The Company expects to resolve most of these disruptions by the end of 2013, but there can be no assurance the Company will not lose some customers or that backorder levels will return to normal by the end of the year.</w:t>
      </w:r>
    </w:p>
    <w:p>
      <w:pPr>
        <w:spacing w:after="0" w:line="13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U.S. Neurosurgery revenues were $39.0 million, a decrease of 3% from the prior-year period. The decrease was directly related to our collagen product shortages caused by the recall. Capital sales were up as we saw mid-single digit growth in our critical care, tissue ablation and cranial stabilization lines.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U.S. Instruments revenues were $36.9 million, a decrease of 3% from the prior-year period. In the quarter, we saw lower sales of our legacy lighting products. These declines were somewhat offset by growth in our retractor sales and sales of instruments to hospitals. We continued to experience sustained growth in sales of our LED surgical headlamp.</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U.S. Extremities revenues were $31.4 million, an increase of 18% from the prior-year period. This growth resulted primarily from significant increases in sales of our dermal and wound care products. We saw strong double digit growth in both our upper and lower extremities businesses, driven by new products, including pyrocarbon implants. The favorable comparison can also be attributed to prior-year backorders in our nerve and tendon products, which did not clear until April 2012.</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 Spine and Other revenues, which include our spine hardware, orthobiologics and private label products, were $43.5 million, a 3% decrease from the prior-year period. Our spine hardware product sales were down as we saw continued pricing pressure, reimbursement delays and increased time to get product approvals to sell in hospitals. We saw continued growth in our orthobiologics products, led by a strong demand for our EVO3™ products which was partially offset by lower sales of our Integra Mozaik™ products due to supply issues. Sales of our private label products were down from the prior-year period.</w:t>
      </w:r>
    </w:p>
    <w:p>
      <w:pPr>
        <w:spacing w:after="0" w:line="10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International segment revenues were $45.8 million, a decrease of 2% from the prior-year period. Our sales around the world were affected by the recall of our collagen products and backorders on these recalled products. Foreign currency unfavorably impacted our sales and accounted for $0.2 million. We saw growth in our spine implants and dermal and wound businesses with several new products and increasing coverage in direct and indirect channels.</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margin decreased 4% to $116.4 million for the three-month period ended March 31, 2013 from $121.5 million for the same period last year. Gross margin as a percentage of total revenue decreased to 59.2% for the first quarter of 2013 from 61.9% for the same period last year. The decrease in gross margin percentage resulted primarily from increases in reserves related to inventory associated with the recall and increased spending and remediation costs related to improving quality systems at our manufacturing facilities.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Health Care and Education Reconciliation Act of 2010 imposed a manufacturer's excise tax equal to 2.3% of the manufacturer's price of applicable medical devices by a medical device manufacturer, producer or importer of such device. In January, we began paying the tax deductible manufacturer's excise tax imposed on the first sale of certain medical devices in the United States. We elected to capitalize the excise tax in our inventory and subsequently record it in cost of goods sold as these products are sold to third-party customers.</w:t>
      </w:r>
    </w:p>
    <w:p>
      <w:pPr>
        <w:spacing w:after="0" w:line="13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expect our consolidated gross margin percentage for the full year 2013 to be between 60% and 61%, down when compared to 2012. We expect to complete the remediation work at our Plainsboro, New Jersey regenerative medicine manufacturing facility in the second quarter of 2013 and accordingly, expect to return to normal levels of production at that time. That said, costs related to the expansion of our regenerative medicine activities, and continued downward pressure on our private-label and spine hardware product sales volumes and the inclusion of the medical device tax will negatively affect our consolidated gross margin.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59.2%</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7"/>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$12.4 million, or 12%, to $116.4 million in the three months ended March 31, 2013, compared to $104.0 million in the same period last year.</w:t>
      </w:r>
    </w:p>
    <w:p>
      <w:pPr>
        <w:spacing w:after="0" w:line="124"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Research and development expenses in the first quarter of 2013 increased slightly compared to the same period last year mostly due to testing of new products. We target full-year 2013 spending on research and development to be approximately 6.5% of total revenues.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Selling, general and administrative expenses in the first quarter of 2013 increased by $12.8 million to $100.2 million compared to $87.4 million in the same period last year. Selling and marketing expenses increased by $7.1 million, primarily resulting from a higher headcount and larger proportion of sales through distributors, which generally have a higher cost than our direct sales force. Additionally, U.S. Extremities' commission costs were higher as a result of increases in revenue. General and administrative costs were up $5.7 million, primarily because of a higher headcount, increased consulting fees incurred in connection with the development and testing of our global ERP system, and consulting costs to support various strategic projects.</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expense in the first quarter of 2013 was $3.6 million compared to $4.7 million in the same period last year. The decrease is primarily due to certain intangible assets becoming fully amortized in the quarter.</w:t>
      </w:r>
    </w:p>
    <w:p>
      <w:pPr>
        <w:spacing w:after="0" w:line="1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light of the Company's performance in the first quarter and its expectations for further disruptions in the supply of products subject to the recall for the remainder of 2013, the Company is taking steps to reduce expenses or defer certain expenditures until the risk of supply disruptions and the resulting backorders are diminished.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60" w:type="dxa"/>
            <w:vAlign w:val="bottom"/>
            <w:tcBorders>
              <w:bottom w:val="single" w:sz="8" w:color="auto"/>
            </w:tcBorders>
            <w:gridSpan w:val="3"/>
          </w:tcPr>
          <w:p>
            <w:pPr>
              <w:jc w:val="center"/>
              <w:ind w:left="602"/>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(4,800)</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(7,929)</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(974)</w:t>
            </w: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7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Interest expense in the three months ended March 31, 2013 decreased primarily as a result of the June 2012 repayment of our 2012 Notes, which decreased our interest expense by $2.9 million, and $0.7 million of interest expense capitalized on our qualified construction in progress balances, offset by an additional $0.4 million of higher interest because of increased borrowing on our revolving line of credit. Our reported interest expense for the three-month periods ended March 31, 2013 and 2012 includes non-cash interest related to the accounting for convertible securities of $1.6 million and $3.5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expense for the first quarter of 2013 was primarily attributable to a write off of $1.5 million for a capital expenditure project not placed into service offset by foreign exchange gains on intercompany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18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2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(5,755)</w:t>
            </w:r>
          </w:p>
        </w:tc>
        <w:tc>
          <w:tcPr>
            <w:tcW w:w="126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9,593</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6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(1,705)</w:t>
            </w:r>
          </w:p>
        </w:tc>
        <w:tc>
          <w:tcPr>
            <w:tcW w:w="126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2,900</w:t>
            </w:r>
          </w:p>
        </w:tc>
      </w:tr>
      <w:tr>
        <w:trPr>
          <w:trHeight w:val="27"/>
        </w:trPr>
        <w:tc>
          <w:tcPr>
            <w:tcW w:w="7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7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effective income tax rate for the three months ended March 31, 2013 and 2012 were 29.6% and 30.2%, respectively. For the three months ended March 31, 2013, the reduction in the income tax rate compared to the same period in 2012 was primarily the result of a change in the jurisdictional mix of year-to-date worldwide pretax income and a reinstatement of the Federal research and development credit. The Company recorded a benefit of $0.9 million in the current quarter due to the extension of the Federal research credit by the American Taxpayer Relief Act which was signed into law this quarter. The Company recorded a benefit of $0.4 million in the current quarter for the release of tax contingency reserves. This amount is offset by an expense of $0.4 million due to a change in the German local tax rate, which is also effective this quarter.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1.0% due in part to foreign earnings taxed at lower tax rates combined with losses in the U.S., the benefit from the Federal research credit. This estimate could be revised in the future as additional information is presented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for the three months ended March 31, 2012 included a $0.6 million accrual for tax contingencies related to uncertain tax positions.</w:t>
      </w:r>
    </w:p>
    <w:p>
      <w:pPr>
        <w:spacing w:after="0" w:line="2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are classified as current income taxes payable.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that the various U.S. segments manage that are generated from non-U.S. customers and therefore included in Europe and the Rest of World revenues below – these revenues are not significant. Total revenue by major geographic area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150,019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23,617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23,668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23,016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196,652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196,185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Domestic revenues increased 1% to $150.0 million, or 76% of total revenues, for the three months ended March 31, 2013 from $148.7 million, or 76% of total revenues, for the three months ended March 31, 2012. International revenues decreased to $46.6 million from $47.5 million in the prior-year period, a decrease of 2%. Foreign exchange rate fluctuations accounted for a $0.2 million decrease in revenues during the first quarter of 2013 as compared to the same period last year.</w:t>
      </w:r>
    </w:p>
    <w:p>
      <w:pPr>
        <w:spacing w:after="0" w:line="13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had cash and cash equivalents totaling approximately $89.7 million and $96.9 million at March 31, 2013 and December 31, 2012, respectively. At March 31, 2013, our non-U.S. subsidiaries held approximately $77.0 million of cash and cash equivalents that are available for use by all of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32,318</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(13,087)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(63,835)</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(12,560)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1,911</w:t>
            </w:r>
          </w:p>
        </w:tc>
      </w:tr>
      <w:tr>
        <w:trPr>
          <w:trHeight w:val="27"/>
        </w:trPr>
        <w:tc>
          <w:tcPr>
            <w:tcW w:w="7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(42,166)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2013, we anticipate that our principal uses of cash will include payments of the new Medical Device Tax in a range of $9 -$12 million. We also plan to spend between $55.0 million and $65.0 million on capital expenditures primarily for our continued expansion of regenerative medicine manufacturing capacity, support maintenance in our existing plants, our enterprise resource planning system implementation, and additions to our instrument kits used in sales of orthopedic products.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$7.8 million and $32.3 million for the three months ended March 31, 2013 and 2012, respectively.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cash flow was lower than the same period in 2012 largely because of the net income decrease by $10.7 million for the three months ended March 31, 2013. Changes in working capital decreased cash flows by approximately $4.0 million. Among the changes in working capital, accounts receivable provided $2.1 million of cash, inventory used $8.9 million of cash, prepaid expenses and other current assets provided $2.9 million of cash, and accounts payable, accrued expenses and other current liabilities used $0.5 million of cash.</w:t>
      </w:r>
    </w:p>
    <w:p>
      <w:pPr>
        <w:spacing w:after="0" w:line="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income for the three months ended March 31, 2012 plus non-cash items included in those earnings amounted to approximately $24.9 million. Changes in working capital provided $7.2 million of net cash flows. Among the changes in working capital, accounts receivable contributed $4.8 million, prepaid expenses and other current assets contributed another $1.6 million, and liabilities contributed another $1.6 million while inventories used $0.9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During the three months ended March 31, 2013, we paid $10.9 million in cash for capital expenditures, most of which was directed to the expansion of our regenerative medicine production capacity and global enterprise system implementation. We also paid $2.8 million ($3.0 million net of $0.1 million of cash acquired and $0.1 million holdback subject to working capital adjustment) for the acquisition of Tarsus Medical, Inc.</w:t>
      </w:r>
    </w:p>
    <w:p>
      <w:pPr>
        <w:spacing w:after="0" w:line="3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the first quarter of 2012 we paid $10.4 million in cash for capital expenditures, most of which was directed to the expansion of our regenerative medicine production capacity and global enterprise system implementation and $0.2 million for a working capital adjustment related to the SeaSpine acquisition. We also invested $53.2 million in short-term time deposit accounts, which are held outside of the United States.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financing activities in the three months ended March 31, 2013 did not consist of any material items.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Our principal uses of cash in the quarter ended March 31, 2012 for financing activities were repayments of $12.8 million under our senior credit facility.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2013 and December 31, 2012, working capital was $341.3 million and $346.1 million, respectively.</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125" w:right="3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10, 2010, the Company entered into an amended and restated credit agreement (the “First Amendment") with a syndicate of lending banks and further amended the agreement on June 8, 2011 (the “Second Amendment”, and collectively referred to 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June 8, 2016. Both the First Amendment and the Second Amendment are collateralized by substantially all of the assets of the Company’s U.S. subsidiaries, excluding intangible assets. The Senior Credit Facility is subject to various financial and negative covenants and at March 31, 2013, the Company was in compliance with all such covenants.</w:t>
      </w:r>
    </w:p>
    <w:p>
      <w:pPr>
        <w:spacing w:after="0" w:line="1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May 11, 2012, the Company entered into another amendment to the Senior Credit Facility. The amendment modified certain financial and negative covenants as disclosed in Note 5, the effect of which was to increase the Company’s capacity to borrow.</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ind w:right="100"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("net debt") to (b) consolidated EBITDA) at the time of the applicable borrowing. 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March 31, 2013 and December 31, 2012, there was $321.9 million outstanding under the Senior Credit Facility at a weighted average interest rate of 1.7% and 1.8%, respectively.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March 31, 2013, there was approximately $278.1 million available for borrowing under the Senior Credit Facility. However, because of the recall and associated shortages of affected products, the Company expects that its revenues and profits in 2013 will be lower than its previous forecast. As a result, the Company expects that its Consolidated Total Leverage Ratio, which governs both the applicable rate of interest under the Senior Credit Facility and the amount that may be outstanding at any one time, will rise significantly during the second, third, and fourth quarters of 2013 compared to earlier periods. If the Company does not increase its profits (measured by trailing consolidated EBITDA, subject to certain adjustments), reduce its net debt, or amend its Senior Credit Facility, the Consolidated Total Leverage Ratio will effectively limit the Company's ability to use all the available capacity under the Senior Credit Facility. In addition, if the Company failed to comply with the Consolidated Total Leverage Ratio covenant, it would not be able to make future borrowings, would have to pay a higher rate of interest associated with outstanding borrowings, and would be subject to remedies under the Senior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pay interest each June 15 and December 15 on our $230.0 million senior convertible notes due December 2016 (“2016 Notes”) at an annual interest rate of 1.625%.</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The issue price of the 2016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for the 2016 Notes, subject to anti-dilution adjustments. The initial strike price of the warrant transactions is approximately $70.05 for the 2016 Notes, in each case subject to customary anti-dilution adjustments.</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w:t>
      </w:r>
      <w:r>
        <w:rPr>
          <w:sz w:val="1"/>
          <w:szCs w:val="1"/>
          <w:color w:val="auto"/>
        </w:rPr>
        <w:drawing>
          <wp:inline distT="0" distB="0" distL="0" distR="0">
            <wp:extent cx="2603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6"/>
          <w:szCs w:val="16"/>
          <w:color w:val="auto"/>
        </w:rPr>
        <w:t>with respect to the number of 2016 Notes that cease to be outstanding. The amounts involved may be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 We repurchased no shares under this program during the first three months of 2013 and $75.0 million remains available under the authorization.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off-balance sheet arrangements during the three months ended March 31,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2012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February 2013, the Financial Accounting Standards Board issued Accounting Standards Update (ASU) No. 2013-02, </w:t>
      </w:r>
      <w:r>
        <w:rPr>
          <w:rFonts w:ascii="Arial" w:cs="Arial" w:eastAsia="Arial" w:hAnsi="Arial"/>
          <w:sz w:val="18"/>
          <w:szCs w:val="18"/>
          <w:i w:val="1"/>
          <w:iCs w:val="1"/>
          <w:color w:val="auto"/>
        </w:rPr>
        <w:t>Reporting of Amounts Reclassified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 of Accumulated Other Comprehensive Income, </w:t>
      </w:r>
      <w:r>
        <w:rPr>
          <w:rFonts w:ascii="Arial" w:cs="Arial" w:eastAsia="Arial" w:hAnsi="Arial"/>
          <w:sz w:val="18"/>
          <w:szCs w:val="18"/>
          <w:color w:val="auto"/>
        </w:rPr>
        <w:t>the FASB's final guidance related to additional reporting and disclosure of amounts reclassified out of</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(AOCI). The amended guidance requires entities to provide information about the amounts reclassified out of accumulated other comprehensive income by component. Additionally, entities are required to present, either on the face of the financial statements or in the notes, significant amounts reclassified out of accumulated other comprehensive income by the respective line items of net income. The amended guidance does not change the current requirements for reporting net income or other comprehensive income. This update is effective for annual and interim reporting periods for fiscal years beginning after December 15, 2012. The adoption of this standard did not have a material impact on the Company's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At March 31, 2013, the notional amount of foreign currency contracts outstanding not designated as hedges was equivalent to $3.8 million. There were no foreign currency forward contracts outstanding at March 31, 2013 that were designated as hedges.</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u w:val="single" w:color="auto"/>
          <w:color w:val="auto"/>
        </w:rPr>
        <w:t>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movement in interest rates applicable to our cash and cash equivalents outstanding at March 31, 2013 would increase interest income by approximately $0.9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0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$123.8 million outstanding as of March 31, 2013. We recognized $0.5 million of additional interest expense related to this derivative during the three months of 2013. The fair value of our interest rate derivative instrument was a net liability of $3.6 million at March 31, 2013.</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our outstanding borrowings at March 31, 2013, a one-percentage point change in interest rates would have impacted interest expense on the unhedged portion of the debt by $2.0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2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2013. Based upon this evaluation, our principal executive officer and principal financial officer concluded that our disclosure controls and procedures were effective as of March 31, 2013 to provide such reasonable assurance.</w:t>
      </w:r>
    </w:p>
    <w:p>
      <w:pPr>
        <w:spacing w:after="0" w:line="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previously disclosed, the Company is in the process of a multi-year implementation of a global enterprise resource planning (“ERP”) system. In 2013, the Company expects the ERP will be deployed in certain U.S. operations. In addition, in response to business integration activities, the Company has and will continue to further align and streamline the design and operation of the financial control environment to be responsive to the changing business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March 31, 2013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2012 have not materially changed other than the modifications to the risk factors as set forth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62" w:lineRule="exact"/>
        <w:rPr>
          <w:sz w:val="20"/>
          <w:szCs w:val="20"/>
          <w:color w:val="auto"/>
        </w:rPr>
      </w:pPr>
    </w:p>
    <w:p>
      <w:pPr>
        <w:ind w:left="980" w:right="4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conditions in the United States or abroad, especially in Europe, which could affect the ability of hospitals and other customers to purchase our products and could result in a reduction in elective and non-reimbursed operative procedures;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184"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significant customer orders, which tend to increase in the fourth quarter to coincide with the end of budget cycles for many hospitals;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18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the British pound and the Japanese yen;</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backorders and lost sales resulting from stoppages in production relating to product recalls or field corrective actions;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and private health insurers;</w:t>
      </w:r>
    </w:p>
    <w:p>
      <w:pPr>
        <w:spacing w:after="0" w:line="184" w:lineRule="exact"/>
        <w:rPr>
          <w:rFonts w:ascii="Arial" w:cs="Arial" w:eastAsia="Arial" w:hAnsi="Arial"/>
          <w:sz w:val="18"/>
          <w:szCs w:val="18"/>
          <w:color w:val="auto"/>
        </w:rPr>
      </w:pPr>
    </w:p>
    <w:p>
      <w:pPr>
        <w:ind w:left="980" w:right="80" w:hanging="324"/>
        <w:spacing w:after="0" w:line="27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 and</w:t>
      </w:r>
    </w:p>
    <w:p>
      <w:pPr>
        <w:spacing w:after="0" w:line="130"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w:t>
      </w:r>
    </w:p>
    <w:p>
      <w:pPr>
        <w:spacing w:after="0" w:line="306" w:lineRule="exact"/>
        <w:rPr>
          <w:sz w:val="20"/>
          <w:szCs w:val="20"/>
          <w:color w:val="auto"/>
        </w:rPr>
      </w:pPr>
    </w:p>
    <w:p>
      <w:pPr>
        <w:ind w:left="180" w:right="1000"/>
        <w:spacing w:after="0" w:line="381" w:lineRule="auto"/>
        <w:rPr>
          <w:sz w:val="20"/>
          <w:szCs w:val="20"/>
          <w:color w:val="auto"/>
        </w:rPr>
      </w:pPr>
      <w:r>
        <w:rPr>
          <w:rFonts w:ascii="Arial" w:cs="Arial" w:eastAsia="Arial" w:hAnsi="Arial"/>
          <w:sz w:val="15"/>
          <w:szCs w:val="15"/>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6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3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issued new Guidance Documents regarding the approval and review of medical devices such as the Refuse to Accept Policy for 510(k)s, Acceptance and Filing Reviews for Premarket Approval Process (PMA) as well as other guidance. We must be in substantial compliance with these FDA Guidance Documents for the FDA to review our submissions.</w:t>
      </w:r>
    </w:p>
    <w:p>
      <w:pPr>
        <w:spacing w:after="0" w:line="154"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There is also no guarantee that the payors will agree to continue reimbursement or provide additional coverage based upon these clinical trials. These clinical trials could take years to complete and be expensive, and there is no guarantee that the FDA will approve the additional indications for use. If the FDA does not approve the additional indications for use, our ability to obtain reimbursement for these products and our ability to compete against alternative products or technologies could suffer and, consequently, affect our sales.</w:t>
      </w:r>
    </w:p>
    <w:p>
      <w:pPr>
        <w:spacing w:after="0" w:line="3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Premarket Approval (PMA) application rather than allowing us to market for approved uses while we seek broader approvals or requires extensive additional clinical data, the time and expense required to obtain the required approval might be significantly increased or approval might not be granted. Furthermore, the timing of approvals in the U.S. and Europe is now dependent on the class of product. Any of our Class III devices (those categorized as supporting or sustaining human life, are of substantial importance in preventing impairment of human health, or which present a potential, unreasonable risk of illness or injury)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products of animal origin take an extensive amount of time to obtain approval in the European Union, and all require clinical reports or clinical trial data which can be costly.</w:t>
      </w:r>
    </w:p>
    <w:p>
      <w:pPr>
        <w:spacing w:after="0" w:line="3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FDA Safety and Innovation Act (FDASIA), which includes the Medical Device User Fee Amendments of 2012 (MDUFA III), as well as other medical device provisions, went into effect October 1, 2012. This includes performance goals and user fees paid to tha FDA by medical device companies when they register and list with the FDA and when they submit an application to market a device in the U.S. This will affect the fees paid to the FDA over the 5 year period that FDASIA is in effect. As part of FDASIA, there are also new requirements regarding FDA Establishment Registration and Listing of Medical Devices. All foreign manufacturers must register and list medical devices for sale in the U.S. All of our facilities comply with these requirements. However, we also source products from foreign contract manufacturers. From this business practice, it is possible that some of our foreign contract manufacturers will not comply with the new requirements and choose not to register with the FDA. In such an event, we will need to determine if there are alternative foreign contract manufacturers who comply with these requirements. If such a foreign contract manufacturer is a sole supplier of one of our products, there is a risk that we may not be able to source another supplier.</w:t>
      </w:r>
    </w:p>
    <w:p>
      <w:pPr>
        <w:spacing w:after="0" w:line="4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44"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3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Form 483 Inspectional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w:t>
      </w:r>
    </w:p>
    <w:p>
      <w:pPr>
        <w:spacing w:after="0" w:line="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received warning letters at our Plainsboro, New Jersey, Andover, England, and Anasco, Puerto Rico facilities. We have incurred, and will incur, expenses to remediate issues identified in those warning letters and other observations issued in connection with other inspections at other facilities, and to prepare our manufacturing facilities for anticipated FDA inspections. The FDA has notified us that it will not grant requests for exportation certificates to foreign governments until the violations identified in the warning letters have been corrected. If such remediation cannot be completed in a timely manner, we may not be able to produce certain products for a period of time or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are being implemented in some markets starting in July 2012 and will continue to be adopted over the following years worldwide. If we cannot comply with these standards, we may not be able to sell some of our products in the affected markets. Most of our affected products have already been modified to meet the new standards and are substantially in compliance with these standards. Except in limited circumstances, we do not anticipate any delays in selling our products in the markets that have adopted the IEC updated standards.</w:t>
      </w:r>
    </w:p>
    <w:p>
      <w:pPr>
        <w:spacing w:after="0" w:line="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are also subject to other regulatory requirements of countries outside the United States where we do business. For example, under the European Union Medical Device Directive (MDD),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w:t>
      </w:r>
    </w:p>
    <w:p>
      <w:pPr>
        <w:spacing w:after="0" w:line="4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Compliance with these regulations requires extensive documentation, clinical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 often require extensive documentation, including clinical data and could require audits of our manufacturing facilities in order to gain approval to sell our products in that country. There are also associated fees with these new regulations. These regulations are required for all new products and re-registration of our medical devices, and could involve lengthy and expensive reviews.</w:t>
      </w:r>
    </w:p>
    <w:p>
      <w:pPr>
        <w:spacing w:after="0" w:line="23"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some EU member states have instituted new requirements for additional testing of donors that may prevent our obtaining approval of certain products in those member states.</w:t>
      </w:r>
    </w:p>
    <w:p>
      <w:pPr>
        <w:spacing w:after="0" w:line="31"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62" w:lineRule="exact"/>
        <w:rPr>
          <w:sz w:val="20"/>
          <w:szCs w:val="20"/>
          <w:color w:val="auto"/>
        </w:rPr>
      </w:pPr>
    </w:p>
    <w:p>
      <w:pPr>
        <w:ind w:left="980" w:right="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mentioned above, new legislation, which is intended to expand access to health insurance coverage over time, will result in major changes in the United States healthcare system that could have an adverse effect on our business, including a 2.3% excise tax on U.S. sales of most medical devices, implemented in 2013, which will adversely affect our earnings;</w:t>
      </w:r>
    </w:p>
    <w:p>
      <w:pPr>
        <w:spacing w:after="0" w:line="140" w:lineRule="exact"/>
        <w:rPr>
          <w:rFonts w:ascii="Arial" w:cs="Arial" w:eastAsia="Arial" w:hAnsi="Arial"/>
          <w:sz w:val="18"/>
          <w:szCs w:val="18"/>
          <w:color w:val="auto"/>
        </w:rPr>
      </w:pPr>
    </w:p>
    <w:p>
      <w:pPr>
        <w:jc w:val="both"/>
        <w:ind w:left="980" w:right="12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14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Medicare, Medicaid and private healthcare insurer cutbacks could create downward price pressure on our products;</w:t>
      </w:r>
    </w:p>
    <w:p>
      <w:pPr>
        <w:spacing w:after="0" w:line="184" w:lineRule="exact"/>
        <w:rPr>
          <w:rFonts w:ascii="Arial" w:cs="Arial" w:eastAsia="Arial" w:hAnsi="Arial"/>
          <w:sz w:val="18"/>
          <w:szCs w:val="18"/>
          <w:color w:val="auto"/>
        </w:rPr>
      </w:pPr>
    </w:p>
    <w:p>
      <w:pPr>
        <w:ind w:left="980" w:right="380" w:hanging="324"/>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Medicare coverage as well as commercial carrier coverage determinations will eliminate reimbursement or coverage for certain of our matrix wound dressing products as well as other collagen products in most regions, negatively affecting our market for these products, and future determinations could eliminate reimbursement or coverage for these products in other regions and could eliminate reimbursement or coverage for other products;</w:t>
      </w:r>
    </w:p>
    <w:p>
      <w:pPr>
        <w:spacing w:after="0" w:line="146" w:lineRule="exact"/>
        <w:rPr>
          <w:rFonts w:ascii="Arial" w:cs="Arial" w:eastAsia="Arial" w:hAnsi="Arial"/>
          <w:sz w:val="18"/>
          <w:szCs w:val="18"/>
          <w:color w:val="auto"/>
        </w:rPr>
      </w:pPr>
    </w:p>
    <w:p>
      <w:pPr>
        <w:jc w:val="both"/>
        <w:ind w:left="980" w:right="16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spacing w:after="0" w:line="14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83" w:lineRule="exact"/>
        <w:rPr>
          <w:rFonts w:ascii="Arial" w:cs="Arial" w:eastAsia="Arial" w:hAnsi="Arial"/>
          <w:sz w:val="16"/>
          <w:szCs w:val="16"/>
          <w:color w:val="auto"/>
        </w:rPr>
      </w:pPr>
    </w:p>
    <w:p>
      <w:pPr>
        <w:ind w:left="980" w:right="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right="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129" w:lineRule="exact"/>
        <w:rPr>
          <w:rFonts w:ascii="Arial" w:cs="Arial" w:eastAsia="Arial" w:hAnsi="Arial"/>
          <w:sz w:val="18"/>
          <w:szCs w:val="18"/>
          <w:color w:val="auto"/>
        </w:rPr>
      </w:pPr>
    </w:p>
    <w:p>
      <w:pPr>
        <w:jc w:val="both"/>
        <w:ind w:left="980" w:right="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partnerships with healthcare service and goods providers to reduce prices;</w:t>
      </w:r>
    </w:p>
    <w:p>
      <w:pPr>
        <w:spacing w:after="0" w:line="14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growing prevalence of physician-owned distributorships catering to the spinal surgery market has reduced and may continue to reduce our ability to compete effectively for business from surgeons who own such distributorships; and</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March 31, 2013 under this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9740" w:type="dxa"/>
            <w:vAlign w:val="bottom"/>
          </w:tcPr>
          <w:p>
            <w:pPr>
              <w:ind w:left="140"/>
              <w:spacing w:after="0"/>
              <w:rPr>
                <w:sz w:val="20"/>
                <w:szCs w:val="20"/>
                <w:color w:val="auto"/>
              </w:rPr>
            </w:pPr>
            <w:r>
              <w:rPr>
                <w:rFonts w:ascii="Arial" w:cs="Arial" w:eastAsia="Arial" w:hAnsi="Arial"/>
                <w:sz w:val="18"/>
                <w:szCs w:val="18"/>
                <w:color w:val="auto"/>
                <w:w w:val="90"/>
              </w:rPr>
              <w:t>Letter Agreement dated February 19, 2013 between Peter J. Arduini and Integra LifeSciences Holdings Corporation (Incorporated by</w:t>
            </w:r>
          </w:p>
        </w:tc>
      </w:tr>
      <w:tr>
        <w:trPr>
          <w:trHeight w:val="230"/>
        </w:trPr>
        <w:tc>
          <w:tcPr>
            <w:tcW w:w="100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Form of Performance Stock Agreement (Executive Officers) (Incorporated by reference to Exhibit 10.2 to the Company's Current</w:t>
            </w:r>
          </w:p>
        </w:tc>
      </w:tr>
      <w:tr>
        <w:trPr>
          <w:trHeight w:val="230"/>
        </w:trPr>
        <w:tc>
          <w:tcPr>
            <w:tcW w:w="100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Report on Form 8-K filed on February 25, 2013)</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9740" w:type="dxa"/>
            <w:vAlign w:val="bottom"/>
          </w:tcPr>
          <w:p>
            <w:pPr>
              <w:ind w:left="140"/>
              <w:spacing w:after="0"/>
              <w:rPr>
                <w:sz w:val="20"/>
                <w:szCs w:val="20"/>
                <w:color w:val="auto"/>
              </w:rPr>
            </w:pPr>
            <w:r>
              <w:rPr>
                <w:rFonts w:ascii="Arial" w:cs="Arial" w:eastAsia="Arial" w:hAnsi="Arial"/>
                <w:sz w:val="18"/>
                <w:szCs w:val="18"/>
                <w:color w:val="auto"/>
              </w:rPr>
              <w:t>Performance Incentive Compensation Plan effective January 1, 2013</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9740" w:type="dxa"/>
            <w:vAlign w:val="bottom"/>
          </w:tcPr>
          <w:p>
            <w:pPr>
              <w:ind w:left="140"/>
              <w:spacing w:after="0"/>
              <w:rPr>
                <w:sz w:val="20"/>
                <w:szCs w:val="20"/>
                <w:color w:val="auto"/>
              </w:rPr>
            </w:pPr>
            <w:r>
              <w:rPr>
                <w:rFonts w:ascii="Arial" w:cs="Arial" w:eastAsia="Arial" w:hAnsi="Arial"/>
                <w:sz w:val="18"/>
                <w:szCs w:val="18"/>
                <w:color w:val="auto"/>
              </w:rPr>
              <w:t>Amendment to Second Amended and Restated 2003 Equity Incentive Plan effective January 1, 2013</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9740" w:type="dxa"/>
            <w:vAlign w:val="bottom"/>
          </w:tcPr>
          <w:p>
            <w:pPr>
              <w:ind w:left="140"/>
              <w:spacing w:after="0"/>
              <w:rPr>
                <w:sz w:val="20"/>
                <w:szCs w:val="20"/>
                <w:color w:val="auto"/>
              </w:rPr>
            </w:pPr>
            <w:r>
              <w:rPr>
                <w:rFonts w:ascii="Arial" w:cs="Arial" w:eastAsia="Arial" w:hAnsi="Arial"/>
                <w:sz w:val="18"/>
                <w:szCs w:val="18"/>
                <w:color w:val="auto"/>
                <w:w w:val="95"/>
              </w:rPr>
              <w:t>Amendment to 2000 Equity Incentive Plan (effective as of January 1, 2013) (Incorporated by reference to Exhibit 10.8(c) to the</w:t>
            </w:r>
          </w:p>
        </w:tc>
      </w:tr>
      <w:tr>
        <w:trPr>
          <w:trHeight w:val="230"/>
        </w:trPr>
        <w:tc>
          <w:tcPr>
            <w:tcW w:w="100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9740" w:type="dxa"/>
            <w:vAlign w:val="bottom"/>
          </w:tcPr>
          <w:p>
            <w:pPr>
              <w:ind w:left="140"/>
              <w:spacing w:after="0"/>
              <w:rPr>
                <w:sz w:val="20"/>
                <w:szCs w:val="20"/>
                <w:color w:val="auto"/>
              </w:rPr>
            </w:pPr>
            <w:r>
              <w:rPr>
                <w:rFonts w:ascii="Arial" w:cs="Arial" w:eastAsia="Arial" w:hAnsi="Arial"/>
                <w:sz w:val="18"/>
                <w:szCs w:val="18"/>
                <w:color w:val="auto"/>
                <w:w w:val="95"/>
              </w:rPr>
              <w:t>Amendment to 2001 Equity Incentive Plan (effective as of January 1, 2013) (Incorporated by reference to Exhibit 10.9(c) to the</w:t>
            </w:r>
          </w:p>
        </w:tc>
      </w:tr>
      <w:tr>
        <w:trPr>
          <w:trHeight w:val="230"/>
        </w:trPr>
        <w:tc>
          <w:tcPr>
            <w:tcW w:w="100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9740" w:type="dxa"/>
            <w:vAlign w:val="bottom"/>
          </w:tcPr>
          <w:p>
            <w:pPr>
              <w:ind w:left="140"/>
              <w:spacing w:after="0"/>
              <w:rPr>
                <w:sz w:val="20"/>
                <w:szCs w:val="20"/>
                <w:color w:val="auto"/>
              </w:rPr>
            </w:pPr>
            <w:r>
              <w:rPr>
                <w:rFonts w:ascii="Arial" w:cs="Arial" w:eastAsia="Arial" w:hAnsi="Arial"/>
                <w:sz w:val="18"/>
                <w:szCs w:val="18"/>
                <w:color w:val="auto"/>
                <w:w w:val="96"/>
              </w:rPr>
              <w:t>New Form of Restricted Stock Agreement for Non-Employee Directors under the 2003 Equity Incentive Plan (Incorporated by</w:t>
            </w:r>
          </w:p>
        </w:tc>
      </w:tr>
      <w:tr>
        <w:trPr>
          <w:trHeight w:val="230"/>
        </w:trPr>
        <w:tc>
          <w:tcPr>
            <w:tcW w:w="100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reference to Exhibit 10.38(b) to the Company's Annual Report on Form 10-K for the year ended December 31, 2012)</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9740" w:type="dxa"/>
            <w:vAlign w:val="bottom"/>
          </w:tcPr>
          <w:p>
            <w:pPr>
              <w:ind w:left="140"/>
              <w:spacing w:after="0"/>
              <w:rPr>
                <w:sz w:val="20"/>
                <w:szCs w:val="20"/>
                <w:color w:val="auto"/>
              </w:rPr>
            </w:pPr>
            <w:r>
              <w:rPr>
                <w:rFonts w:ascii="Arial" w:cs="Arial" w:eastAsia="Arial" w:hAnsi="Arial"/>
                <w:sz w:val="18"/>
                <w:szCs w:val="18"/>
                <w:color w:val="auto"/>
                <w:w w:val="92"/>
              </w:rPr>
              <w:t>New Form of Restricted Stock Agreement for Executive Officers - Annual Vesting (Incorporated by reference to Exhibit 10.38(e) to</w:t>
            </w:r>
          </w:p>
        </w:tc>
      </w:tr>
      <w:tr>
        <w:trPr>
          <w:trHeight w:val="230"/>
        </w:trPr>
        <w:tc>
          <w:tcPr>
            <w:tcW w:w="100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the Company's Annual Report on Form 10-K for the year ended December 31, 2012)</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9740" w:type="dxa"/>
            <w:vAlign w:val="bottom"/>
          </w:tcPr>
          <w:p>
            <w:pPr>
              <w:ind w:left="140"/>
              <w:spacing w:after="0"/>
              <w:rPr>
                <w:sz w:val="20"/>
                <w:szCs w:val="20"/>
                <w:color w:val="auto"/>
              </w:rPr>
            </w:pPr>
            <w:r>
              <w:rPr>
                <w:rFonts w:ascii="Arial" w:cs="Arial" w:eastAsia="Arial" w:hAnsi="Arial"/>
                <w:sz w:val="18"/>
                <w:szCs w:val="18"/>
                <w:color w:val="auto"/>
                <w:w w:val="92"/>
              </w:rPr>
              <w:t>New Form of Restricted Stock Agreement for Executive Officers - Cliff Vesting (Incorporated by reference to Exhibit 10.38(h) to the</w:t>
            </w:r>
          </w:p>
        </w:tc>
      </w:tr>
      <w:tr>
        <w:trPr>
          <w:trHeight w:val="230"/>
        </w:trPr>
        <w:tc>
          <w:tcPr>
            <w:tcW w:w="100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*10.10</w:t>
            </w:r>
          </w:p>
        </w:tc>
        <w:tc>
          <w:tcPr>
            <w:tcW w:w="9740" w:type="dxa"/>
            <w:vAlign w:val="bottom"/>
          </w:tcPr>
          <w:p>
            <w:pPr>
              <w:ind w:left="140"/>
              <w:spacing w:after="0"/>
              <w:rPr>
                <w:sz w:val="20"/>
                <w:szCs w:val="20"/>
                <w:color w:val="auto"/>
              </w:rPr>
            </w:pPr>
            <w:r>
              <w:rPr>
                <w:rFonts w:ascii="Arial" w:cs="Arial" w:eastAsia="Arial" w:hAnsi="Arial"/>
                <w:sz w:val="18"/>
                <w:szCs w:val="18"/>
                <w:color w:val="auto"/>
              </w:rPr>
              <w:t>Severance Agreement between Richard D. Gorelick and the Company dated as of January 3, 2012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974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974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240"/>
          </w:cols>
          <w:pgMar w:left="240" w:top="125" w:right="419" w:bottom="1440" w:gutter="0" w:footer="0" w:header="0"/>
        </w:sect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240" w:top="125" w:right="4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line="25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2013 filed on May 2, 2013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391"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Corporate Vice President, Finance and Administration,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125"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jc w:val="right"/>
              <w:ind w:right="220"/>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97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8"/>
              </w:rPr>
              <w:t>Table of Contents</w:t>
            </w:r>
          </w:p>
        </w:tc>
        <w:tc>
          <w:tcPr>
            <w:tcW w:w="9740" w:type="dxa"/>
            <w:vAlign w:val="bottom"/>
          </w:tcPr>
          <w:p>
            <w:pPr>
              <w:spacing w:after="0"/>
              <w:rPr>
                <w:sz w:val="24"/>
                <w:szCs w:val="24"/>
                <w:color w:val="auto"/>
              </w:rPr>
            </w:pPr>
          </w:p>
        </w:tc>
      </w:tr>
      <w:tr>
        <w:trPr>
          <w:trHeight w:val="588"/>
        </w:trPr>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Exhibits</w:t>
            </w:r>
          </w:p>
        </w:tc>
        <w:tc>
          <w:tcPr>
            <w:tcW w:w="14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580"/>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0"/>
              </w:rPr>
              <w:t>Letter Agreement dated February 19, 2013 between Peter J. Arduini and Integra LifeSciences Holdings Corporation (Incorporated by</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580"/>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3"/>
              </w:rPr>
              <w:t>Form of Performance Stock Agreement (Executive Officers) (Incorporated by reference to Exhibit 10.2 to the Company's Current</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Report on Form 8-K filed on February 25, 2013)</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Performance Incentive Compensation Plan effective January 1, 2013</w:t>
            </w:r>
          </w:p>
        </w:tc>
      </w:tr>
      <w:tr>
        <w:trPr>
          <w:trHeight w:val="486"/>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Amendment to Second Amended and Restated 2003 Equity Incentive Plan effective January 1, 2013</w:t>
            </w:r>
          </w:p>
        </w:tc>
      </w:tr>
      <w:tr>
        <w:trPr>
          <w:trHeight w:val="47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5"/>
              </w:rPr>
              <w:t>Amendment to 2000 Equity Incentive Plan (effective as of January 1, 2013) (Incorporated by reference to Exhibit 10.8(c) to the</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7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5"/>
              </w:rPr>
              <w:t>Amendment to 2001 Equity Incentive Plan (effective as of January 1, 2013) (Incorporated by reference to Exhibit 10.9(c) to the</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7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6"/>
              </w:rPr>
              <w:t>New Form of Restricted Stock Agreement for Non-Employee Directors under the 2003 Equity Incentive Plan (Incorporated by</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reference to Exhibit 10.38(b) to the Company's Annual Report on Form 10-K for the year ended December 31, 2012)</w:t>
            </w:r>
          </w:p>
        </w:tc>
      </w:tr>
      <w:tr>
        <w:trPr>
          <w:trHeight w:val="47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2"/>
              </w:rPr>
              <w:t>New Form of Restricted Stock Agreement for Executive Officers - Annual Vesting (Incorporated by reference to Exhibit 10.38(e) to</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the Company's Annual Report on Form 10-K for the year ended December 31, 2012)</w:t>
            </w:r>
          </w:p>
        </w:tc>
      </w:tr>
      <w:tr>
        <w:trPr>
          <w:trHeight w:val="47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w w:val="92"/>
              </w:rPr>
              <w:t>New Form of Restricted Stock Agreement for Executive Officers - Cliff Vesting (Incorporated by reference to Exhibit 10.38(h) to the</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86"/>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Severance Agreement between Richard D. Gorelick and the Company dated as of January 3, 2012</w:t>
            </w:r>
          </w:p>
        </w:tc>
      </w:tr>
      <w:tr>
        <w:trPr>
          <w:trHeight w:val="486"/>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974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*†101.SCH</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*†101.CAL</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*†101.DEF</w:t>
            </w:r>
          </w:p>
        </w:tc>
        <w:tc>
          <w:tcPr>
            <w:tcW w:w="974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*†101.LAB</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*†101.PRE</w:t>
            </w:r>
          </w:p>
        </w:tc>
        <w:tc>
          <w:tcPr>
            <w:tcW w:w="97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240"/>
          </w:cols>
          <w:pgMar w:left="240" w:top="108" w:right="419" w:bottom="1440" w:gutter="0" w:footer="0" w:header="0"/>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240" w:top="108" w:right="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line="25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2013 filed on May 2, 2013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 Performance Incentive Compensation Plan</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Establishment, Purpose, and Effective Date</w:t>
      </w:r>
    </w:p>
    <w:p>
      <w:pPr>
        <w:spacing w:after="0" w:line="21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This Integra LifeSciences Holdings Corporation Performance Incentive Compensation Plan (the “</w:t>
      </w:r>
      <w:r>
        <w:rPr>
          <w:rFonts w:ascii="Arial" w:cs="Arial" w:eastAsia="Arial" w:hAnsi="Arial"/>
          <w:sz w:val="17"/>
          <w:szCs w:val="17"/>
          <w:i w:val="1"/>
          <w:iCs w:val="1"/>
          <w:color w:val="auto"/>
        </w:rPr>
        <w:t>Plan</w:t>
      </w:r>
      <w:r>
        <w:rPr>
          <w:rFonts w:ascii="Arial" w:cs="Arial" w:eastAsia="Arial" w:hAnsi="Arial"/>
          <w:sz w:val="17"/>
          <w:szCs w:val="17"/>
          <w:color w:val="auto"/>
        </w:rPr>
        <w:t>”) is established by Integra LifeSciences Holdings Corporation, a Delaware corporation (“</w:t>
      </w:r>
      <w:r>
        <w:rPr>
          <w:rFonts w:ascii="Arial" w:cs="Arial" w:eastAsia="Arial" w:hAnsi="Arial"/>
          <w:sz w:val="17"/>
          <w:szCs w:val="17"/>
          <w:i w:val="1"/>
          <w:iCs w:val="1"/>
          <w:color w:val="auto"/>
        </w:rPr>
        <w:t>Integra</w:t>
      </w:r>
      <w:r>
        <w:rPr>
          <w:rFonts w:ascii="Arial" w:cs="Arial" w:eastAsia="Arial" w:hAnsi="Arial"/>
          <w:sz w:val="17"/>
          <w:szCs w:val="17"/>
          <w:color w:val="auto"/>
        </w:rPr>
        <w:t>”), for the purpose of enhancing the ability of Integra to offer incentive compensation to eligible employees by rewarding the achievement of corporate goals, division and major corporate function goals, individual performance which is consistent with and supportive of the overall corporate objectives of Integra. More specifically, through this Plan, Integra intends to (i) reinforce strategically important financial and operational objectives; (ii) provide rewards based on achieving significant corporate, departmental or division and individual goals and objectives; (iii) provide incentives that result in behavior that is consistent with increasing stockholder value and the success of Integra; and (iv) incorporate an incentive program in the Integra overall compensation program to help attract, retain, and motivate key employees. The Plan is a plan for employees of Integra and its subsidiaries for Performance Periods beginning on or after January 1, 2013 (the “</w:t>
      </w:r>
      <w:r>
        <w:rPr>
          <w:rFonts w:ascii="Arial" w:cs="Arial" w:eastAsia="Arial" w:hAnsi="Arial"/>
          <w:sz w:val="17"/>
          <w:szCs w:val="17"/>
          <w:i w:val="1"/>
          <w:iCs w:val="1"/>
          <w:color w:val="auto"/>
        </w:rPr>
        <w:t>Effective Date</w:t>
      </w:r>
      <w:r>
        <w:rPr>
          <w:rFonts w:ascii="Arial" w:cs="Arial" w:eastAsia="Arial" w:hAnsi="Arial"/>
          <w:sz w:val="17"/>
          <w:szCs w:val="17"/>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is Integra’s intent that bonuses paid under this Plan may be, but shall not be required to be, designed to be deductible without limit under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Internal Revenue Code of 1986, as amended, and the regulations and interpretations promulgated thereunder (collectively, the “</w:t>
      </w:r>
      <w:r>
        <w:rPr>
          <w:rFonts w:ascii="Arial" w:cs="Arial" w:eastAsia="Arial" w:hAnsi="Arial"/>
          <w:sz w:val="16"/>
          <w:szCs w:val="16"/>
          <w:i w:val="1"/>
          <w:iCs w:val="1"/>
          <w:color w:val="auto"/>
        </w:rPr>
        <w:t>Code</w:t>
      </w:r>
      <w:r>
        <w:rPr>
          <w:rFonts w:ascii="Arial" w:cs="Arial" w:eastAsia="Arial" w:hAnsi="Arial"/>
          <w:sz w:val="16"/>
          <w:szCs w:val="16"/>
          <w:color w:val="auto"/>
        </w:rPr>
        <w:t>”).</w:t>
      </w:r>
    </w:p>
    <w:p>
      <w:pPr>
        <w:spacing w:after="0" w:line="23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i w:val="1"/>
          <w:iCs w:val="1"/>
          <w:color w:val="auto"/>
        </w:rPr>
        <w:t>Board</w:t>
      </w:r>
      <w:r>
        <w:rPr>
          <w:rFonts w:ascii="Arial" w:cs="Arial" w:eastAsia="Arial" w:hAnsi="Arial"/>
          <w:sz w:val="16"/>
          <w:szCs w:val="16"/>
          <w:color w:val="auto"/>
        </w:rPr>
        <w:t>. “Board” shall mean the Board of Directors of Integra.</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i w:val="1"/>
          <w:iCs w:val="1"/>
          <w:color w:val="auto"/>
        </w:rPr>
        <w:t>Bonus</w:t>
      </w:r>
      <w:r>
        <w:rPr>
          <w:rFonts w:ascii="Arial" w:cs="Arial" w:eastAsia="Arial" w:hAnsi="Arial"/>
          <w:sz w:val="16"/>
          <w:szCs w:val="16"/>
          <w:color w:val="auto"/>
        </w:rPr>
        <w:t>. “Bonus” shall mean a cash payment under this Plan.</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i w:val="1"/>
          <w:iCs w:val="1"/>
          <w:color w:val="auto"/>
        </w:rPr>
        <w:t>Bonus Opportunity</w:t>
      </w:r>
      <w:r>
        <w:rPr>
          <w:rFonts w:ascii="Arial" w:cs="Arial" w:eastAsia="Arial" w:hAnsi="Arial"/>
          <w:sz w:val="16"/>
          <w:szCs w:val="16"/>
          <w:color w:val="auto"/>
        </w:rPr>
        <w:t>. “Bonus Opportunity” shall mean the opportunity to receive a Bonus, subject to all applicable terms and conditions.</w:t>
      </w:r>
    </w:p>
    <w:p>
      <w:pPr>
        <w:spacing w:after="0" w:line="225" w:lineRule="exact"/>
        <w:rPr>
          <w:sz w:val="20"/>
          <w:szCs w:val="20"/>
          <w:color w:val="auto"/>
        </w:rPr>
      </w:pPr>
    </w:p>
    <w:p>
      <w:pPr>
        <w:ind w:left="340" w:right="80" w:firstLine="324"/>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i w:val="1"/>
          <w:iCs w:val="1"/>
          <w:color w:val="auto"/>
        </w:rPr>
        <w:t>Business Criteria</w:t>
      </w:r>
      <w:r>
        <w:rPr>
          <w:rFonts w:ascii="Arial" w:cs="Arial" w:eastAsia="Arial" w:hAnsi="Arial"/>
          <w:sz w:val="18"/>
          <w:szCs w:val="18"/>
          <w:color w:val="auto"/>
        </w:rPr>
        <w:t>. “Business Criteria” shall mean the Business Criteria set forth in Section 3.1(e) hereof on which the Performance Objectives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based.</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“Change in Control” shall mean the occurrence of any of the following:</w:t>
      </w:r>
    </w:p>
    <w:p>
      <w:pPr>
        <w:spacing w:after="0" w:line="310" w:lineRule="exact"/>
        <w:rPr>
          <w:sz w:val="20"/>
          <w:szCs w:val="20"/>
          <w:color w:val="auto"/>
        </w:rPr>
      </w:pPr>
    </w:p>
    <w:p>
      <w:pPr>
        <w:ind w:left="660" w:right="40" w:firstLine="645"/>
        <w:spacing w:after="0" w:line="284" w:lineRule="auto"/>
        <w:tabs>
          <w:tab w:leader="none" w:pos="15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 acquisition (other than directly from Integra) of any voting securities of Integra (“</w:t>
      </w:r>
      <w:r>
        <w:rPr>
          <w:rFonts w:ascii="Arial" w:cs="Arial" w:eastAsia="Arial" w:hAnsi="Arial"/>
          <w:sz w:val="16"/>
          <w:szCs w:val="16"/>
          <w:i w:val="1"/>
          <w:iCs w:val="1"/>
          <w:color w:val="auto"/>
        </w:rPr>
        <w:t>Voting Securities</w:t>
      </w:r>
      <w:r>
        <w:rPr>
          <w:rFonts w:ascii="Arial" w:cs="Arial" w:eastAsia="Arial" w:hAnsi="Arial"/>
          <w:sz w:val="16"/>
          <w:szCs w:val="16"/>
          <w:color w:val="auto"/>
        </w:rPr>
        <w:t xml:space="preserve">”)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Integra, any trustee or other fiduciary holding securities under any employee benefit plan of Integra or an affiliate thereof, or any corporation owned, directly or indirectly, by the stockholders of Integra in substantially the same proportions as their ownership of stock of Integra;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acquisition from Integra or any acquisition pursuant to a transaction which complies with paragraph (c)(i) and</w:t>
      </w:r>
    </w:p>
    <w:p>
      <w:pPr>
        <w:spacing w:after="0" w:line="4" w:lineRule="exact"/>
        <w:rPr>
          <w:rFonts w:ascii="Arial" w:cs="Arial" w:eastAsia="Arial" w:hAnsi="Arial"/>
          <w:sz w:val="16"/>
          <w:szCs w:val="16"/>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below shall not be a Change in Control under this paragraph (a);</w:t>
      </w:r>
    </w:p>
    <w:p>
      <w:pPr>
        <w:spacing w:after="0" w:line="156" w:lineRule="exact"/>
        <w:rPr>
          <w:rFonts w:ascii="Arial" w:cs="Arial" w:eastAsia="Arial" w:hAnsi="Arial"/>
          <w:sz w:val="18"/>
          <w:szCs w:val="18"/>
          <w:color w:val="auto"/>
        </w:rPr>
      </w:pPr>
    </w:p>
    <w:p>
      <w:pPr>
        <w:ind w:left="660" w:right="160" w:firstLine="645"/>
        <w:spacing w:after="0" w:line="279" w:lineRule="auto"/>
        <w:tabs>
          <w:tab w:leader="none" w:pos="1563"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individuals who, as of February 20, 2013, are members of the Board (the “</w:t>
      </w:r>
      <w:r>
        <w:rPr>
          <w:rFonts w:ascii="Arial" w:cs="Arial" w:eastAsia="Arial" w:hAnsi="Arial"/>
          <w:sz w:val="17"/>
          <w:szCs w:val="17"/>
          <w:i w:val="1"/>
          <w:iCs w:val="1"/>
          <w:color w:val="auto"/>
        </w:rPr>
        <w:t>Incumbent Board</w:t>
      </w:r>
      <w:r>
        <w:rPr>
          <w:rFonts w:ascii="Arial" w:cs="Arial" w:eastAsia="Arial" w:hAnsi="Arial"/>
          <w:sz w:val="17"/>
          <w:szCs w:val="17"/>
          <w:color w:val="auto"/>
        </w:rPr>
        <w:t xml:space="preserve">”) cease for any reason to constitute at least two-thirds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February 20, 2013, </w:t>
      </w:r>
      <w:r>
        <w:rPr>
          <w:rFonts w:ascii="Arial" w:cs="Arial" w:eastAsia="Arial" w:hAnsi="Arial"/>
          <w:sz w:val="17"/>
          <w:szCs w:val="17"/>
          <w:i w:val="1"/>
          <w:iCs w:val="1"/>
          <w:color w:val="auto"/>
        </w:rPr>
        <w:t>provided</w:t>
      </w:r>
    </w:p>
    <w:p>
      <w:pPr>
        <w:sectPr>
          <w:pgSz w:w="11900" w:h="16838" w:orient="portrait"/>
          <w:cols w:equalWidth="0" w:num="1">
            <w:col w:w="11420"/>
          </w:cols>
          <w:pgMar w:left="240" w:top="364" w:right="239" w:bottom="1440" w:gutter="0" w:footer="0" w:header="0"/>
        </w:sectPr>
      </w:pPr>
    </w:p>
    <w:bookmarkStart w:id="42" w:name="page43"/>
    <w:bookmarkEnd w:id="42"/>
    <w:p>
      <w:pPr>
        <w:ind w:left="320" w:right="240"/>
        <w:spacing w:after="0" w:line="259" w:lineRule="auto"/>
        <w:rPr>
          <w:sz w:val="20"/>
          <w:szCs w:val="20"/>
          <w:color w:val="auto"/>
        </w:rPr>
      </w:pPr>
      <w:r>
        <w:rPr>
          <w:rFonts w:ascii="Arial" w:cs="Arial" w:eastAsia="Arial" w:hAnsi="Arial"/>
          <w:sz w:val="18"/>
          <w:szCs w:val="18"/>
          <w:i w:val="1"/>
          <w:iCs w:val="1"/>
          <w:color w:val="auto"/>
        </w:rPr>
        <w:t>further</w:t>
      </w:r>
      <w:r>
        <w:rPr>
          <w:rFonts w:ascii="Arial" w:cs="Arial" w:eastAsia="Arial" w:hAnsi="Arial"/>
          <w:sz w:val="18"/>
          <w:szCs w:val="18"/>
          <w:color w:val="auto"/>
        </w:rPr>
        <w:t>, however, that no individual shall be considered a member of the Incumbent Board if such individual initially assumed office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either an actual or threatened “Election Contest” (as described in Rule 14a-11 promulgated under the Exchange Act) or other actual or threatened solicitation of proxies or consents by or on behalf of a Person other than the Board of Directors (a “</w:t>
      </w:r>
      <w:r>
        <w:rPr>
          <w:rFonts w:ascii="Arial" w:cs="Arial" w:eastAsia="Arial" w:hAnsi="Arial"/>
          <w:sz w:val="18"/>
          <w:szCs w:val="18"/>
          <w:i w:val="1"/>
          <w:iCs w:val="1"/>
          <w:color w:val="auto"/>
        </w:rPr>
        <w:t>Proxy Contest</w:t>
      </w:r>
      <w:r>
        <w:rPr>
          <w:rFonts w:ascii="Arial" w:cs="Arial" w:eastAsia="Arial" w:hAnsi="Arial"/>
          <w:sz w:val="18"/>
          <w:szCs w:val="18"/>
          <w:color w:val="auto"/>
        </w:rPr>
        <w:t>”) including by reason of any agreement intended to avoid or settle any Election Contest or Proxy Contest;</w:t>
      </w:r>
    </w:p>
    <w:p>
      <w:pPr>
        <w:spacing w:after="0" w:line="133" w:lineRule="exact"/>
        <w:rPr>
          <w:sz w:val="20"/>
          <w:szCs w:val="20"/>
          <w:color w:val="auto"/>
        </w:rPr>
      </w:pPr>
    </w:p>
    <w:p>
      <w:pPr>
        <w:ind w:left="320" w:right="40" w:firstLine="645"/>
        <w:spacing w:after="0" w:line="269" w:lineRule="auto"/>
        <w:tabs>
          <w:tab w:leader="none" w:pos="1213"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Consummation by Integra of a reorganization, merger, or consolidation or sale or other disposition of all or substantially all of the assets of Integra or the acquisition of assets or stock of another entity (a “</w:t>
      </w:r>
      <w:r>
        <w:rPr>
          <w:rFonts w:ascii="Arial" w:cs="Arial" w:eastAsia="Arial" w:hAnsi="Arial"/>
          <w:sz w:val="17"/>
          <w:szCs w:val="17"/>
          <w:i w:val="1"/>
          <w:iCs w:val="1"/>
          <w:color w:val="auto"/>
        </w:rPr>
        <w:t>Business Combination</w:t>
      </w:r>
      <w:r>
        <w:rPr>
          <w:rFonts w:ascii="Arial" w:cs="Arial" w:eastAsia="Arial" w:hAnsi="Arial"/>
          <w:sz w:val="17"/>
          <w:szCs w:val="17"/>
          <w:color w:val="auto"/>
        </w:rPr>
        <w:t>”), unless immediately following such Business Combination: (i) more than 50 percent of the combined voting power of the then outstanding voting securities entitled to vote generally in the election of directors of (A) the corporation resulting from such Business Combination (the “</w:t>
      </w:r>
      <w:r>
        <w:rPr>
          <w:rFonts w:ascii="Arial" w:cs="Arial" w:eastAsia="Arial" w:hAnsi="Arial"/>
          <w:sz w:val="17"/>
          <w:szCs w:val="17"/>
          <w:i w:val="1"/>
          <w:iCs w:val="1"/>
          <w:color w:val="auto"/>
        </w:rPr>
        <w:t>Surviving Corporation</w:t>
      </w:r>
      <w:r>
        <w:rPr>
          <w:rFonts w:ascii="Arial" w:cs="Arial" w:eastAsia="Arial" w:hAnsi="Arial"/>
          <w:sz w:val="17"/>
          <w:szCs w:val="17"/>
          <w:color w:val="auto"/>
        </w:rPr>
        <w:t>”), or (B) if applicable, a corporation which as a result of such transaction owns Integra or all or substantially all of Integra’s assets either directly or through one or more subsidiaries (the “</w:t>
      </w:r>
      <w:r>
        <w:rPr>
          <w:rFonts w:ascii="Arial" w:cs="Arial" w:eastAsia="Arial" w:hAnsi="Arial"/>
          <w:sz w:val="17"/>
          <w:szCs w:val="17"/>
          <w:i w:val="1"/>
          <w:iCs w:val="1"/>
          <w:color w:val="auto"/>
        </w:rPr>
        <w:t>Parent Corporation</w:t>
      </w:r>
      <w:r>
        <w:rPr>
          <w:rFonts w:ascii="Arial" w:cs="Arial" w:eastAsia="Arial" w:hAnsi="Arial"/>
          <w:sz w:val="17"/>
          <w:szCs w:val="17"/>
          <w:color w:val="auto"/>
        </w:rPr>
        <w:t>”), is represented, directly or indirectly, by Integra Voting Securities outstanding immediately prior to such Business Combination (or, if applicable, is represented by shares into which such Voting Securities were converted pursuant to such Business Combination), and such voting power among the holders thereof is in substantially the same proportions as their ownership, immediately prior to such Business Combination, of Integra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28" w:lineRule="exact"/>
        <w:rPr>
          <w:rFonts w:ascii="Arial" w:cs="Arial" w:eastAsia="Arial" w:hAnsi="Arial"/>
          <w:sz w:val="17"/>
          <w:szCs w:val="17"/>
          <w:color w:val="auto"/>
        </w:rPr>
      </w:pPr>
    </w:p>
    <w:p>
      <w:pPr>
        <w:ind w:left="1220" w:hanging="25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by the stockholders of Integra of a complete liquidation or dissolution of Integra; or</w:t>
      </w:r>
    </w:p>
    <w:p>
      <w:pPr>
        <w:spacing w:after="0" w:line="171" w:lineRule="exact"/>
        <w:rPr>
          <w:rFonts w:ascii="Arial" w:cs="Arial" w:eastAsia="Arial" w:hAnsi="Arial"/>
          <w:sz w:val="18"/>
          <w:szCs w:val="18"/>
          <w:color w:val="auto"/>
        </w:rPr>
      </w:pPr>
    </w:p>
    <w:p>
      <w:pPr>
        <w:ind w:left="320" w:right="140" w:firstLine="645"/>
        <w:spacing w:after="0" w:line="259" w:lineRule="auto"/>
        <w:tabs>
          <w:tab w:leader="none" w:pos="12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the stockholders of Integra of shares in a share exchange if the stockholders of Integra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the foregoing, if a Change in Control constitutes a payment event with respect to any Bonus Opportunity which provides for the deferral of compensation and is subject to Code Section 409A, the transaction or event described in this Section 2.5 with respect to such Bonus Opportunity must also constitute a “change in control event,” as defined in Treasury Regulation § 1.409A-3(i)(5) to the extent required by Code Section 409A.</w:t>
      </w:r>
    </w:p>
    <w:p>
      <w:pPr>
        <w:spacing w:after="0" w:line="8"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“Company” shall mean Integra and its subsidiaries.</w:t>
      </w:r>
    </w:p>
    <w:p>
      <w:pPr>
        <w:spacing w:after="0" w:line="225"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Covered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Employee” shall mean any employee of the Company who is, or could become, a “covered employee”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Code Section 162(m).</w:t>
      </w:r>
    </w:p>
    <w:p>
      <w:pPr>
        <w:spacing w:after="0" w:line="162"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i w:val="1"/>
          <w:iCs w:val="1"/>
          <w:color w:val="auto"/>
        </w:rPr>
        <w:t>Eligible Employee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Employee” shall mean an employee of the Company.</w:t>
      </w:r>
    </w:p>
    <w:p>
      <w:pPr>
        <w:spacing w:after="0" w:line="225"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i w:val="1"/>
          <w:iCs w:val="1"/>
          <w:color w:val="auto"/>
        </w:rPr>
        <w:t>Exchange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shall mean the Securities Exchange Act of 1934, as amended.</w:t>
      </w:r>
    </w:p>
    <w:p>
      <w:pPr>
        <w:spacing w:after="0" w:line="225"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i w:val="1"/>
          <w:iCs w:val="1"/>
          <w:color w:val="auto"/>
        </w:rPr>
        <w:t>Outside Director</w:t>
      </w:r>
      <w:r>
        <w:rPr>
          <w:rFonts w:ascii="Arial" w:cs="Arial" w:eastAsia="Arial" w:hAnsi="Arial"/>
          <w:sz w:val="16"/>
          <w:szCs w:val="16"/>
          <w:color w:val="auto"/>
        </w:rPr>
        <w:t>. “Outside Director” shall have the meaning set forth in the regulations and rulings promulgated under Code Section 162(m).</w:t>
      </w:r>
    </w:p>
    <w:p>
      <w:pPr>
        <w:spacing w:after="0" w:line="225"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“Participant” shall mean an Eligible Employee who has been selected to participate in the Plan by the Committee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3.1(a) hereof. Unless otherwise determined by the Committee, each Eligible Employee located in the United States shall be a Participant. Pursuant to Section 3.1(d), the Committee may determine the extent, if any, to which Eligible Employees employed by the Company outside the United States shall be eligible to participate in the Plan for a given Performance Period.</w:t>
      </w:r>
    </w:p>
    <w:p>
      <w:pPr>
        <w:sectPr>
          <w:pgSz w:w="11900" w:h="16838" w:orient="portrait"/>
          <w:cols w:equalWidth="0" w:num="1">
            <w:col w:w="11060"/>
          </w:cols>
          <w:pgMar w:left="580" w:top="449" w:right="259" w:bottom="1440" w:gutter="0" w:footer="0" w:header="0"/>
        </w:sectPr>
      </w:pPr>
    </w:p>
    <w:bookmarkStart w:id="43" w:name="page44"/>
    <w:bookmarkEnd w:id="43"/>
    <w:p>
      <w:pPr>
        <w:ind w:right="460" w:firstLine="324"/>
        <w:spacing w:after="0" w:line="28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“Performance Period” shall mean a period for which Bonus Opportunities may be awarded. The first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under the Plan shall begin on January 1, 2013 and end on December 31, 2013.</w:t>
      </w:r>
    </w:p>
    <w:p>
      <w:pPr>
        <w:spacing w:after="0" w:line="162" w:lineRule="exact"/>
        <w:rPr>
          <w:sz w:val="20"/>
          <w:szCs w:val="20"/>
          <w:color w:val="auto"/>
        </w:rPr>
      </w:pPr>
    </w:p>
    <w:p>
      <w:pPr>
        <w:ind w:right="720" w:firstLine="324"/>
        <w:spacing w:after="0" w:line="282"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i w:val="1"/>
          <w:iCs w:val="1"/>
          <w:color w:val="auto"/>
        </w:rPr>
        <w:t>QPBC</w:t>
      </w:r>
      <w:r>
        <w:rPr>
          <w:rFonts w:ascii="Arial" w:cs="Arial" w:eastAsia="Arial" w:hAnsi="Arial"/>
          <w:sz w:val="18"/>
          <w:szCs w:val="18"/>
          <w:color w:val="auto"/>
        </w:rPr>
        <w:t>. “QPBC” shall mean “qualified performance-based compensation” within the meaning set forth in the regulations and rulings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Code Section 162(m).</w:t>
      </w:r>
    </w:p>
    <w:p>
      <w:pPr>
        <w:spacing w:after="0" w:line="162"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b w:val="1"/>
          <w:bCs w:val="1"/>
          <w:color w:val="auto"/>
        </w:rPr>
        <w:t xml:space="preserve">2.14 </w:t>
      </w:r>
      <w:r>
        <w:rPr>
          <w:rFonts w:ascii="Arial" w:cs="Arial" w:eastAsia="Arial" w:hAnsi="Arial"/>
          <w:sz w:val="16"/>
          <w:szCs w:val="16"/>
          <w:b w:val="1"/>
          <w:bCs w:val="1"/>
          <w:i w:val="1"/>
          <w:iCs w:val="1"/>
          <w:color w:val="auto"/>
        </w:rPr>
        <w:t>Target Bonus</w:t>
      </w:r>
      <w:r>
        <w:rPr>
          <w:rFonts w:ascii="Arial" w:cs="Arial" w:eastAsia="Arial" w:hAnsi="Arial"/>
          <w:sz w:val="16"/>
          <w:szCs w:val="16"/>
          <w:color w:val="auto"/>
        </w:rPr>
        <w:t>. “Target Bonus” shall mean the target amount, expressed as a percentage of a Participant’s base salary or a fixed value,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may earn as a Bonus for an applicable Performance Period, provided that the target level of performance is achieved with respect to each Performance Objective applicable to the Participant for such Performance Period, and subject to funding. Notwithstanding the foregoing, in no event shall a Participant’s Target Bonus exceed 165% of his or her base salary as in effect as of the final day of the applicable Performance Period.</w:t>
      </w:r>
    </w:p>
    <w:p>
      <w:pPr>
        <w:spacing w:after="0" w:line="15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Eligibility and Benefits</w:t>
      </w:r>
    </w:p>
    <w:p>
      <w:pPr>
        <w:spacing w:after="0" w:line="207"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i w:val="1"/>
          <w:iCs w:val="1"/>
          <w:color w:val="auto"/>
        </w:rPr>
        <w:t>Eligible Employees; Performance Objectives</w:t>
      </w:r>
      <w:r>
        <w:rPr>
          <w:rFonts w:ascii="Arial" w:cs="Arial" w:eastAsia="Arial" w:hAnsi="Arial"/>
          <w:sz w:val="15"/>
          <w:szCs w:val="15"/>
          <w:color w:val="auto"/>
        </w:rPr>
        <w:t>.</w:t>
      </w:r>
    </w:p>
    <w:p>
      <w:pPr>
        <w:spacing w:after="0" w:line="229" w:lineRule="exact"/>
        <w:rPr>
          <w:sz w:val="20"/>
          <w:szCs w:val="20"/>
          <w:color w:val="auto"/>
        </w:rPr>
      </w:pPr>
    </w:p>
    <w:p>
      <w:pPr>
        <w:ind w:left="320" w:right="520" w:firstLine="645"/>
        <w:spacing w:after="0" w:line="277" w:lineRule="auto"/>
        <w:tabs>
          <w:tab w:leader="none" w:pos="1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this Section 3.1, the Committee shall determine which Eligible Employees shall be Participants in the Plan for a given Performance Period.</w:t>
      </w:r>
    </w:p>
    <w:p>
      <w:pPr>
        <w:spacing w:after="0" w:line="170" w:lineRule="exact"/>
        <w:rPr>
          <w:rFonts w:ascii="Arial" w:cs="Arial" w:eastAsia="Arial" w:hAnsi="Arial"/>
          <w:sz w:val="18"/>
          <w:szCs w:val="18"/>
          <w:color w:val="auto"/>
        </w:rPr>
      </w:pPr>
    </w:p>
    <w:p>
      <w:pPr>
        <w:ind w:left="320" w:firstLine="645"/>
        <w:spacing w:after="0" w:line="271" w:lineRule="auto"/>
        <w:tabs>
          <w:tab w:leader="none" w:pos="1298"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the approval by the Committee, all Eligible Employees employed by the Company in the United States in a Bonus Level 1 or above position, as of January 1 of a Performance Period, shall be eligible to be selected to participate in the Plan for such Performance Period. In addition, Eligible Employees who are newly hired to a Bonus Level 1 or above position in the United States after January 1 of a Performance Period, but prior to October 1 of such Performance Period, will, subject to the approval of the Committee, be eligible to participate in the Plan for such Performance Period. Any Eligible Employee employed in the United States who is either (i) promoted to a Bonus Level 1 or above position or (ii) a participant in the Plan but is promoted to a higher Bonus Level position, in either case after January 1 of a Performance Period, but prior to October 1 of such Performance Period, will, subject to the approval of the Committee, be eligible to participate in the Plan for the remaining portion of the Performance Period after the promotion.</w:t>
      </w:r>
    </w:p>
    <w:p>
      <w:pPr>
        <w:spacing w:after="0" w:line="178" w:lineRule="exact"/>
        <w:rPr>
          <w:rFonts w:ascii="Arial" w:cs="Arial" w:eastAsia="Arial" w:hAnsi="Arial"/>
          <w:sz w:val="17"/>
          <w:szCs w:val="17"/>
          <w:color w:val="auto"/>
        </w:rPr>
      </w:pPr>
    </w:p>
    <w:p>
      <w:pPr>
        <w:ind w:left="320" w:right="120" w:firstLine="645"/>
        <w:spacing w:after="0" w:line="291" w:lineRule="auto"/>
        <w:tabs>
          <w:tab w:leader="none" w:pos="12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Eligible Employee who is hired into a Bonus Level 1 or above position in the United States on or after October 1 of a Performance Period shall not be eligible to participate in the Plan for such Performance Period. An Eligible Employee who is not participating in the Plan for a Performance Period and is subsequently promoted to a Bonus Level 1 or above position in the United States on or after October 1 of a Performance Period shall also not be eligible to participate in the Plan. An Eligible Employee who is participating in the Plan for a Performance Period and is subsequently promoted to a higher position on or after October 1 of a Performance Period shall continue at the participation level for the Performance Period prior to the promotion. Except as otherwise provided in this Plan, any individual participating in the Plan during a Performance Period who ceases to be an Employee during such Performance Period shall cease to be eligible to participate in the Plan.</w:t>
      </w:r>
    </w:p>
    <w:p>
      <w:pPr>
        <w:spacing w:after="0" w:line="167" w:lineRule="exact"/>
        <w:rPr>
          <w:rFonts w:ascii="Arial" w:cs="Arial" w:eastAsia="Arial" w:hAnsi="Arial"/>
          <w:sz w:val="16"/>
          <w:szCs w:val="16"/>
          <w:color w:val="auto"/>
        </w:rPr>
      </w:pPr>
    </w:p>
    <w:p>
      <w:pPr>
        <w:ind w:left="320" w:right="260" w:firstLine="645"/>
        <w:spacing w:after="0" w:line="277" w:lineRule="auto"/>
        <w:tabs>
          <w:tab w:leader="none" w:pos="12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determine the extent, if any, to which Eligible Employees employed by the Company outside the United States shall be eligible to participate in the Plan for a given Performance Period.</w:t>
      </w:r>
    </w:p>
    <w:p>
      <w:pPr>
        <w:spacing w:after="0" w:line="170" w:lineRule="exact"/>
        <w:rPr>
          <w:rFonts w:ascii="Arial" w:cs="Arial" w:eastAsia="Arial" w:hAnsi="Arial"/>
          <w:sz w:val="18"/>
          <w:szCs w:val="18"/>
          <w:color w:val="auto"/>
        </w:rPr>
      </w:pPr>
    </w:p>
    <w:p>
      <w:pPr>
        <w:ind w:left="320" w:right="40" w:firstLine="645"/>
        <w:spacing w:after="0" w:line="279" w:lineRule="auto"/>
        <w:tabs>
          <w:tab w:leader="none" w:pos="1288"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Bonus Opportunity shall be subject to such terms and conditions as the Committee shall establish, which shall include the amount of the Bonus to be paid based upon the attainment of one or more performance objectives (each, a “</w:t>
      </w:r>
      <w:r>
        <w:rPr>
          <w:rFonts w:ascii="Arial" w:cs="Arial" w:eastAsia="Arial" w:hAnsi="Arial"/>
          <w:sz w:val="17"/>
          <w:szCs w:val="17"/>
          <w:i w:val="1"/>
          <w:iCs w:val="1"/>
          <w:color w:val="auto"/>
        </w:rPr>
        <w:t>Performance Objective</w:t>
      </w:r>
      <w:r>
        <w:rPr>
          <w:rFonts w:ascii="Arial" w:cs="Arial" w:eastAsia="Arial" w:hAnsi="Arial"/>
          <w:sz w:val="17"/>
          <w:szCs w:val="17"/>
          <w:color w:val="auto"/>
        </w:rPr>
        <w:t>”). For any Bonus that is intended to be QPBC, each Performance Objective under the corresponding Bonus Opportunity shall be based on one or more of the following business criteria (the “</w:t>
      </w:r>
      <w:r>
        <w:rPr>
          <w:rFonts w:ascii="Arial" w:cs="Arial" w:eastAsia="Arial" w:hAnsi="Arial"/>
          <w:sz w:val="17"/>
          <w:szCs w:val="17"/>
          <w:i w:val="1"/>
          <w:iCs w:val="1"/>
          <w:color w:val="auto"/>
        </w:rPr>
        <w:t>Business Criteria</w:t>
      </w:r>
      <w:r>
        <w:rPr>
          <w:rFonts w:ascii="Arial" w:cs="Arial" w:eastAsia="Arial" w:hAnsi="Arial"/>
          <w:sz w:val="17"/>
          <w:szCs w:val="17"/>
          <w:color w:val="auto"/>
        </w:rPr>
        <w:t>”) with respect to (i) Integra, (ii) Integra’s worldwide</w:t>
      </w:r>
    </w:p>
    <w:p>
      <w:pPr>
        <w:sectPr>
          <w:pgSz w:w="11900" w:h="16838" w:orient="portrait"/>
          <w:cols w:equalWidth="0" w:num="1">
            <w:col w:w="11080"/>
          </w:cols>
          <w:pgMar w:left="580" w:top="364" w:right="239" w:bottom="1440" w:gutter="0" w:footer="0" w:header="0"/>
        </w:sectPr>
      </w:pPr>
    </w:p>
    <w:bookmarkStart w:id="44" w:name="page45"/>
    <w:bookmarkEnd w:id="44"/>
    <w:p>
      <w:pPr>
        <w:ind w:left="320"/>
        <w:spacing w:after="0" w:line="286" w:lineRule="auto"/>
        <w:rPr>
          <w:sz w:val="20"/>
          <w:szCs w:val="20"/>
          <w:color w:val="auto"/>
        </w:rPr>
      </w:pPr>
      <w:r>
        <w:rPr>
          <w:rFonts w:ascii="Arial" w:cs="Arial" w:eastAsia="Arial" w:hAnsi="Arial"/>
          <w:sz w:val="16"/>
          <w:szCs w:val="16"/>
          <w:color w:val="auto"/>
        </w:rPr>
        <w:t>operations, regional operations, country specific operations and/or subsidiaries, business units, affiliates, corporations, divisions, groups, functions or employees and/or (iii) Integra’s brands, groups of brands or specific brands: revenue; gross or net revenue; revenue growth; gross or net sales; profitability; gross or net profit; profitability growth; earnings before interest, taxes, depreciation and amortization; adjusted earnings before interest, taxes, depreciation and amortization; net income or adjusted net income; pre-tax income; operating profit; cost improvements; operating earnings; working capital; return on assets; return on net assets; return on equity; return on capital; economic value or economic value added; return on sales; earnings per share; adjusted earnings per share; stock price appreciation; total stockholder return; price per share; cash flow; free cash flow; operating cash flow; year-end cash; costs or expenses; regulatory body approval for commercialization of a product; research and development achievements; implementation or completion of critical projects; market share; asset turnover; inventory turnover; capacity utilization; mergers and acquisition integration; environmental health and safety; quality; diversity; customer retention; sales-related goals; customer satisfaction and/or growth; increase in customer base; financial and other capital-raising transactions; employee satisfaction; and recruiting and maintaining personnel, any of which may be measured either in absolute terms or as compared to any incremental increase or decrease or as compared to results of other companies or to market performance indicators or indices. For any Bonus that is not intended to be QPBC, the Performance Objectives under the corresponding Bonus Opportunity may be based upon any of the foregoing Business Criteria and/or upon other standards, including without limitation individual performance goals and personal contributions to the Company’s business.</w:t>
      </w:r>
    </w:p>
    <w:p>
      <w:pPr>
        <w:spacing w:after="0" w:line="168" w:lineRule="exact"/>
        <w:rPr>
          <w:sz w:val="20"/>
          <w:szCs w:val="20"/>
          <w:color w:val="auto"/>
        </w:rPr>
      </w:pPr>
    </w:p>
    <w:p>
      <w:pPr>
        <w:jc w:val="both"/>
        <w:ind w:right="160" w:firstLine="324"/>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Determination of Bonus Opportunity</w:t>
      </w:r>
      <w:r>
        <w:rPr>
          <w:rFonts w:ascii="Arial" w:cs="Arial" w:eastAsia="Arial" w:hAnsi="Arial"/>
          <w:sz w:val="18"/>
          <w:szCs w:val="18"/>
          <w:color w:val="auto"/>
        </w:rPr>
        <w:t>. Subject to the terms of the Plan (including the provisions applicable to QPBC set forth in Sections 4.4</w:t>
      </w:r>
      <w:r>
        <w:rPr>
          <w:rFonts w:ascii="Arial" w:cs="Arial" w:eastAsia="Arial" w:hAnsi="Arial"/>
          <w:sz w:val="18"/>
          <w:szCs w:val="18"/>
          <w:b w:val="1"/>
          <w:bCs w:val="1"/>
          <w:color w:val="auto"/>
        </w:rPr>
        <w:t xml:space="preserve"> </w:t>
      </w:r>
      <w:r>
        <w:rPr>
          <w:rFonts w:ascii="Arial" w:cs="Arial" w:eastAsia="Arial" w:hAnsi="Arial"/>
          <w:sz w:val="18"/>
          <w:szCs w:val="18"/>
          <w:color w:val="auto"/>
        </w:rPr>
        <w:t>and 4.5 hereof), the Committee shall have authority to determine the amount of the Bonus Opportunity granted to each Participant, including threshold, target and maximum amounts.</w:t>
      </w:r>
    </w:p>
    <w:p>
      <w:pPr>
        <w:spacing w:after="0" w:line="176"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i w:val="1"/>
          <w:iCs w:val="1"/>
          <w:color w:val="auto"/>
        </w:rPr>
        <w:t>Determination of Bonus Amounts</w:t>
      </w:r>
      <w:r>
        <w:rPr>
          <w:rFonts w:ascii="Arial" w:cs="Arial" w:eastAsia="Arial" w:hAnsi="Arial"/>
          <w:sz w:val="18"/>
          <w:szCs w:val="18"/>
          <w:color w:val="auto"/>
        </w:rPr>
        <w:t>. Subject to Section 3.2 above, the Committee may, in the case of a Participant who is not an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or a Covered Employee, increase the amount of any Bonus that is not intended to be QPBC by up to 100% of the amount that would otherwise be paid based upon the established terms of the Bonus Opportunity and, in the case of any Participant, may reduce the amount of any Bonus by up to 100%, in each case based on the Committee’s assessment of the individual Participant’s performance for the applicable Performance Period. Notwithstanding the foregoing, in no event shall the amount of a Bonus for an executive officer exceed 150% of such executive officer’s Target Bonus.</w:t>
      </w:r>
    </w:p>
    <w:p>
      <w:pPr>
        <w:spacing w:after="0" w:line="188" w:lineRule="exact"/>
        <w:rPr>
          <w:sz w:val="20"/>
          <w:szCs w:val="20"/>
          <w:color w:val="auto"/>
        </w:rPr>
      </w:pPr>
    </w:p>
    <w:p>
      <w:pPr>
        <w:jc w:val="center"/>
        <w:ind w:right="160"/>
        <w:spacing w:after="0"/>
        <w:tabs>
          <w:tab w:leader="none" w:pos="1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i w:val="1"/>
          <w:iCs w:val="1"/>
          <w:color w:val="auto"/>
        </w:rPr>
        <w:t>Maximum Bonus</w:t>
      </w:r>
      <w:r>
        <w:rPr>
          <w:rFonts w:ascii="Arial" w:cs="Arial" w:eastAsia="Arial" w:hAnsi="Arial"/>
          <w:sz w:val="16"/>
          <w:szCs w:val="16"/>
          <w:color w:val="auto"/>
        </w:rPr>
        <w:t>. The maximum Bonus payable to any Participant under the Plan with respect to any calendar year shall be $3,000,000.</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Section 162(m) Bonuses</w:t>
      </w:r>
    </w:p>
    <w:p>
      <w:pPr>
        <w:spacing w:after="0" w:line="207" w:lineRule="exact"/>
        <w:rPr>
          <w:sz w:val="20"/>
          <w:szCs w:val="20"/>
          <w:color w:val="auto"/>
        </w:rPr>
      </w:pPr>
    </w:p>
    <w:p>
      <w:pPr>
        <w:jc w:val="both"/>
        <w:ind w:right="140" w:firstLine="324"/>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QPBC</w:t>
      </w:r>
      <w:r>
        <w:rPr>
          <w:rFonts w:ascii="Arial" w:cs="Arial" w:eastAsia="Arial" w:hAnsi="Arial"/>
          <w:sz w:val="16"/>
          <w:szCs w:val="16"/>
          <w:color w:val="auto"/>
        </w:rPr>
        <w:t>. The Committee, in its discretion, may determine whether any Bonus is intended to be QPBC, and may take such actions which it may</w:t>
      </w:r>
      <w:r>
        <w:rPr>
          <w:rFonts w:ascii="Arial" w:cs="Arial" w:eastAsia="Arial" w:hAnsi="Arial"/>
          <w:sz w:val="16"/>
          <w:szCs w:val="16"/>
          <w:b w:val="1"/>
          <w:bCs w:val="1"/>
          <w:color w:val="auto"/>
        </w:rPr>
        <w:t xml:space="preserve"> </w:t>
      </w:r>
      <w:r>
        <w:rPr>
          <w:rFonts w:ascii="Arial" w:cs="Arial" w:eastAsia="Arial" w:hAnsi="Arial"/>
          <w:sz w:val="16"/>
          <w:szCs w:val="16"/>
          <w:color w:val="auto"/>
        </w:rPr>
        <w:t>deem necessary to ensure that such Bonus will so qualify. The Committee, in its sole discretion, may grant Bonus Opportunities to Eligible Employees that are based on Business Criteria but that do not satisfy the requirements of this Article IV and that are not intended to qualify as QPBC.</w:t>
      </w:r>
    </w:p>
    <w:p>
      <w:pPr>
        <w:spacing w:after="0" w:line="142"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i w:val="1"/>
          <w:iCs w:val="1"/>
          <w:color w:val="auto"/>
        </w:rPr>
        <w:t>Performance Objectives</w:t>
      </w:r>
      <w:r>
        <w:rPr>
          <w:rFonts w:ascii="Arial" w:cs="Arial" w:eastAsia="Arial" w:hAnsi="Arial"/>
          <w:sz w:val="16"/>
          <w:szCs w:val="16"/>
          <w:color w:val="auto"/>
        </w:rPr>
        <w:t>. With respect to any Bonus that the Committee determines should be QPBC:</w:t>
      </w:r>
    </w:p>
    <w:p>
      <w:pPr>
        <w:spacing w:after="0" w:line="229" w:lineRule="exact"/>
        <w:rPr>
          <w:sz w:val="20"/>
          <w:szCs w:val="20"/>
          <w:color w:val="auto"/>
        </w:rPr>
      </w:pPr>
    </w:p>
    <w:p>
      <w:pPr>
        <w:ind w:left="320" w:right="300" w:firstLine="645"/>
        <w:spacing w:after="0" w:line="279" w:lineRule="auto"/>
        <w:tabs>
          <w:tab w:leader="none" w:pos="134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Performance Objectives shall be established in writing by the Committee not later than 90 days after the commencement of the applicable Performance Period or any designated fiscal period or period of service (or such earlier time as may be required under Code Section 162(m)) to which the Performance Objectives relate, provided that the outcome is substantially uncertain at the time the Committee actually establishes the performance targets;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in no event shall the</w:t>
      </w:r>
    </w:p>
    <w:p>
      <w:pPr>
        <w:sectPr>
          <w:pgSz w:w="11900" w:h="16838" w:orient="portrait"/>
          <w:cols w:equalWidth="0" w:num="1">
            <w:col w:w="11060"/>
          </w:cols>
          <w:pgMar w:left="580" w:top="368" w:right="259" w:bottom="1440" w:gutter="0" w:footer="0" w:header="0"/>
        </w:sectPr>
      </w:pPr>
    </w:p>
    <w:bookmarkStart w:id="45" w:name="page46"/>
    <w:bookmarkEnd w:id="45"/>
    <w:p>
      <w:pPr>
        <w:ind w:left="328" w:right="400"/>
        <w:spacing w:after="0" w:line="277" w:lineRule="auto"/>
        <w:rPr>
          <w:sz w:val="20"/>
          <w:szCs w:val="20"/>
          <w:color w:val="auto"/>
        </w:rPr>
      </w:pPr>
      <w:r>
        <w:rPr>
          <w:rFonts w:ascii="Arial" w:cs="Arial" w:eastAsia="Arial" w:hAnsi="Arial"/>
          <w:sz w:val="18"/>
          <w:szCs w:val="18"/>
          <w:color w:val="auto"/>
        </w:rPr>
        <w:t>Performance Objectives be established after 25% of the period of service (as scheduled in good faith at the time the Performance Objectives are established) has elapsed; and</w:t>
      </w:r>
    </w:p>
    <w:p>
      <w:pPr>
        <w:spacing w:after="0" w:line="170" w:lineRule="exact"/>
        <w:rPr>
          <w:sz w:val="20"/>
          <w:szCs w:val="20"/>
          <w:color w:val="auto"/>
        </w:rPr>
      </w:pPr>
    </w:p>
    <w:p>
      <w:pPr>
        <w:ind w:left="328" w:firstLine="645"/>
        <w:spacing w:after="0" w:line="257" w:lineRule="auto"/>
        <w:tabs>
          <w:tab w:leader="none" w:pos="13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within the period described in Section 4.2(a) above, the Committee shall, in writing, (i) designate the Participants to whom such Bonus Opportunity is awarded, (ii) select the Business Criteria applicable to the Performance Period, (iii) establish the Performance Objectives for the applicable Business Criteria, and the Bonus Opportunity for such Performance Period based on the Business Criteria and (iv) specify the relationship between Business Criteria and the Performance Objectives and the amounts of the Bonus to be earned by each Covered Employee for such Performance Period; and</w:t>
      </w:r>
    </w:p>
    <w:p>
      <w:pPr>
        <w:spacing w:after="0" w:line="188" w:lineRule="exact"/>
        <w:rPr>
          <w:rFonts w:ascii="Arial" w:cs="Arial" w:eastAsia="Arial" w:hAnsi="Arial"/>
          <w:sz w:val="18"/>
          <w:szCs w:val="18"/>
          <w:color w:val="auto"/>
        </w:rPr>
      </w:pPr>
    </w:p>
    <w:p>
      <w:pPr>
        <w:ind w:left="328" w:right="780" w:firstLine="645"/>
        <w:spacing w:after="0" w:line="342" w:lineRule="auto"/>
        <w:tabs>
          <w:tab w:leader="none" w:pos="13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before the Bonus is paid to the applicable Participant, the Committee must certify in writing (which may take the form of a certification in minutes of the Committee or a resolution) that the Performance Objectives and any other material terms were satisfied; and</w:t>
      </w:r>
    </w:p>
    <w:p>
      <w:pPr>
        <w:spacing w:after="0" w:line="123" w:lineRule="exact"/>
        <w:rPr>
          <w:rFonts w:ascii="Arial" w:cs="Arial" w:eastAsia="Arial" w:hAnsi="Arial"/>
          <w:sz w:val="16"/>
          <w:szCs w:val="16"/>
          <w:color w:val="auto"/>
        </w:rPr>
      </w:pPr>
    </w:p>
    <w:p>
      <w:pPr>
        <w:ind w:left="1368" w:hanging="395"/>
        <w:spacing w:after="0"/>
        <w:tabs>
          <w:tab w:leader="none" w:pos="13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Performance Objectives must be based on an objective formula or standard.</w:t>
      </w:r>
    </w:p>
    <w:p>
      <w:pPr>
        <w:spacing w:after="0" w:line="221" w:lineRule="exact"/>
        <w:rPr>
          <w:sz w:val="20"/>
          <w:szCs w:val="20"/>
          <w:color w:val="auto"/>
        </w:rPr>
      </w:pPr>
    </w:p>
    <w:p>
      <w:pPr>
        <w:ind w:left="8" w:right="60" w:firstLine="324"/>
        <w:spacing w:after="0" w:line="298"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Compliance with Code Section 162(m)</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Objectives relating to a Bonus intended to be QPBC shall be drafted and implemented in</w:t>
      </w:r>
      <w:r>
        <w:rPr>
          <w:rFonts w:ascii="Arial" w:cs="Arial" w:eastAsia="Arial" w:hAnsi="Arial"/>
          <w:sz w:val="16"/>
          <w:szCs w:val="16"/>
          <w:b w:val="1"/>
          <w:bCs w:val="1"/>
          <w:color w:val="auto"/>
        </w:rPr>
        <w:t xml:space="preserve"> </w:t>
      </w:r>
      <w:r>
        <w:rPr>
          <w:rFonts w:ascii="Arial" w:cs="Arial" w:eastAsia="Arial" w:hAnsi="Arial"/>
          <w:sz w:val="16"/>
          <w:szCs w:val="16"/>
          <w:color w:val="auto"/>
        </w:rPr>
        <w:t>a manner consistent with Code Section 162(m). Furthermore, notwithstanding any other provision of the Plan, Bonuses that are intended to be QPBC shall be subject to any additional limitations set forth in Code Section 162(m) or any regulations or rulings promulgated thereunder that are requirements for qualification as QPBC, and the Plan shall be deemed amended to the extent necessary to conform to such requirements. With respect to any Bonus intended to be QPBC, the provisions of this Article IV shall control over any contrary provision contained in the Plan.</w:t>
      </w:r>
    </w:p>
    <w:p>
      <w:pPr>
        <w:spacing w:after="0" w:line="154" w:lineRule="exact"/>
        <w:rPr>
          <w:sz w:val="20"/>
          <w:szCs w:val="20"/>
          <w:color w:val="auto"/>
        </w:rPr>
      </w:pPr>
    </w:p>
    <w:p>
      <w:pPr>
        <w:ind w:left="8" w:right="60" w:firstLine="324"/>
        <w:spacing w:after="0" w:line="293"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i w:val="1"/>
          <w:iCs w:val="1"/>
          <w:color w:val="auto"/>
        </w:rPr>
        <w:t>Payment of QPBC</w:t>
      </w:r>
      <w:r>
        <w:rPr>
          <w:rFonts w:ascii="Arial" w:cs="Arial" w:eastAsia="Arial" w:hAnsi="Arial"/>
          <w:sz w:val="16"/>
          <w:szCs w:val="16"/>
          <w:color w:val="auto"/>
        </w:rPr>
        <w:t>. Unless otherwise provided by the Committee and only to the extent otherwise permitted by Code Section 162(m),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each Bonus that is intended to qualify as QPBC, (a) the Participant must be employed by the Company throughout the Performance Period and</w:t>
      </w:r>
    </w:p>
    <w:p>
      <w:pPr>
        <w:spacing w:after="0" w:line="1" w:lineRule="exact"/>
        <w:rPr>
          <w:sz w:val="20"/>
          <w:szCs w:val="20"/>
          <w:color w:val="auto"/>
        </w:rPr>
      </w:pPr>
    </w:p>
    <w:p>
      <w:pPr>
        <w:ind w:left="8" w:right="100" w:hanging="8"/>
        <w:spacing w:after="0" w:line="261" w:lineRule="auto"/>
        <w:tabs>
          <w:tab w:leader="none" w:pos="2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Participant shall be eligible to receive payment of the Bonus for the Performance Period only if and to the extent that the Performance Objectives for such period are achieved, contingent on funding.</w:t>
      </w:r>
    </w:p>
    <w:p>
      <w:pPr>
        <w:spacing w:after="0" w:line="180" w:lineRule="exact"/>
        <w:rPr>
          <w:sz w:val="20"/>
          <w:szCs w:val="20"/>
          <w:color w:val="auto"/>
        </w:rPr>
      </w:pPr>
    </w:p>
    <w:p>
      <w:pPr>
        <w:ind w:left="8" w:right="100" w:firstLine="324"/>
        <w:spacing w:after="0" w:line="25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Limited Discretion</w:t>
      </w:r>
      <w:r>
        <w:rPr>
          <w:rFonts w:ascii="Arial" w:cs="Arial" w:eastAsia="Arial" w:hAnsi="Arial"/>
          <w:sz w:val="18"/>
          <w:szCs w:val="18"/>
          <w:color w:val="auto"/>
        </w:rPr>
        <w:t>. Once a Bonus Opportunity is established pursuant to Section 4.2 hereof for a Bonus that is intended to be QPBC,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not have any discretion to increase it based upon the established terms of the Bonus Opportunity or to modify the applicable Performance Objectives (other than pursuant to automatic objectively determinable adjustments established at the time the Performance Objectives were established), to the extent the existence or exercise of such discretion is inconsistent with the requirements for QPBC. In determining the amount of any Bonus that is intended to be QPBC, the Committee shall have the right to reduce (but not to increase) the amount of the Bonus that is derived solely based on the attainment of the applicable Performance Objectives, to take into account additional factors that the Committee may deem relevant to the assessment of individual or corporate performance.</w:t>
      </w:r>
    </w:p>
    <w:p>
      <w:pPr>
        <w:spacing w:after="0" w:line="189" w:lineRule="exact"/>
        <w:rPr>
          <w:sz w:val="20"/>
          <w:szCs w:val="20"/>
          <w:color w:val="auto"/>
        </w:rPr>
      </w:pPr>
    </w:p>
    <w:p>
      <w:pPr>
        <w:ind w:left="8" w:right="20" w:firstLine="324"/>
        <w:spacing w:after="0" w:line="256"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Notwithstanding any provision in the Plan to the contrary, no Bonuses intended to be QPBC shall be paid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unless and until the stockholders of Integra approve the Plan and the Business Criteria as required by Code Section 162(m). So long as the Plan shall not have been previously terminated by Integra, to the extent Integra determines that the Bonus relating to any Bonus Opportunity established under the Plan more than five years after Integra stockholders’ initial approval of the Plan shall continue to be intended to be QPBC, the Plan and the Business Criteria shall be resubmitted for approval of the stockholders of Integra no later than the fifth year after it shall have first been approved by the stockholders of Integra and every fifth year thereafter.</w:t>
      </w:r>
    </w:p>
    <w:p>
      <w:pPr>
        <w:spacing w:after="0" w:line="188" w:lineRule="exact"/>
        <w:rPr>
          <w:sz w:val="20"/>
          <w:szCs w:val="20"/>
          <w:color w:val="auto"/>
        </w:rPr>
      </w:pPr>
    </w:p>
    <w:p>
      <w:pPr>
        <w:ind w:left="5068"/>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4708"/>
        <w:spacing w:after="0"/>
        <w:rPr>
          <w:sz w:val="20"/>
          <w:szCs w:val="20"/>
          <w:color w:val="auto"/>
        </w:rPr>
      </w:pPr>
      <w:r>
        <w:rPr>
          <w:rFonts w:ascii="Arial" w:cs="Arial" w:eastAsia="Arial" w:hAnsi="Arial"/>
          <w:sz w:val="18"/>
          <w:szCs w:val="18"/>
          <w:b w:val="1"/>
          <w:bCs w:val="1"/>
          <w:color w:val="auto"/>
        </w:rPr>
        <w:t>Payment of Benefits</w:t>
      </w:r>
    </w:p>
    <w:p>
      <w:pPr>
        <w:spacing w:after="0" w:line="207" w:lineRule="exact"/>
        <w:rPr>
          <w:sz w:val="20"/>
          <w:szCs w:val="20"/>
          <w:color w:val="auto"/>
        </w:rPr>
      </w:pPr>
    </w:p>
    <w:p>
      <w:pPr>
        <w:ind w:left="328"/>
        <w:spacing w:after="0"/>
        <w:tabs>
          <w:tab w:leader="none" w:pos="707"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i w:val="1"/>
          <w:iCs w:val="1"/>
          <w:color w:val="auto"/>
        </w:rPr>
        <w:t>Form of Payment</w:t>
      </w:r>
      <w:r>
        <w:rPr>
          <w:rFonts w:ascii="Arial" w:cs="Arial" w:eastAsia="Arial" w:hAnsi="Arial"/>
          <w:sz w:val="16"/>
          <w:szCs w:val="16"/>
          <w:color w:val="auto"/>
        </w:rPr>
        <w:t>. Bonuses under the Plan may be paid in cash or its equivalent, as determined by the Committee in its sole discretion.</w:t>
      </w:r>
    </w:p>
    <w:p>
      <w:pPr>
        <w:sectPr>
          <w:pgSz w:w="11900" w:h="16838" w:orient="portrait"/>
          <w:cols w:equalWidth="0" w:num="1">
            <w:col w:w="11088"/>
          </w:cols>
          <w:pgMar w:left="572" w:top="368" w:right="239" w:bottom="1440" w:gutter="0" w:footer="0" w:header="0"/>
        </w:sectPr>
      </w:pPr>
    </w:p>
    <w:bookmarkStart w:id="46" w:name="page47"/>
    <w:bookmarkEnd w:id="46"/>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i w:val="1"/>
          <w:iCs w:val="1"/>
          <w:color w:val="auto"/>
        </w:rPr>
        <w:t>Designation of Beneficiary</w:t>
      </w:r>
      <w:r>
        <w:rPr>
          <w:rFonts w:ascii="Arial" w:cs="Arial" w:eastAsia="Arial" w:hAnsi="Arial"/>
          <w:sz w:val="18"/>
          <w:szCs w:val="18"/>
          <w:color w:val="auto"/>
        </w:rPr>
        <w:t>. In the event of the death of a Participant after the completion of a Performance Period for a Bonus but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Bonus is paid, the Bonus (if any) shall be paid to the Participant’s surviving spouse or, if the Participant does not have a surviving spouse, to the Participant’s estate.</w:t>
      </w:r>
    </w:p>
    <w:p>
      <w:pPr>
        <w:spacing w:after="0" w:line="17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i w:val="1"/>
          <w:iCs w:val="1"/>
          <w:color w:val="auto"/>
        </w:rPr>
        <w:t>Payees under Legal Disability</w:t>
      </w:r>
      <w:r>
        <w:rPr>
          <w:rFonts w:ascii="Arial" w:cs="Arial" w:eastAsia="Arial" w:hAnsi="Arial"/>
          <w:sz w:val="18"/>
          <w:szCs w:val="18"/>
          <w:color w:val="auto"/>
        </w:rPr>
        <w:t>. If the Committee reasonably believes that any payee is legally incapable of giving a valid receipt and discharge</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payment due him or her, the Committee may have the payment (if any) made to the person (or persons or institution) whom it reasonably believes is caring for or supporting such payee. Any such payment shall be a payment for the benefit of the payee and shall be a complete discharge of any liability under the Plan to the payee.</w:t>
      </w:r>
    </w:p>
    <w:p>
      <w:pPr>
        <w:spacing w:after="0" w:line="180"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i w:val="1"/>
          <w:iCs w:val="1"/>
          <w:color w:val="auto"/>
        </w:rPr>
        <w:t>Payment of Bonuses</w:t>
      </w:r>
      <w:r>
        <w:rPr>
          <w:rFonts w:ascii="Arial" w:cs="Arial" w:eastAsia="Arial" w:hAnsi="Arial"/>
          <w:sz w:val="15"/>
          <w:szCs w:val="15"/>
          <w:color w:val="auto"/>
        </w:rPr>
        <w:t>.</w:t>
      </w:r>
    </w:p>
    <w:p>
      <w:pPr>
        <w:spacing w:after="0" w:line="229" w:lineRule="exact"/>
        <w:rPr>
          <w:sz w:val="20"/>
          <w:szCs w:val="20"/>
          <w:color w:val="auto"/>
        </w:rPr>
      </w:pPr>
    </w:p>
    <w:p>
      <w:pPr>
        <w:ind w:left="320" w:right="120" w:firstLine="645"/>
        <w:spacing w:after="0" w:line="342" w:lineRule="auto"/>
        <w:tabs>
          <w:tab w:leader="none" w:pos="13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Unless otherwise directed by the Committee, each Bonus shall be paid no later than the fifteenth day of the third month following the end of the calendar year in which the Bonus is no longer subject to a “substantial risk of forfeiture” (within the meaning of Code Section 409A).</w:t>
      </w:r>
    </w:p>
    <w:p>
      <w:pPr>
        <w:spacing w:after="0" w:line="123" w:lineRule="exact"/>
        <w:rPr>
          <w:rFonts w:ascii="Arial" w:cs="Arial" w:eastAsia="Arial" w:hAnsi="Arial"/>
          <w:sz w:val="16"/>
          <w:szCs w:val="16"/>
          <w:color w:val="auto"/>
        </w:rPr>
      </w:pPr>
    </w:p>
    <w:p>
      <w:pPr>
        <w:ind w:left="320" w:right="40" w:firstLine="645"/>
        <w:spacing w:after="0" w:line="273" w:lineRule="auto"/>
        <w:tabs>
          <w:tab w:leader="none" w:pos="13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Subject to Section 5.2 hereof, unless otherwise specifically determined by the Committee or otherwise provided for in an employment or severance agreement with Integra, a Participant shall be eligible for payment of a Bonus under the Plan only if the Participant is an active employee of Integra on the date of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a Participant who is on a leave of absence on the date of payment, Integra’s Chief Human Resources Officer or his or her delegate shall have the discretion to determine the requirements for such Participant’s return to active employee status in order to be eligible to receive the payment and the timing of such payment, but in no event shall such payment be made later than the last date permitted for such payment under Section 5.4(a) hereof.</w:t>
      </w:r>
    </w:p>
    <w:p>
      <w:pPr>
        <w:spacing w:after="0" w:line="178" w:lineRule="exact"/>
        <w:rPr>
          <w:rFonts w:ascii="Arial" w:cs="Arial" w:eastAsia="Arial" w:hAnsi="Arial"/>
          <w:sz w:val="17"/>
          <w:szCs w:val="17"/>
          <w:color w:val="auto"/>
        </w:rPr>
      </w:pPr>
    </w:p>
    <w:p>
      <w:pPr>
        <w:ind w:left="320" w:firstLine="645"/>
        <w:spacing w:after="0" w:line="259" w:lineRule="auto"/>
        <w:tabs>
          <w:tab w:leader="none" w:pos="13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payments under the Plan shall be directly deposited into the Participant’s designated payroll deposit account, delivered in person or mailed to the last address of the Participant (or, in the case of the death of the Participant, to that of his or her surviving spouse or, if there is no surviving spouse, to the address of his or her estate). Each Participant shall be responsible for furnishing Integra with his or her current address and the address of his or her spouse, if any.</w:t>
      </w:r>
    </w:p>
    <w:p>
      <w:pPr>
        <w:spacing w:after="0" w:line="183"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i w:val="1"/>
          <w:iCs w:val="1"/>
          <w:color w:val="auto"/>
        </w:rPr>
        <w:t>No Entitlement to Bonuses</w:t>
      </w:r>
      <w:r>
        <w:rPr>
          <w:rFonts w:ascii="Arial" w:cs="Arial" w:eastAsia="Arial" w:hAnsi="Arial"/>
          <w:sz w:val="18"/>
          <w:szCs w:val="18"/>
          <w:color w:val="auto"/>
        </w:rPr>
        <w:t>. Nothing contained in the Plan shall confer upon any person any claim or right to a Bonus with respect to any year</w:t>
      </w:r>
      <w:r>
        <w:rPr>
          <w:rFonts w:ascii="Arial" w:cs="Arial" w:eastAsia="Arial" w:hAnsi="Arial"/>
          <w:sz w:val="18"/>
          <w:szCs w:val="18"/>
          <w:b w:val="1"/>
          <w:bCs w:val="1"/>
          <w:color w:val="auto"/>
        </w:rPr>
        <w:t xml:space="preserve"> </w:t>
      </w:r>
      <w:r>
        <w:rPr>
          <w:rFonts w:ascii="Arial" w:cs="Arial" w:eastAsia="Arial" w:hAnsi="Arial"/>
          <w:sz w:val="18"/>
          <w:szCs w:val="18"/>
          <w:color w:val="auto"/>
        </w:rPr>
        <w:t>or Performance Period, and whether the Company pays a Participant a Bonus and the amount of any such Bonus shall be determined by the Company in its sole and absolute discretion, subject to the terms and conditions of the Plan.</w:t>
      </w:r>
    </w:p>
    <w:p>
      <w:pPr>
        <w:spacing w:after="0" w:line="17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Plan Administration</w:t>
      </w:r>
    </w:p>
    <w:p>
      <w:pPr>
        <w:spacing w:after="0" w:line="207" w:lineRule="exact"/>
        <w:rPr>
          <w:sz w:val="20"/>
          <w:szCs w:val="20"/>
          <w:color w:val="auto"/>
        </w:rPr>
      </w:pPr>
    </w:p>
    <w:p>
      <w:pPr>
        <w:ind w:right="60" w:firstLine="324"/>
        <w:spacing w:after="0" w:line="303"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Authority to administer the Plan shall be vested in a committee (the “Committee”) designated by the Board, consisting of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two members, all of whom are Outside Directors; provided, that any action taken by the Committee shall be valid and effective, whether or not members of the Committee at the time of such action are later determined not to have satisfied the requirements for membership set forth in this Section 6.1 or otherwise provided in any charter of the Committee. As of the Effective Date, the Compensation Committee of the Board shall serve as the Committee.</w:t>
      </w:r>
    </w:p>
    <w:p>
      <w:pPr>
        <w:spacing w:after="0" w:line="151" w:lineRule="exact"/>
        <w:rPr>
          <w:sz w:val="20"/>
          <w:szCs w:val="20"/>
          <w:color w:val="auto"/>
        </w:rPr>
      </w:pPr>
    </w:p>
    <w:p>
      <w:pPr>
        <w:ind w:right="600" w:firstLine="324"/>
        <w:spacing w:after="0" w:line="347"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Administrative Powers</w:t>
      </w:r>
      <w:r>
        <w:rPr>
          <w:rFonts w:ascii="Arial" w:cs="Arial" w:eastAsia="Arial" w:hAnsi="Arial"/>
          <w:sz w:val="16"/>
          <w:szCs w:val="16"/>
          <w:color w:val="auto"/>
        </w:rPr>
        <w:t>. The Committee shall have all powers necessary to administer the Plan. In addition to any powers and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on the Committee elsewhere in the Plan or by law, the Committee shall have the following powers and discretionary authority:</w:t>
      </w:r>
    </w:p>
    <w:p>
      <w:pPr>
        <w:spacing w:after="0" w:line="120" w:lineRule="exact"/>
        <w:rPr>
          <w:sz w:val="20"/>
          <w:szCs w:val="20"/>
          <w:color w:val="auto"/>
        </w:rPr>
      </w:pPr>
    </w:p>
    <w:p>
      <w:pPr>
        <w:ind w:left="1340" w:hanging="375"/>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designate agents to carry out responsibilities relating to the Plan;</w:t>
      </w:r>
    </w:p>
    <w:p>
      <w:pPr>
        <w:spacing w:after="0" w:line="225" w:lineRule="exact"/>
        <w:rPr>
          <w:rFonts w:ascii="Arial" w:cs="Arial" w:eastAsia="Arial" w:hAnsi="Arial"/>
          <w:sz w:val="18"/>
          <w:szCs w:val="18"/>
          <w:color w:val="auto"/>
        </w:rPr>
      </w:pPr>
    </w:p>
    <w:p>
      <w:pPr>
        <w:ind w:left="1360" w:hanging="395"/>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administer, interpret, and answer all questions which may arise under this Plan;</w:t>
      </w:r>
    </w:p>
    <w:p>
      <w:pPr>
        <w:sectPr>
          <w:pgSz w:w="11900" w:h="16838" w:orient="portrait"/>
          <w:cols w:equalWidth="0" w:num="1">
            <w:col w:w="11060"/>
          </w:cols>
          <w:pgMar w:left="580" w:top="364" w:right="259" w:bottom="1440" w:gutter="0" w:footer="0" w:header="0"/>
        </w:sectPr>
      </w:pPr>
    </w:p>
    <w:bookmarkStart w:id="47" w:name="page48"/>
    <w:bookmarkEnd w:id="47"/>
    <w:p>
      <w:pPr>
        <w:ind w:left="1340" w:hanging="375"/>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establish rules and procedures for the conduct of its business and for the administration of the Plan;</w:t>
      </w:r>
    </w:p>
    <w:p>
      <w:pPr>
        <w:spacing w:after="0" w:line="225" w:lineRule="exact"/>
        <w:rPr>
          <w:rFonts w:ascii="Arial" w:cs="Arial" w:eastAsia="Arial" w:hAnsi="Arial"/>
          <w:sz w:val="18"/>
          <w:szCs w:val="18"/>
          <w:color w:val="auto"/>
        </w:rPr>
      </w:pPr>
    </w:p>
    <w:p>
      <w:pPr>
        <w:ind w:left="320" w:firstLine="645"/>
        <w:spacing w:after="0" w:line="264" w:lineRule="auto"/>
        <w:tabs>
          <w:tab w:leader="none" w:pos="13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select and engage consultants, accountants, attorneys or other professionals or experts to render service or advice with regard to any responsibility the Committee has under the Plan, and (with Integra, its Board and its officers) to rely upon the advice or opinions of any such persons, to the extent permitted by law, being fully protected in acting and relying thereon in good faith; and</w:t>
      </w:r>
    </w:p>
    <w:p>
      <w:pPr>
        <w:spacing w:after="0" w:line="181" w:lineRule="exact"/>
        <w:rPr>
          <w:rFonts w:ascii="Arial" w:cs="Arial" w:eastAsia="Arial" w:hAnsi="Arial"/>
          <w:sz w:val="18"/>
          <w:szCs w:val="18"/>
          <w:color w:val="auto"/>
        </w:rPr>
      </w:pPr>
    </w:p>
    <w:p>
      <w:pPr>
        <w:ind w:left="1340" w:hanging="375"/>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perform or cause to be performed such further acts as it may deem necessary or appropriate in the administration of the Plan.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All determinations and actions by the Committee relating to the Plan will be binding upon all parties, to the maximum extent permitted by law.</w:t>
      </w:r>
    </w:p>
    <w:p>
      <w:pPr>
        <w:spacing w:after="0" w:line="23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i w:val="1"/>
          <w:iCs w:val="1"/>
          <w:color w:val="auto"/>
        </w:rPr>
        <w:t>Delegation of Authority</w:t>
      </w:r>
      <w:r>
        <w:rPr>
          <w:rFonts w:ascii="Arial" w:cs="Arial" w:eastAsia="Arial" w:hAnsi="Arial"/>
          <w:sz w:val="17"/>
          <w:szCs w:val="17"/>
          <w:color w:val="auto"/>
        </w:rPr>
        <w:t>. To the extent permitted by applicable law, the Board or the Committee may from time to time delegate to a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one or more members of the Board or one or more officers of Integra the authority to grant or amend Bonuses or Bonus Opportunities, or to take other administrative actions pursuant to this Article 6;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shall an officer of Integra be delegated the authority to grant Bonuses to, or amend Bonus Opportunities held by, the following individuals: (a) individuals who are subject to Section 16 of the Exchange Act, (b) Covered Employees with respect to Bonuses intended to constitute QPBC, or (c) officers of Integra to whom authority has been delegated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delegation of administrative authority shall only be permitted to the extent it is permissible under Code Section 162(m)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6.3 shall serve in such capacity at the pleasure of the Board and the Committee.</w:t>
      </w:r>
    </w:p>
    <w:p>
      <w:pPr>
        <w:spacing w:after="0" w:line="174"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i w:val="1"/>
          <w:iCs w:val="1"/>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ind w:left="320" w:right="180" w:firstLine="645"/>
        <w:spacing w:after="0" w:line="259" w:lineRule="auto"/>
        <w:tabs>
          <w:tab w:leader="none" w:pos="13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maximum extent permitted by law, Integra shall indemnify each member of the Committee and of the Board against expenses (including any amount paid in settlement) reasonably incurred by him or her in connection with any claims against him or her by reason of the performance of his or her duties under the Plan. This indemnity shall not apply if the individual: (i) Acted fraudulently or in bad faith in the performance of his or her duties; or (ii) Fails to assist Integra in defending against the claim.</w:t>
      </w:r>
    </w:p>
    <w:p>
      <w:pPr>
        <w:spacing w:after="0" w:line="186" w:lineRule="exact"/>
        <w:rPr>
          <w:rFonts w:ascii="Arial" w:cs="Arial" w:eastAsia="Arial" w:hAnsi="Arial"/>
          <w:sz w:val="18"/>
          <w:szCs w:val="18"/>
          <w:color w:val="auto"/>
        </w:rPr>
      </w:pPr>
    </w:p>
    <w:p>
      <w:pPr>
        <w:ind w:left="1360" w:hanging="395"/>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 shall have the right to select counsel and to control the prosecution or defense of the suit.</w:t>
      </w:r>
    </w:p>
    <w:p>
      <w:pPr>
        <w:spacing w:after="0" w:line="225" w:lineRule="exact"/>
        <w:rPr>
          <w:rFonts w:ascii="Arial" w:cs="Arial" w:eastAsia="Arial" w:hAnsi="Arial"/>
          <w:sz w:val="18"/>
          <w:szCs w:val="18"/>
          <w:color w:val="auto"/>
        </w:rPr>
      </w:pPr>
    </w:p>
    <w:p>
      <w:pPr>
        <w:ind w:left="320" w:right="20" w:firstLine="645"/>
        <w:spacing w:after="0" w:line="277" w:lineRule="auto"/>
        <w:tabs>
          <w:tab w:leader="none" w:pos="13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 shall not be required to indemnify any person for any amount incurred through settlement of any action unless Integra consents in writing to the settlement.</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Miscellaneous Matters</w:t>
      </w:r>
    </w:p>
    <w:p>
      <w:pPr>
        <w:spacing w:after="0" w:line="207" w:lineRule="exact"/>
        <w:rPr>
          <w:sz w:val="20"/>
          <w:szCs w:val="20"/>
          <w:color w:val="auto"/>
        </w:rPr>
      </w:pPr>
    </w:p>
    <w:p>
      <w:pPr>
        <w:jc w:val="both"/>
        <w:ind w:right="420" w:firstLine="324"/>
        <w:spacing w:after="0" w:line="314"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Amendment and Termination</w:t>
      </w:r>
      <w:r>
        <w:rPr>
          <w:rFonts w:ascii="Arial" w:cs="Arial" w:eastAsia="Arial" w:hAnsi="Arial"/>
          <w:sz w:val="16"/>
          <w:szCs w:val="16"/>
          <w:color w:val="auto"/>
        </w:rPr>
        <w:t>. Integra reserves the right to amend, modify, or terminate the Plan at any time by action of the Board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Notwithstanding the foregoing, no amendment of the Plan or with respect to a Bonus Opportunity may be made that would constitute a modification of the material terms of a “performance goal” (as described in Treasury Regulation section 1.162-27(e)(2) or any successor thereto).</w:t>
      </w:r>
    </w:p>
    <w:p>
      <w:pPr>
        <w:spacing w:after="0" w:line="142" w:lineRule="exact"/>
        <w:rPr>
          <w:sz w:val="20"/>
          <w:szCs w:val="20"/>
          <w:color w:val="auto"/>
        </w:rPr>
      </w:pPr>
    </w:p>
    <w:p>
      <w:pPr>
        <w:ind w:right="20" w:firstLine="324"/>
        <w:spacing w:after="0" w:line="289"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i w:val="1"/>
          <w:iCs w:val="1"/>
          <w:color w:val="auto"/>
        </w:rPr>
        <w:t>Clawback</w:t>
      </w:r>
      <w:r>
        <w:rPr>
          <w:rFonts w:ascii="Arial" w:cs="Arial" w:eastAsia="Arial" w:hAnsi="Arial"/>
          <w:sz w:val="17"/>
          <w:szCs w:val="17"/>
          <w:color w:val="auto"/>
        </w:rPr>
        <w:t>. Notwithstanding anything contained in the Plan to the contrary, to the extent allowed under applicable law or regulatory filings or</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determined by the Committee, all Bonuses granted under the Plan, and any related payments made under the Plan, shall be subject to the provisions of any clawback, repayment or recapture policy implemented by Integra, including any such policy adopted to comply</w:t>
      </w:r>
    </w:p>
    <w:p>
      <w:pPr>
        <w:sectPr>
          <w:pgSz w:w="11900" w:h="16838" w:orient="portrait"/>
          <w:cols w:equalWidth="0" w:num="1">
            <w:col w:w="11080"/>
          </w:cols>
          <w:pgMar w:left="580" w:top="368" w:right="239" w:bottom="1440" w:gutter="0" w:footer="0" w:header="0"/>
        </w:sectPr>
      </w:pPr>
    </w:p>
    <w:bookmarkStart w:id="48" w:name="page49"/>
    <w:bookmarkEnd w:id="48"/>
    <w:p>
      <w:pPr>
        <w:spacing w:after="0" w:line="264" w:lineRule="auto"/>
        <w:rPr>
          <w:sz w:val="20"/>
          <w:szCs w:val="20"/>
          <w:color w:val="auto"/>
        </w:rPr>
      </w:pPr>
      <w:r>
        <w:rPr>
          <w:rFonts w:ascii="Arial" w:cs="Arial" w:eastAsia="Arial" w:hAnsi="Arial"/>
          <w:sz w:val="18"/>
          <w:szCs w:val="18"/>
          <w:color w:val="auto"/>
        </w:rPr>
        <w:t>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 Bonus or payment under the Plan.</w:t>
      </w:r>
    </w:p>
    <w:p>
      <w:pPr>
        <w:spacing w:after="0" w:line="177"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i w:val="1"/>
          <w:iCs w:val="1"/>
          <w:color w:val="auto"/>
        </w:rPr>
        <w:t>Benefits Not Alienable</w:t>
      </w:r>
      <w:r>
        <w:rPr>
          <w:rFonts w:ascii="Arial" w:cs="Arial" w:eastAsia="Arial" w:hAnsi="Arial"/>
          <w:sz w:val="16"/>
          <w:szCs w:val="16"/>
          <w:color w:val="auto"/>
        </w:rPr>
        <w:t>. Benefits under the Plan may not be assigned or alienated, whether voluntarily or involuntarily.</w:t>
      </w:r>
    </w:p>
    <w:p>
      <w:pPr>
        <w:spacing w:after="0" w:line="225"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No Enlargement of Employee Rights</w:t>
      </w:r>
      <w:r>
        <w:rPr>
          <w:rFonts w:ascii="Arial" w:cs="Arial" w:eastAsia="Arial" w:hAnsi="Arial"/>
          <w:sz w:val="18"/>
          <w:szCs w:val="18"/>
          <w:color w:val="auto"/>
        </w:rPr>
        <w:t>. Nothing contained in the Plan shall be deemed to give a participant the right to be retained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 of the Company or to interfere with the right of the Company to discharge any Participant at any time.</w:t>
      </w:r>
    </w:p>
    <w:p>
      <w:pPr>
        <w:spacing w:after="0" w:line="162"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Plan shall be governed by, and construed in accordance with, the laws of the State of Delaware.</w:t>
      </w:r>
    </w:p>
    <w:p>
      <w:pPr>
        <w:spacing w:after="0" w:line="225"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i w:val="1"/>
          <w:iCs w:val="1"/>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Integra intends that the Bonuses under the Plan shall be exempt from Code Section 409A as short-term deferrals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constitute “deferred compensation” within the meaning of Code Section 409A. The Plan shall be interpreted, construed and administered in accordance with the foregoing intent, so as to avoid the imposition of taxes and penalties on Participants pursuant to Code Section 409A. Integra shall have no liability to any Participant, any Participant’s spouse or otherwise if the Plan or any amounts paid or payable hereunder are subject to the additional tax and penalties under Code Section 409A.</w:t>
      </w:r>
    </w:p>
    <w:p>
      <w:pPr>
        <w:sectPr>
          <w:pgSz w:w="11900" w:h="16838" w:orient="portrait"/>
          <w:cols w:equalWidth="0" w:num="1">
            <w:col w:w="11040"/>
          </w:cols>
          <w:pgMar w:left="580" w:top="368"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January 1, 2013)</w:t>
      </w:r>
    </w:p>
    <w:p>
      <w:pPr>
        <w:spacing w:after="0" w:line="200" w:lineRule="exact"/>
        <w:rPr>
          <w:sz w:val="20"/>
          <w:szCs w:val="20"/>
          <w:color w:val="auto"/>
        </w:rPr>
      </w:pPr>
    </w:p>
    <w:p>
      <w:pPr>
        <w:spacing w:after="0" w:line="22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This Amendment (the “Amendment”) to the Integra LifeSciences Holdings Corporation Second Amended and Restated 2003 Equity Incentive Plan, as amended (the “Plan”) amends the Plan as follows:</w:t>
      </w:r>
    </w:p>
    <w:p>
      <w:pPr>
        <w:spacing w:after="0" w:line="211" w:lineRule="exact"/>
        <w:rPr>
          <w:sz w:val="20"/>
          <w:szCs w:val="20"/>
          <w:color w:val="auto"/>
        </w:rPr>
      </w:pPr>
    </w:p>
    <w:p>
      <w:pPr>
        <w:ind w:left="800" w:hanging="468"/>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2 of the Plan is hereby amended to include the following definitions:</w:t>
      </w:r>
    </w:p>
    <w:p>
      <w:pPr>
        <w:spacing w:after="0" w:line="266"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spacing w:after="0" w:line="169" w:lineRule="exact"/>
        <w:rPr>
          <w:sz w:val="20"/>
          <w:szCs w:val="20"/>
          <w:color w:val="auto"/>
        </w:rPr>
      </w:pPr>
    </w:p>
    <w:p>
      <w:pPr>
        <w:jc w:val="both"/>
        <w:ind w:left="66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with respect to any Participant, “Good Reason” as defined in an employment, severance or applicable award agreement between such Participant and the Company if such an agreement exists and contains a definition of Good Reason or, if no such agreement exists or such agreement does not contain a definition of Good Reason, then Good Reason shall mean, without the express written consent of the Participant, the occurrence of any of the following:</w:t>
      </w:r>
    </w:p>
    <w:p>
      <w:pPr>
        <w:spacing w:after="0" w:line="187" w:lineRule="exact"/>
        <w:rPr>
          <w:sz w:val="20"/>
          <w:szCs w:val="20"/>
          <w:color w:val="auto"/>
        </w:rPr>
      </w:pPr>
    </w:p>
    <w:p>
      <w:pPr>
        <w:ind w:left="660" w:right="140" w:firstLine="320"/>
        <w:spacing w:after="0" w:line="277" w:lineRule="auto"/>
        <w:tabs>
          <w:tab w:leader="none" w:pos="11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 or the assignment of duties to the Participant that are materially inconsistent with the Participant’s position with the Company;</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w:t>
      </w:r>
    </w:p>
    <w:p>
      <w:pPr>
        <w:spacing w:after="0" w:line="225" w:lineRule="exact"/>
        <w:rPr>
          <w:rFonts w:ascii="Arial" w:cs="Arial" w:eastAsia="Arial" w:hAnsi="Arial"/>
          <w:sz w:val="18"/>
          <w:szCs w:val="18"/>
          <w:color w:val="auto"/>
        </w:rPr>
      </w:pPr>
    </w:p>
    <w:p>
      <w:pPr>
        <w:ind w:left="660" w:right="220" w:firstLine="320"/>
        <w:spacing w:after="0" w:line="277" w:lineRule="auto"/>
        <w:tabs>
          <w:tab w:leader="none" w:pos="12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in the geographic location at which the Participant must perform services to a location more than fifty miles from the location at which the Participant normally performs such services as of the date of grant of the award,</w:t>
      </w:r>
    </w:p>
    <w:p>
      <w:pPr>
        <w:spacing w:after="0" w:line="170" w:lineRule="exact"/>
        <w:rPr>
          <w:sz w:val="20"/>
          <w:szCs w:val="20"/>
          <w:color w:val="auto"/>
        </w:rPr>
      </w:pPr>
    </w:p>
    <w:p>
      <w:pPr>
        <w:jc w:val="both"/>
        <w:ind w:left="660" w:right="260"/>
        <w:spacing w:after="0" w:line="279" w:lineRule="auto"/>
        <w:rPr>
          <w:sz w:val="20"/>
          <w:szCs w:val="20"/>
          <w:color w:val="auto"/>
        </w:rPr>
      </w:pPr>
      <w:r>
        <w:rPr>
          <w:rFonts w:ascii="Arial" w:cs="Arial" w:eastAsia="Arial" w:hAnsi="Arial"/>
          <w:sz w:val="17"/>
          <w:szCs w:val="17"/>
          <w:color w:val="auto"/>
        </w:rPr>
        <w:t>provided, that the Participant’s resignation shall only constitute a resignation for Good Reason if (x) the Participant provides the Company with a notice of termination for Good Reason within thirty days after the initial existence of the facts or circumstances constituting Good Reason, (y) the Company has failed to cure such facts or circumstances within thirty days after receipt of the notice of termination, and (z) the date of termination occurs no later than sixty days after the initial occurrence of the facts or circumstances constituting Good Reason.</w:t>
      </w:r>
    </w:p>
    <w:p>
      <w:pPr>
        <w:spacing w:after="0" w:line="171" w:lineRule="exact"/>
        <w:rPr>
          <w:sz w:val="20"/>
          <w:szCs w:val="20"/>
          <w:color w:val="auto"/>
        </w:rPr>
      </w:pPr>
    </w:p>
    <w:p>
      <w:pPr>
        <w:jc w:val="both"/>
        <w:ind w:left="660"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Termination</w:t>
      </w:r>
      <w:r>
        <w:rPr>
          <w:rFonts w:ascii="Arial" w:cs="Arial" w:eastAsia="Arial" w:hAnsi="Arial"/>
          <w:sz w:val="18"/>
          <w:szCs w:val="18"/>
          <w:color w:val="auto"/>
        </w:rPr>
        <w:t>” shall mean a termination of a Participant’s service (i) by the Company without Cause or (ii) with respect to a Participant who is a member of the Company’s Executive Leadership Team</w:t>
      </w:r>
    </w:p>
    <w:p>
      <w:pPr>
        <w:sectPr>
          <w:pgSz w:w="11900" w:h="16838" w:orient="portrait"/>
          <w:cols w:equalWidth="0" w:num="1">
            <w:col w:w="11420"/>
          </w:cols>
          <w:pgMar w:left="240" w:top="364" w:right="239" w:bottom="1440" w:gutter="0" w:footer="0" w:header="0"/>
        </w:sectPr>
      </w:pPr>
    </w:p>
    <w:bookmarkStart w:id="50" w:name="page51"/>
    <w:bookmarkEnd w:id="50"/>
    <w:p>
      <w:pPr>
        <w:ind w:left="660" w:right="380"/>
        <w:spacing w:after="0" w:line="277" w:lineRule="auto"/>
        <w:rPr>
          <w:sz w:val="20"/>
          <w:szCs w:val="20"/>
          <w:color w:val="auto"/>
        </w:rPr>
      </w:pPr>
      <w:r>
        <w:rPr>
          <w:rFonts w:ascii="Arial" w:cs="Arial" w:eastAsia="Arial" w:hAnsi="Arial"/>
          <w:sz w:val="18"/>
          <w:szCs w:val="18"/>
          <w:color w:val="auto"/>
        </w:rPr>
        <w:t>and/or a Participant who is party to an employment, severance or applicable award agreement that contains a definition of Good Reason, by the Participant for Good Reason.</w:t>
      </w:r>
    </w:p>
    <w:p>
      <w:pPr>
        <w:spacing w:after="0" w:line="170"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8.5(a) of the Plan is hereby deleted in its entirety and replaced with the following:</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 other provision of this Plan and subject to Section 8.6 below:</w:t>
      </w:r>
    </w:p>
    <w:p>
      <w:pPr>
        <w:spacing w:after="0" w:line="225" w:lineRule="exact"/>
        <w:rPr>
          <w:rFonts w:ascii="Arial" w:cs="Arial" w:eastAsia="Arial" w:hAnsi="Arial"/>
          <w:sz w:val="18"/>
          <w:szCs w:val="18"/>
          <w:color w:val="auto"/>
        </w:rPr>
      </w:pPr>
    </w:p>
    <w:p>
      <w:pPr>
        <w:ind w:left="980" w:right="80"/>
        <w:spacing w:after="0" w:line="31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 With respect to Awards granted under the Plan prior to January 1, 2013,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Restricted Stock, upon a Change in Control; and</w:t>
      </w:r>
    </w:p>
    <w:p>
      <w:pPr>
        <w:spacing w:after="0" w:line="146" w:lineRule="exact"/>
        <w:rPr>
          <w:rFonts w:ascii="Arial" w:cs="Arial" w:eastAsia="Arial" w:hAnsi="Arial"/>
          <w:sz w:val="16"/>
          <w:szCs w:val="16"/>
          <w:color w:val="auto"/>
        </w:rPr>
      </w:pPr>
    </w:p>
    <w:p>
      <w:pPr>
        <w:ind w:left="980" w:right="120" w:firstLine="649"/>
        <w:spacing w:after="0" w:line="257" w:lineRule="auto"/>
        <w:tabs>
          <w:tab w:leader="none" w:pos="1893"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the extent allowed under applicable law or regulatory filings or unless otherwise determined by the Committee, with respect to Awards granted under the Plan on or after to January 1, 2013, in the event that a Change in Control occurs and the Participant incurs a Qualifying Termination on or within twelve (12) months following the date of such Change in Control, each outstanding Award held by a Participant, other than any Award subject to performance-vesting, shall become fully vested (and, as applicable, exercisable) and all forfeiture restrictions thereon shall lapse upon such Qualifying Termination.”</w:t>
      </w:r>
    </w:p>
    <w:p>
      <w:pPr>
        <w:spacing w:after="0" w:line="188"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new Section 10.14 is hereby added to the Plan:</w:t>
      </w:r>
    </w:p>
    <w:p>
      <w:pPr>
        <w:spacing w:after="0" w:line="225" w:lineRule="exact"/>
        <w:rPr>
          <w:rFonts w:ascii="Arial" w:cs="Arial" w:eastAsia="Arial" w:hAnsi="Arial"/>
          <w:sz w:val="18"/>
          <w:szCs w:val="18"/>
          <w:color w:val="auto"/>
        </w:rPr>
      </w:pPr>
    </w:p>
    <w:p>
      <w:pPr>
        <w:ind w:left="660"/>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“10.14 </w:t>
      </w:r>
      <w:r>
        <w:rPr>
          <w:rFonts w:ascii="Arial" w:cs="Arial" w:eastAsia="Arial" w:hAnsi="Arial"/>
          <w:sz w:val="16"/>
          <w:szCs w:val="16"/>
          <w:i w:val="1"/>
          <w:iCs w:val="1"/>
          <w:color w:val="auto"/>
        </w:rPr>
        <w:t>Clawback, Repayment or Recapture Policy</w:t>
      </w:r>
      <w:r>
        <w:rPr>
          <w:rFonts w:ascii="Arial" w:cs="Arial" w:eastAsia="Arial" w:hAnsi="Arial"/>
          <w:sz w:val="16"/>
          <w:szCs w:val="16"/>
          <w:color w:val="auto"/>
        </w:rPr>
        <w:t>. Notwithstanding anything contained in the Plan to the contrary, to the extent allowed under applicable law or regulatory filings or unless otherwise determined by the Committee, all Awards granted under the Plan on or after January 1, 2013, and any related payments made under the Plan after such date,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an Award or payment under the Plan.”</w:t>
      </w:r>
    </w:p>
    <w:p>
      <w:pPr>
        <w:spacing w:after="0" w:line="3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WITNESS WHEREOF, the undersigned, a duly authorized officer of Integra LifeSciences Holdings Corporation, has caused this Amendment to be executed on this 13th day of December, 2012.</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INTEGRA LIFESCIENCES HOLDINGS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-10160</wp:posOffset>
            </wp:positionV>
            <wp:extent cx="1409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9065"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Richard D. Gorelick</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Corporate Vice President, General Counsel,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Administration and Secretary</w:t>
      </w:r>
    </w:p>
    <w:p>
      <w:pPr>
        <w:sectPr>
          <w:pgSz w:w="11900" w:h="16838" w:orient="portrait"/>
          <w:cols w:equalWidth="0" w:num="1">
            <w:col w:w="11360"/>
          </w:cols>
          <w:pgMar w:left="240" w:top="368"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10.10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AGREEMENT</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THIS SEVERANCE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3rd day of January, 2012, by and between Integra LifeSciences Holdings Corporation, a Delaware Corporation, and Richard D. Gorelick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WHEREAS, this Agreement is, in part, intended to specify the financial arrangements that the Company (as defined below) will provide to Executive upon Executive’s separation from employment with the Company.</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contained herein and intended to be legally bound hereby,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w:t>
      </w:r>
    </w:p>
    <w:p>
      <w:pPr>
        <w:spacing w:after="0" w:line="252" w:lineRule="exact"/>
        <w:rPr>
          <w:sz w:val="20"/>
          <w:szCs w:val="20"/>
          <w:color w:val="auto"/>
        </w:rPr>
      </w:pPr>
    </w:p>
    <w:p>
      <w:pPr>
        <w:ind w:right="480" w:firstLine="8"/>
        <w:spacing w:after="0" w:line="329" w:lineRule="auto"/>
        <w:tabs>
          <w:tab w:leader="none" w:pos="783"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words and phrases shall have the meanings set forth below for the purposes of this Agreement (unless the context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clearly indicates otherwise):</w:t>
      </w:r>
    </w:p>
    <w:p>
      <w:pPr>
        <w:spacing w:after="0" w:line="165" w:lineRule="exact"/>
        <w:rPr>
          <w:rFonts w:ascii="Arial" w:cs="Arial" w:eastAsia="Arial" w:hAnsi="Arial"/>
          <w:sz w:val="18"/>
          <w:szCs w:val="18"/>
          <w:color w:val="auto"/>
        </w:rPr>
      </w:pPr>
    </w:p>
    <w:p>
      <w:pPr>
        <w:jc w:val="both"/>
        <w:ind w:left="1300" w:right="120" w:hanging="644"/>
        <w:spacing w:after="0" w:line="301" w:lineRule="auto"/>
        <w:tabs>
          <w:tab w:leader="none" w:pos="1300" w:val="left"/>
        </w:tabs>
        <w:numPr>
          <w:ilvl w:val="1"/>
          <w:numId w:val="35"/>
        </w:numPr>
        <w:rPr>
          <w:rFonts w:ascii="Arial" w:cs="Arial" w:eastAsia="Arial" w:hAnsi="Arial"/>
          <w:sz w:val="21"/>
          <w:szCs w:val="2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Salary</w:t>
      </w:r>
      <w:r>
        <w:rPr>
          <w:rFonts w:ascii="Arial" w:cs="Arial" w:eastAsia="Arial" w:hAnsi="Arial"/>
          <w:sz w:val="17"/>
          <w:szCs w:val="17"/>
          <w:color w:val="auto"/>
        </w:rPr>
        <w:t>” shall mean a minimum base salary of $340,000 per year, payable in periodic installments in accordance with the Company’s regular payroll practices in effect from time to time. Executive’s Base Salary shall be subject to annual reviews, and may increase pursuant to such reviews, in which case the increased annual Base Salary shall become the “Base Salary.”</w:t>
      </w:r>
    </w:p>
    <w:p>
      <w:pPr>
        <w:spacing w:after="0" w:line="170" w:lineRule="exact"/>
        <w:rPr>
          <w:rFonts w:ascii="Arial" w:cs="Arial" w:eastAsia="Arial" w:hAnsi="Arial"/>
          <w:sz w:val="21"/>
          <w:szCs w:val="21"/>
          <w:color w:val="auto"/>
        </w:rPr>
      </w:pPr>
    </w:p>
    <w:p>
      <w:pPr>
        <w:ind w:left="1300" w:hanging="644"/>
        <w:spacing w:after="0"/>
        <w:tabs>
          <w:tab w:leader="none" w:pos="1300" w:val="left"/>
        </w:tabs>
        <w:numPr>
          <w:ilvl w:val="1"/>
          <w:numId w:val="3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 or any successor thereto.</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5"/>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as determined by the Board in good faith, shall mean Executive has --</w:t>
      </w:r>
    </w:p>
    <w:p>
      <w:pPr>
        <w:spacing w:after="0" w:line="215" w:lineRule="exact"/>
        <w:rPr>
          <w:rFonts w:ascii="Arial" w:cs="Arial" w:eastAsia="Arial" w:hAnsi="Arial"/>
          <w:sz w:val="22"/>
          <w:szCs w:val="22"/>
          <w:color w:val="auto"/>
        </w:rPr>
      </w:pPr>
    </w:p>
    <w:p>
      <w:pPr>
        <w:ind w:left="1800" w:right="60" w:hanging="495"/>
        <w:spacing w:after="0" w:line="277" w:lineRule="auto"/>
        <w:tabs>
          <w:tab w:leader="none" w:pos="18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failed to perform his stated duties in all material respects, which failure continues for 15 days after his receipt of written notice of the failure;</w:t>
      </w:r>
    </w:p>
    <w:p>
      <w:pPr>
        <w:spacing w:after="0" w:line="170" w:lineRule="exact"/>
        <w:rPr>
          <w:rFonts w:ascii="Arial" w:cs="Arial" w:eastAsia="Arial" w:hAnsi="Arial"/>
          <w:sz w:val="18"/>
          <w:szCs w:val="18"/>
          <w:color w:val="auto"/>
        </w:rPr>
      </w:pPr>
    </w:p>
    <w:p>
      <w:pPr>
        <w:ind w:left="1800" w:right="240" w:hanging="495"/>
        <w:spacing w:after="0" w:line="277" w:lineRule="auto"/>
        <w:tabs>
          <w:tab w:leader="none" w:pos="18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intentionally and materially breached any provision of this Agreement and not cured such breach (if curable) within 15 days of his receipt of written notice of the breach;</w:t>
      </w:r>
    </w:p>
    <w:p>
      <w:pPr>
        <w:spacing w:after="0" w:line="170" w:lineRule="exact"/>
        <w:rPr>
          <w:rFonts w:ascii="Arial" w:cs="Arial" w:eastAsia="Arial" w:hAnsi="Arial"/>
          <w:sz w:val="18"/>
          <w:szCs w:val="18"/>
          <w:color w:val="auto"/>
        </w:rPr>
      </w:pPr>
    </w:p>
    <w:p>
      <w:pPr>
        <w:ind w:left="1800" w:hanging="495"/>
        <w:spacing w:after="0"/>
        <w:tabs>
          <w:tab w:leader="none" w:pos="18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demonstrated his personal dishonesty in connection with his employment by the Company;</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engaged in a breach of fiduciary duty in connection with his employment with the Company;</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engaged in willful misconduct that is materially and demonstrably injurious to the Company or any of its subsidiaries; or</w:t>
      </w:r>
    </w:p>
    <w:p>
      <w:pPr>
        <w:spacing w:after="0" w:line="225" w:lineRule="exact"/>
        <w:rPr>
          <w:rFonts w:ascii="Arial" w:cs="Arial" w:eastAsia="Arial" w:hAnsi="Arial"/>
          <w:sz w:val="18"/>
          <w:szCs w:val="18"/>
          <w:color w:val="auto"/>
        </w:rPr>
      </w:pPr>
    </w:p>
    <w:p>
      <w:pPr>
        <w:ind w:left="1800" w:right="500" w:hanging="495"/>
        <w:spacing w:after="0" w:line="308" w:lineRule="auto"/>
        <w:tabs>
          <w:tab w:leader="none" w:pos="1800" w:val="left"/>
        </w:tabs>
        <w:numPr>
          <w:ilvl w:val="2"/>
          <w:numId w:val="35"/>
        </w:numPr>
        <w:rPr>
          <w:rFonts w:ascii="Arial" w:cs="Arial" w:eastAsia="Arial" w:hAnsi="Arial"/>
          <w:sz w:val="17"/>
          <w:szCs w:val="17"/>
          <w:color w:val="auto"/>
        </w:rPr>
      </w:pPr>
      <w:r>
        <w:rPr>
          <w:rFonts w:ascii="Arial" w:cs="Arial" w:eastAsia="Arial" w:hAnsi="Arial"/>
          <w:sz w:val="17"/>
          <w:szCs w:val="17"/>
          <w:color w:val="auto"/>
        </w:rPr>
        <w:t xml:space="preserve">been convicted or entered a plea of guilty or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to a felony or to any other crime involving moral turpitude which conviction or plea is materially and demonstrably injurious to the Company or any of its subsidiaries.</w:t>
      </w:r>
    </w:p>
    <w:p>
      <w:pPr>
        <w:spacing w:after="0" w:line="150" w:lineRule="exact"/>
        <w:rPr>
          <w:rFonts w:ascii="Arial" w:cs="Arial" w:eastAsia="Arial" w:hAnsi="Arial"/>
          <w:sz w:val="17"/>
          <w:szCs w:val="17"/>
          <w:color w:val="auto"/>
        </w:rPr>
      </w:pPr>
    </w:p>
    <w:p>
      <w:pPr>
        <w:ind w:left="1300" w:hanging="644"/>
        <w:spacing w:after="0"/>
        <w:tabs>
          <w:tab w:leader="none" w:pos="1300" w:val="left"/>
        </w:tabs>
        <w:numPr>
          <w:ilvl w:val="1"/>
          <w:numId w:val="35"/>
        </w:numPr>
        <w:rPr>
          <w:rFonts w:ascii="Arial" w:cs="Arial" w:eastAsia="Arial" w:hAnsi="Arial"/>
          <w:sz w:val="22"/>
          <w:szCs w:val="22"/>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Control</w:t>
      </w:r>
      <w:r>
        <w:rPr>
          <w:rFonts w:ascii="Arial" w:cs="Arial" w:eastAsia="Arial" w:hAnsi="Arial"/>
          <w:sz w:val="18"/>
          <w:szCs w:val="18"/>
          <w:color w:val="auto"/>
        </w:rPr>
        <w:t>” of the Company shall be deemed to have occurred:</w:t>
      </w:r>
    </w:p>
    <w:p>
      <w:pPr>
        <w:spacing w:after="0" w:line="215" w:lineRule="exact"/>
        <w:rPr>
          <w:rFonts w:ascii="Arial" w:cs="Arial" w:eastAsia="Arial" w:hAnsi="Arial"/>
          <w:sz w:val="22"/>
          <w:szCs w:val="22"/>
          <w:color w:val="auto"/>
        </w:rPr>
      </w:pPr>
    </w:p>
    <w:p>
      <w:pPr>
        <w:ind w:left="1800" w:right="200" w:hanging="495"/>
        <w:spacing w:after="0" w:line="259" w:lineRule="auto"/>
        <w:tabs>
          <w:tab w:leader="none" w:pos="18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if the “beneficial ownership” (as defined in Rule 13d-3 under the Securities Exchange Act of 1934) of securities representing more than fifty percent (50%) of the combined voting power of Company Voting Securities (as herein defined) is acquired by any individual, entity or group (a “</w:t>
      </w:r>
      <w:r>
        <w:rPr>
          <w:rFonts w:ascii="Arial" w:cs="Arial" w:eastAsia="Arial" w:hAnsi="Arial"/>
          <w:sz w:val="18"/>
          <w:szCs w:val="18"/>
          <w:u w:val="single" w:color="auto"/>
          <w:color w:val="auto"/>
        </w:rPr>
        <w:t>Person</w:t>
      </w:r>
      <w:r>
        <w:rPr>
          <w:rFonts w:ascii="Arial" w:cs="Arial" w:eastAsia="Arial" w:hAnsi="Arial"/>
          <w:sz w:val="18"/>
          <w:szCs w:val="18"/>
          <w:color w:val="auto"/>
        </w:rPr>
        <w:t>”), other than the Company, any trustee or other fiduciary holding securities under any employee benefit plan of the Company or an affiliate thereof, or any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2" w:right="239" w:bottom="1440" w:gutter="0" w:footer="0" w:header="0"/>
        </w:sectPr>
      </w:pPr>
    </w:p>
    <w:bookmarkStart w:id="52" w:name="page53"/>
    <w:bookmarkEnd w:id="52"/>
    <w:p>
      <w:pPr>
        <w:ind w:left="1144" w:right="80"/>
        <w:spacing w:after="0" w:line="304" w:lineRule="auto"/>
        <w:rPr>
          <w:sz w:val="20"/>
          <w:szCs w:val="20"/>
          <w:color w:val="auto"/>
        </w:rPr>
      </w:pPr>
      <w:r>
        <w:rPr>
          <w:rFonts w:ascii="Arial" w:cs="Arial" w:eastAsia="Arial" w:hAnsi="Arial"/>
          <w:sz w:val="18"/>
          <w:szCs w:val="18"/>
          <w:color w:val="auto"/>
        </w:rPr>
        <w:t>corporation owned, directly or indirectly, by the stockholders of the Company in substantially the same proportions as their ownership of stock of the Company (for purposes of this Agreement, “</w:t>
      </w:r>
      <w:r>
        <w:rPr>
          <w:rFonts w:ascii="Arial" w:cs="Arial" w:eastAsia="Arial" w:hAnsi="Arial"/>
          <w:sz w:val="18"/>
          <w:szCs w:val="18"/>
          <w:u w:val="single" w:color="auto"/>
          <w:color w:val="auto"/>
        </w:rPr>
        <w:t>Company Voting Securities</w:t>
      </w:r>
      <w:r>
        <w:rPr>
          <w:rFonts w:ascii="Arial" w:cs="Arial" w:eastAsia="Arial" w:hAnsi="Arial"/>
          <w:sz w:val="18"/>
          <w:szCs w:val="18"/>
          <w:color w:val="auto"/>
        </w:rPr>
        <w:t xml:space="preserve">” shall mean the then outstanding voting securities of the Company entitled to vote generally in the election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 acquisition from the Company or any acquisition pursuant to a transaction which complies with clauses (i), (ii) and (iii) of paragraph (3) of this definition shall not be a Change in Control under this paragraph (1); or</w:t>
      </w:r>
    </w:p>
    <w:p>
      <w:pPr>
        <w:spacing w:after="0" w:line="161" w:lineRule="exact"/>
        <w:rPr>
          <w:sz w:val="20"/>
          <w:szCs w:val="20"/>
          <w:color w:val="auto"/>
        </w:rPr>
      </w:pPr>
    </w:p>
    <w:p>
      <w:pPr>
        <w:ind w:left="1144" w:right="80" w:hanging="495"/>
        <w:spacing w:after="0" w:line="272" w:lineRule="auto"/>
        <w:tabs>
          <w:tab w:leader="none" w:pos="1144"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individuals who, as of the date hereof, constitute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7" w:lineRule="exact"/>
        <w:rPr>
          <w:rFonts w:ascii="Arial" w:cs="Arial" w:eastAsia="Arial" w:hAnsi="Arial"/>
          <w:sz w:val="17"/>
          <w:szCs w:val="17"/>
          <w:color w:val="auto"/>
        </w:rPr>
      </w:pPr>
    </w:p>
    <w:p>
      <w:pPr>
        <w:ind w:left="1144" w:right="40" w:hanging="495"/>
        <w:spacing w:after="0" w:line="285" w:lineRule="auto"/>
        <w:tabs>
          <w:tab w:leader="none" w:pos="1144"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upon consummation by the Company of a reorganization, merger or consolidation or sale or other disposition of all or substantially all of the assets of the Company or the acquisition of assets or stock of any entity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or, if applicable, a corporation which as a result of such transaction owns the Company or all or substantially all of the Company’s assets either directly or through one or more subsidiaries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Corporation</w:t>
      </w:r>
      <w:r>
        <w:rPr>
          <w:rFonts w:ascii="Arial" w:cs="Arial" w:eastAsia="Arial" w:hAnsi="Arial"/>
          <w:sz w:val="16"/>
          <w:szCs w:val="16"/>
          <w:color w:val="auto"/>
        </w:rPr>
        <w:t>”)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177" w:lineRule="exact"/>
        <w:rPr>
          <w:rFonts w:ascii="Arial" w:cs="Arial" w:eastAsia="Arial" w:hAnsi="Arial"/>
          <w:sz w:val="16"/>
          <w:szCs w:val="16"/>
          <w:color w:val="auto"/>
        </w:rPr>
      </w:pPr>
    </w:p>
    <w:p>
      <w:pPr>
        <w:ind w:left="1144" w:hanging="495"/>
        <w:spacing w:after="0"/>
        <w:tabs>
          <w:tab w:leader="none" w:pos="11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upon approval by the stockholders of the Company of a complete liquidation or dissolution of the Company.</w:t>
      </w:r>
    </w:p>
    <w:p>
      <w:pPr>
        <w:spacing w:after="0" w:line="229" w:lineRule="exact"/>
        <w:rPr>
          <w:rFonts w:ascii="Arial" w:cs="Arial" w:eastAsia="Arial" w:hAnsi="Arial"/>
          <w:sz w:val="18"/>
          <w:szCs w:val="18"/>
          <w:color w:val="auto"/>
        </w:rPr>
      </w:pPr>
    </w:p>
    <w:p>
      <w:pPr>
        <w:ind w:left="644" w:hanging="644"/>
        <w:spacing w:after="0"/>
        <w:tabs>
          <w:tab w:leader="none" w:pos="644" w:val="left"/>
        </w:tabs>
        <w:numPr>
          <w:ilvl w:val="0"/>
          <w:numId w:val="37"/>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42" w:lineRule="exact"/>
        <w:rPr>
          <w:rFonts w:ascii="Arial" w:cs="Arial" w:eastAsia="Arial" w:hAnsi="Arial"/>
          <w:sz w:val="22"/>
          <w:szCs w:val="22"/>
          <w:color w:val="auto"/>
        </w:rPr>
      </w:pPr>
    </w:p>
    <w:p>
      <w:pPr>
        <w:ind w:left="644" w:right="520" w:hanging="644"/>
        <w:spacing w:after="0" w:line="271"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Integra LifeSciences Holdings Corporation and any corporation, partnership or other entity owned directly or indirectly, in whole or in part, by Integra LifeSciences Holdings Corporation.</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4"/>
          </w:cols>
          <w:pgMar w:left="896" w:top="395" w:right="239" w:bottom="1440" w:gutter="0" w:footer="0" w:header="0"/>
        </w:sectPr>
      </w:pPr>
    </w:p>
    <w:bookmarkStart w:id="53" w:name="page54"/>
    <w:bookmarkEnd w:id="53"/>
    <w:p>
      <w:pPr>
        <w:ind w:left="1300" w:right="240" w:hanging="644"/>
        <w:spacing w:after="0" w:line="280"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w:t>
      </w:r>
    </w:p>
    <w:p>
      <w:pPr>
        <w:spacing w:after="0" w:line="215" w:lineRule="exact"/>
        <w:rPr>
          <w:rFonts w:ascii="Arial" w:cs="Arial" w:eastAsia="Arial" w:hAnsi="Arial"/>
          <w:sz w:val="22"/>
          <w:szCs w:val="22"/>
          <w:color w:val="auto"/>
        </w:rPr>
      </w:pPr>
    </w:p>
    <w:p>
      <w:pPr>
        <w:ind w:left="1800" w:right="400" w:hanging="495"/>
        <w:spacing w:after="0" w:line="277"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which is not cured by the Company within 15 days of its receipt of written notice of the breach;</w:t>
      </w:r>
    </w:p>
    <w:p>
      <w:pPr>
        <w:spacing w:after="0" w:line="170" w:lineRule="exact"/>
        <w:rPr>
          <w:rFonts w:ascii="Arial" w:cs="Arial" w:eastAsia="Arial" w:hAnsi="Arial"/>
          <w:sz w:val="18"/>
          <w:szCs w:val="18"/>
          <w:color w:val="auto"/>
        </w:rPr>
      </w:pPr>
    </w:p>
    <w:p>
      <w:pPr>
        <w:jc w:val="both"/>
        <w:ind w:left="1800" w:right="160" w:hanging="495"/>
        <w:spacing w:after="0" w:line="264"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relocation by the Company of Executive’s office to a location more than forty (40) miles from Princeton, New Jersey, or, where Executive’s office is located other than at the Company’s headquarters in Plainsboro, New Jersey, to a location more than forty (40) miles from the location of Executive’s office on the date hereof;</w:t>
      </w:r>
    </w:p>
    <w:p>
      <w:pPr>
        <w:spacing w:after="0" w:line="181" w:lineRule="exact"/>
        <w:rPr>
          <w:rFonts w:ascii="Arial" w:cs="Arial" w:eastAsia="Arial" w:hAnsi="Arial"/>
          <w:sz w:val="18"/>
          <w:szCs w:val="18"/>
          <w:color w:val="auto"/>
        </w:rPr>
      </w:pPr>
    </w:p>
    <w:p>
      <w:pPr>
        <w:ind w:left="1800" w:hanging="495"/>
        <w:spacing w:after="0"/>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Company’s failure to obtain the assumption of this Agreement by any successor to the Company; or</w:t>
      </w:r>
    </w:p>
    <w:p>
      <w:pPr>
        <w:spacing w:after="0" w:line="225" w:lineRule="exact"/>
        <w:rPr>
          <w:rFonts w:ascii="Arial" w:cs="Arial" w:eastAsia="Arial" w:hAnsi="Arial"/>
          <w:sz w:val="18"/>
          <w:szCs w:val="18"/>
          <w:color w:val="auto"/>
        </w:rPr>
      </w:pPr>
    </w:p>
    <w:p>
      <w:pPr>
        <w:ind w:left="1800" w:right="80" w:hanging="495"/>
        <w:spacing w:after="0" w:line="259"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without Executive’s express written consent, the Company effects: (i) a reduction in Executive’s Base Salary, bonus opportunity (if applicable) or the aggregate fringe benefits provided to Executive; or (ii) a substantial alteration of Executive’s authority and/or title or other substantial diminution in the nature or status of Executive’s responsibilities in a manner reasonably construed to constitute a demotion.</w:t>
      </w:r>
    </w:p>
    <w:p>
      <w:pPr>
        <w:spacing w:after="0" w:line="187"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Notwithstanding the foregoing, Executive will not be deemed to have resigned for Good Reason unless (1) Executive provides the Company with written notice setting forth in reasonable detail the facts and circumstances claimed by Executive to constitute Good Reason within 60 days after the date of the occurrence of any event that Executive knows or should reasonably have known constitutes Good Reason for voluntary termination, (2) the Company fails to cure such acts or omissions within 30 days of its actual receipt of such notice, and (3) the effective date of Executive’s termination for Good Reason occurs no later than 30 days after the expiration of the cure period.</w:t>
      </w:r>
    </w:p>
    <w:p>
      <w:pPr>
        <w:spacing w:after="0" w:line="200" w:lineRule="exact"/>
        <w:rPr>
          <w:sz w:val="20"/>
          <w:szCs w:val="20"/>
          <w:color w:val="auto"/>
        </w:rPr>
      </w:pPr>
    </w:p>
    <w:p>
      <w:pPr>
        <w:ind w:left="1300" w:right="700" w:hanging="644"/>
        <w:spacing w:after="0" w:line="271" w:lineRule="auto"/>
        <w:tabs>
          <w:tab w:leader="none" w:pos="1300" w:val="left"/>
        </w:tabs>
        <w:numPr>
          <w:ilvl w:val="1"/>
          <w:numId w:val="3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the termination of Executive’s employment with the Company in accordance with the retirement policies, including early retirement policies, generally applicable to the Company’s salaried employees.</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3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Section 2 hereof.</w:t>
      </w:r>
    </w:p>
    <w:p>
      <w:pPr>
        <w:spacing w:after="0" w:line="242" w:lineRule="exact"/>
        <w:rPr>
          <w:rFonts w:ascii="Arial" w:cs="Arial" w:eastAsia="Arial" w:hAnsi="Arial"/>
          <w:sz w:val="22"/>
          <w:szCs w:val="22"/>
          <w:color w:val="auto"/>
        </w:rPr>
      </w:pPr>
    </w:p>
    <w:p>
      <w:pPr>
        <w:ind w:left="1300" w:right="240" w:hanging="644"/>
        <w:spacing w:after="0" w:line="271" w:lineRule="auto"/>
        <w:tabs>
          <w:tab w:leader="none" w:pos="1300" w:val="left"/>
        </w:tabs>
        <w:numPr>
          <w:ilvl w:val="1"/>
          <w:numId w:val="3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date on which Executive’s employment with the Company terminates, as specified in the Termination Notice.</w:t>
      </w:r>
    </w:p>
    <w:p>
      <w:pPr>
        <w:spacing w:after="0" w:line="209" w:lineRule="exact"/>
        <w:rPr>
          <w:rFonts w:ascii="Arial" w:cs="Arial" w:eastAsia="Arial" w:hAnsi="Arial"/>
          <w:sz w:val="22"/>
          <w:szCs w:val="22"/>
          <w:color w:val="auto"/>
        </w:rPr>
      </w:pPr>
    </w:p>
    <w:p>
      <w:pPr>
        <w:ind w:left="1300" w:right="380" w:hanging="644"/>
        <w:spacing w:after="0" w:line="333" w:lineRule="auto"/>
        <w:tabs>
          <w:tab w:leader="none" w:pos="1300" w:val="left"/>
        </w:tabs>
        <w:numPr>
          <w:ilvl w:val="1"/>
          <w:numId w:val="39"/>
        </w:numPr>
        <w:rPr>
          <w:rFonts w:ascii="Arial" w:cs="Arial" w:eastAsia="Arial" w:hAnsi="Arial"/>
          <w:sz w:val="19"/>
          <w:szCs w:val="19"/>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Notice</w:t>
      </w:r>
      <w:r>
        <w:rPr>
          <w:rFonts w:ascii="Arial" w:cs="Arial" w:eastAsia="Arial" w:hAnsi="Arial"/>
          <w:sz w:val="16"/>
          <w:szCs w:val="16"/>
          <w:color w:val="auto"/>
        </w:rPr>
        <w:t>”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 (iv) is given in the manner specified in Section 16(i).</w:t>
      </w:r>
    </w:p>
    <w:p>
      <w:pPr>
        <w:spacing w:after="0" w:line="141" w:lineRule="exact"/>
        <w:rPr>
          <w:rFonts w:ascii="Arial" w:cs="Arial" w:eastAsia="Arial" w:hAnsi="Arial"/>
          <w:sz w:val="19"/>
          <w:szCs w:val="19"/>
          <w:color w:val="auto"/>
        </w:rPr>
      </w:pPr>
    </w:p>
    <w:p>
      <w:pPr>
        <w:jc w:val="both"/>
        <w:ind w:firstLine="8"/>
        <w:spacing w:after="0" w:line="261"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Term of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of this Agreement shall commence on the date hereof as first written above and shall terminate on December 31, 2013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provided, that, notwithstanding any decision of the Company not to extend this Agreement, this Agreement shall continue in effect for a period of 12 months beyond the date on which a Change in Control occurs if a Change in Control shall have occurred during the Term and while Executive is employed by the Company.</w:t>
      </w:r>
    </w:p>
    <w:p>
      <w:pPr>
        <w:spacing w:after="0" w:line="180"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Employment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5" w:right="239" w:bottom="1440" w:gutter="0" w:footer="0" w:header="0"/>
        </w:sectPr>
      </w:pPr>
    </w:p>
    <w:bookmarkStart w:id="54" w:name="page55"/>
    <w:bookmarkEnd w:id="54"/>
    <w:p>
      <w:pPr>
        <w:ind w:left="1300" w:right="460" w:hanging="644"/>
        <w:spacing w:after="0" w:line="271"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During the Term, the Company shall not terminate Executive from employment with the Company except as provided in this Section 3 or as a result of Executive’s Disability, Retirement or death.</w:t>
      </w:r>
    </w:p>
    <w:p>
      <w:pPr>
        <w:spacing w:after="0" w:line="209" w:lineRule="exact"/>
        <w:rPr>
          <w:rFonts w:ascii="Arial" w:cs="Arial" w:eastAsia="Arial" w:hAnsi="Arial"/>
          <w:sz w:val="22"/>
          <w:szCs w:val="22"/>
          <w:color w:val="auto"/>
        </w:rPr>
      </w:pPr>
    </w:p>
    <w:p>
      <w:pPr>
        <w:ind w:left="1300" w:right="100" w:hanging="644"/>
        <w:spacing w:after="0" w:line="280"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18"/>
          <w:szCs w:val="18"/>
          <w:u w:val="single" w:color="auto"/>
          <w:color w:val="auto"/>
        </w:rPr>
        <w:t>For Cause</w:t>
      </w:r>
      <w:r>
        <w:rPr>
          <w:rFonts w:ascii="Arial" w:cs="Arial" w:eastAsia="Arial" w:hAnsi="Arial"/>
          <w:sz w:val="18"/>
          <w:szCs w:val="18"/>
          <w:color w:val="auto"/>
        </w:rPr>
        <w:t>. During the Term, the Company shall have the right to terminate Executive from employment with the Company at any time during the Term for Cause, by written notice to Executive, specifying the particulars of the conduct of Executive forming the basis for such termination.</w:t>
      </w:r>
    </w:p>
    <w:p>
      <w:pPr>
        <w:spacing w:after="0" w:line="207" w:lineRule="exact"/>
        <w:rPr>
          <w:rFonts w:ascii="Arial" w:cs="Arial" w:eastAsia="Arial" w:hAnsi="Arial"/>
          <w:sz w:val="22"/>
          <w:szCs w:val="22"/>
          <w:color w:val="auto"/>
        </w:rPr>
      </w:pPr>
    </w:p>
    <w:p>
      <w:pPr>
        <w:ind w:left="1300" w:right="360" w:hanging="644"/>
        <w:spacing w:after="0" w:line="280"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18"/>
          <w:szCs w:val="18"/>
          <w:u w:val="single" w:color="auto"/>
          <w:color w:val="auto"/>
        </w:rPr>
        <w:t>Without Cause or for Good Reason</w:t>
      </w:r>
      <w:r>
        <w:rPr>
          <w:rFonts w:ascii="Arial" w:cs="Arial" w:eastAsia="Arial" w:hAnsi="Arial"/>
          <w:sz w:val="18"/>
          <w:szCs w:val="18"/>
          <w:color w:val="auto"/>
        </w:rPr>
        <w:t>. Subject to Section 4 below, during the Term: (x) the Company shall have the right to terminate Executive’s employment without Cause, at any time; and (y) Executive shall have the right to voluntarily terminate his employment for Good Reason.</w:t>
      </w:r>
    </w:p>
    <w:p>
      <w:pPr>
        <w:spacing w:after="0" w:line="176" w:lineRule="exact"/>
        <w:rPr>
          <w:rFonts w:ascii="Arial" w:cs="Arial" w:eastAsia="Arial" w:hAnsi="Arial"/>
          <w:sz w:val="22"/>
          <w:szCs w:val="22"/>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Payments Upon Termination of Employment</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color w:val="auto"/>
        </w:rPr>
      </w:pPr>
    </w:p>
    <w:p>
      <w:pPr>
        <w:ind w:left="1300" w:right="320" w:hanging="644"/>
        <w:spacing w:after="0" w:line="280" w:lineRule="auto"/>
        <w:tabs>
          <w:tab w:leader="none" w:pos="1300" w:val="left"/>
        </w:tabs>
        <w:numPr>
          <w:ilvl w:val="1"/>
          <w:numId w:val="42"/>
        </w:numPr>
        <w:rPr>
          <w:rFonts w:ascii="Arial" w:cs="Arial" w:eastAsia="Arial" w:hAnsi="Arial"/>
          <w:sz w:val="22"/>
          <w:szCs w:val="22"/>
          <w:color w:val="auto"/>
        </w:rPr>
      </w:pPr>
      <w:r>
        <w:rPr>
          <w:rFonts w:ascii="Arial" w:cs="Arial" w:eastAsia="Arial" w:hAnsi="Arial"/>
          <w:sz w:val="18"/>
          <w:szCs w:val="18"/>
          <w:color w:val="auto"/>
        </w:rPr>
        <w:t>As consideration for the restrictive covenants contained in Section 6, in the event that, during the Term, Executive terminates his employment for Good Reason, or Executive’s employment is terminated by the Company for a reason other than Retirement, Disability, death or Cause, then the Company shall:</w:t>
      </w:r>
    </w:p>
    <w:p>
      <w:pPr>
        <w:spacing w:after="0" w:line="207" w:lineRule="exact"/>
        <w:rPr>
          <w:rFonts w:ascii="Arial" w:cs="Arial" w:eastAsia="Arial" w:hAnsi="Arial"/>
          <w:sz w:val="22"/>
          <w:szCs w:val="22"/>
          <w:color w:val="auto"/>
        </w:rPr>
      </w:pPr>
    </w:p>
    <w:p>
      <w:pPr>
        <w:jc w:val="both"/>
        <w:ind w:left="1800" w:right="180" w:hanging="495"/>
        <w:spacing w:after="0" w:line="305" w:lineRule="auto"/>
        <w:tabs>
          <w:tab w:leader="none" w:pos="1800" w:val="left"/>
        </w:tabs>
        <w:numPr>
          <w:ilvl w:val="2"/>
          <w:numId w:val="42"/>
        </w:numPr>
        <w:rPr>
          <w:rFonts w:ascii="Arial" w:cs="Arial" w:eastAsia="Arial" w:hAnsi="Arial"/>
          <w:sz w:val="21"/>
          <w:szCs w:val="21"/>
          <w:color w:val="auto"/>
        </w:rPr>
      </w:pPr>
      <w:r>
        <w:rPr>
          <w:rFonts w:ascii="Arial" w:cs="Arial" w:eastAsia="Arial" w:hAnsi="Arial"/>
          <w:sz w:val="17"/>
          <w:szCs w:val="17"/>
          <w:color w:val="auto"/>
        </w:rPr>
        <w:t>pay Executive a lump-sum severance amount equal to the sum of (x) Executive’s annual Base Salary (determined without regard to any reduction that would give rise to Good Reason) as of his last day of active employment, plus (y) Executive’s target annual cash bonus for the fiscal year of the Company in which the Termination Date occurs; the severance amount shall be paid in a single sum on the first business day of the month following the Termination Date; and</w:t>
      </w:r>
    </w:p>
    <w:p>
      <w:pPr>
        <w:spacing w:after="0" w:line="190" w:lineRule="exact"/>
        <w:rPr>
          <w:rFonts w:ascii="Arial" w:cs="Arial" w:eastAsia="Arial" w:hAnsi="Arial"/>
          <w:sz w:val="21"/>
          <w:szCs w:val="21"/>
          <w:color w:val="auto"/>
        </w:rPr>
      </w:pPr>
    </w:p>
    <w:p>
      <w:pPr>
        <w:ind w:left="1800" w:hanging="495"/>
        <w:spacing w:after="0" w:line="334" w:lineRule="auto"/>
        <w:tabs>
          <w:tab w:leader="none" w:pos="1800" w:val="left"/>
        </w:tabs>
        <w:numPr>
          <w:ilvl w:val="2"/>
          <w:numId w:val="42"/>
        </w:numPr>
        <w:rPr>
          <w:rFonts w:ascii="Arial" w:cs="Arial" w:eastAsia="Arial" w:hAnsi="Arial"/>
          <w:sz w:val="19"/>
          <w:szCs w:val="19"/>
          <w:color w:val="auto"/>
        </w:rPr>
      </w:pPr>
      <w:r>
        <w:rPr>
          <w:rFonts w:ascii="Arial" w:cs="Arial" w:eastAsia="Arial" w:hAnsi="Arial"/>
          <w:sz w:val="16"/>
          <w:szCs w:val="16"/>
          <w:color w:val="auto"/>
        </w:rPr>
        <w:t>maintain and provide to Executive, for a period commencing on the Termination Date and ending on the earlier of (A) the end of the twelfth month after the Termination Date, or (B) Executive’s death, continued health coverage in the plan in which Executive was participating immediately prior to the Termination Date; provided that the continuation of such coverage is not prohibited by the terms of the plan or by the Company for legal reasons; and provided further, that in order to receive such continued coverage, Executive shall be required to pay to the Company at the same time that premium payments are due for the month an amount equal to the full monthly premium payments required to pay for such coverage and the Company shall reimburse to Executive the amount of such monthly premium, less the amount that Executive was required to pay for such coverage immediately prior to the Termination Date (the “</w:t>
      </w:r>
      <w:r>
        <w:rPr>
          <w:rFonts w:ascii="Arial" w:cs="Arial" w:eastAsia="Arial" w:hAnsi="Arial"/>
          <w:sz w:val="16"/>
          <w:szCs w:val="16"/>
          <w:u w:val="single" w:color="auto"/>
          <w:color w:val="auto"/>
        </w:rPr>
        <w:t>Health Payment</w:t>
      </w:r>
      <w:r>
        <w:rPr>
          <w:rFonts w:ascii="Arial" w:cs="Arial" w:eastAsia="Arial" w:hAnsi="Arial"/>
          <w:sz w:val="16"/>
          <w:szCs w:val="16"/>
          <w:color w:val="auto"/>
        </w:rPr>
        <w:t>”), no later than the next payroll date of the Company that occurs after the date the premium for the month is paid by Executive</w:t>
      </w:r>
      <w:r>
        <w:rPr>
          <w:rFonts w:ascii="Arial" w:cs="Arial" w:eastAsia="Arial" w:hAnsi="Arial"/>
          <w:sz w:val="16"/>
          <w:szCs w:val="16"/>
          <w:b w:val="1"/>
          <w:bCs w:val="1"/>
          <w:color w:val="auto"/>
        </w:rPr>
        <w:t>.</w:t>
      </w:r>
      <w:r>
        <w:rPr>
          <w:rFonts w:ascii="Arial" w:cs="Arial" w:eastAsia="Arial" w:hAnsi="Arial"/>
          <w:sz w:val="16"/>
          <w:szCs w:val="16"/>
          <w:color w:val="auto"/>
        </w:rPr>
        <w:t xml:space="preserve"> To the extent not otherwise exempt from Section 409A of the Code, the Health Payment shall be reimbursed to Executive in a manner that complies with the requirements of Treas. Reg. §1.409A-3(i)(1)(iv); and</w:t>
      </w:r>
    </w:p>
    <w:p>
      <w:pPr>
        <w:spacing w:after="0" w:line="173" w:lineRule="exact"/>
        <w:rPr>
          <w:rFonts w:ascii="Arial" w:cs="Arial" w:eastAsia="Arial" w:hAnsi="Arial"/>
          <w:sz w:val="19"/>
          <w:szCs w:val="19"/>
          <w:color w:val="auto"/>
        </w:rPr>
      </w:pPr>
    </w:p>
    <w:p>
      <w:pPr>
        <w:ind w:left="1800" w:right="60" w:hanging="495"/>
        <w:spacing w:after="0" w:line="285" w:lineRule="auto"/>
        <w:tabs>
          <w:tab w:leader="none" w:pos="1800" w:val="left"/>
        </w:tabs>
        <w:numPr>
          <w:ilvl w:val="2"/>
          <w:numId w:val="42"/>
        </w:numPr>
        <w:rPr>
          <w:rFonts w:ascii="Arial" w:cs="Arial" w:eastAsia="Arial" w:hAnsi="Arial"/>
          <w:sz w:val="22"/>
          <w:szCs w:val="22"/>
          <w:color w:val="auto"/>
        </w:rPr>
      </w:pPr>
      <w:r>
        <w:rPr>
          <w:rFonts w:ascii="Arial" w:cs="Arial" w:eastAsia="Arial" w:hAnsi="Arial"/>
          <w:sz w:val="18"/>
          <w:szCs w:val="18"/>
          <w:color w:val="auto"/>
        </w:rPr>
        <w:t>pay to Executive a lump sum cash payment within thirty (30) days following Executive’s Termination Date equal to the premium cost of continuing the life and disability insurance in effect on Executive’s Termination Date for the period ending on the end of the twelfth month after the Termination Date; provided that the continuation of such benefits is not prohibited by the terms of the plan or by the Company for legal reasons.</w:t>
      </w:r>
    </w:p>
    <w:p>
      <w:pPr>
        <w:spacing w:after="0" w:line="204" w:lineRule="exact"/>
        <w:rPr>
          <w:rFonts w:ascii="Arial" w:cs="Arial" w:eastAsia="Arial" w:hAnsi="Arial"/>
          <w:sz w:val="22"/>
          <w:szCs w:val="22"/>
          <w:color w:val="auto"/>
        </w:rPr>
      </w:pPr>
    </w:p>
    <w:p>
      <w:pPr>
        <w:ind w:left="1800" w:right="280" w:hanging="495"/>
        <w:spacing w:after="0" w:line="280" w:lineRule="auto"/>
        <w:tabs>
          <w:tab w:leader="none" w:pos="1800" w:val="left"/>
        </w:tabs>
        <w:numPr>
          <w:ilvl w:val="2"/>
          <w:numId w:val="42"/>
        </w:numPr>
        <w:rPr>
          <w:rFonts w:ascii="Arial" w:cs="Arial" w:eastAsia="Arial" w:hAnsi="Arial"/>
          <w:sz w:val="22"/>
          <w:szCs w:val="22"/>
          <w:color w:val="auto"/>
        </w:rPr>
      </w:pPr>
      <w:r>
        <w:rPr>
          <w:rFonts w:ascii="Arial" w:cs="Arial" w:eastAsia="Arial" w:hAnsi="Arial"/>
          <w:sz w:val="18"/>
          <w:szCs w:val="18"/>
          <w:color w:val="auto"/>
        </w:rPr>
        <w:t>If any payment or benefit to Executive under this Agreement would be considered a “parachute payment” within the meaning of Section 280G(b)(2) of the Code and, if, after reduction for any applicable federal excise tax imposed by Section 4999 of the Code (the</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95" w:right="239" w:bottom="1440" w:gutter="0" w:footer="0" w:header="0"/>
        </w:sectPr>
      </w:pPr>
    </w:p>
    <w:bookmarkStart w:id="55" w:name="page56"/>
    <w:bookmarkEnd w:id="55"/>
    <w:p>
      <w:pPr>
        <w:ind w:left="1144" w:right="40"/>
        <w:spacing w:after="0" w:line="31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Excise Tax</w:t>
      </w:r>
      <w:r>
        <w:rPr>
          <w:rFonts w:ascii="Arial" w:cs="Arial" w:eastAsia="Arial" w:hAnsi="Arial"/>
          <w:sz w:val="17"/>
          <w:szCs w:val="17"/>
          <w:color w:val="auto"/>
        </w:rPr>
        <w:t>”) and federal income tax imposed by the Code, Executive’s net proceeds of the amounts payable and the benefits provided under this Agreement would be less than the amount of Executive’s net proceeds resulting from the payment of the Reduced Amount described below, after reduction for federal income taxes, then the amount payable and the benefits provided under this Agreement shall be limited to the Reduced Amount. The “</w:t>
      </w:r>
      <w:r>
        <w:rPr>
          <w:rFonts w:ascii="Arial" w:cs="Arial" w:eastAsia="Arial" w:hAnsi="Arial"/>
          <w:sz w:val="17"/>
          <w:szCs w:val="17"/>
          <w:u w:val="single" w:color="auto"/>
          <w:color w:val="auto"/>
        </w:rPr>
        <w:t>Reduced Amount</w:t>
      </w:r>
      <w:r>
        <w:rPr>
          <w:rFonts w:ascii="Arial" w:cs="Arial" w:eastAsia="Arial" w:hAnsi="Arial"/>
          <w:sz w:val="17"/>
          <w:szCs w:val="17"/>
          <w:color w:val="auto"/>
        </w:rPr>
        <w:t>” shall be the largest amount that could be received by Executive under this Agreement such that no amount paid to Executive under this Agreement and any other agreement, contract or understanding heretofore or hereafter entered into between Executive and the Company (the “</w:t>
      </w:r>
      <w:r>
        <w:rPr>
          <w:rFonts w:ascii="Arial" w:cs="Arial" w:eastAsia="Arial" w:hAnsi="Arial"/>
          <w:sz w:val="17"/>
          <w:szCs w:val="17"/>
          <w:u w:val="single" w:color="auto"/>
          <w:color w:val="auto"/>
        </w:rPr>
        <w:t>Other Agreements</w:t>
      </w:r>
      <w:r>
        <w:rPr>
          <w:rFonts w:ascii="Arial" w:cs="Arial" w:eastAsia="Arial" w:hAnsi="Arial"/>
          <w:sz w:val="17"/>
          <w:szCs w:val="17"/>
          <w:color w:val="auto"/>
        </w:rPr>
        <w:t>”) and any formal or informal plan or other arrangement heretofore or hereafter adopted by the Company for the direct or indirect provision of compensation to Executive (including groups or classes of participants or beneficiaries of which Executive is a member), whether or not such compensation is deferred, is in cash, or is in the form of a benefit to or for Executive (a “</w:t>
      </w:r>
      <w:r>
        <w:rPr>
          <w:rFonts w:ascii="Arial" w:cs="Arial" w:eastAsia="Arial" w:hAnsi="Arial"/>
          <w:sz w:val="17"/>
          <w:szCs w:val="17"/>
          <w:u w:val="single" w:color="auto"/>
          <w:color w:val="auto"/>
        </w:rPr>
        <w:t>Benefit Plan</w:t>
      </w:r>
      <w:r>
        <w:rPr>
          <w:rFonts w:ascii="Arial" w:cs="Arial" w:eastAsia="Arial" w:hAnsi="Arial"/>
          <w:sz w:val="17"/>
          <w:szCs w:val="17"/>
          <w:color w:val="auto"/>
        </w:rPr>
        <w:t>”) would be subject to the Excise Tax. In the event that the amount payable to Executive shall be limited to the Reduced Amount, then, first non-cash benefits that are not equity-based shall be reduced, then equity award vesting acceleration and next new equity award grants shall be reduced, followed by a reduction of cash payments, including without limitation the severance amounts set forth in Section 4, beginning with payments that would be made last in time, in all cases, (A) if and to the extent not already provided, accelerated, granted or paid, as applicable, prior to the date of such reduction, (B) only to the least extent necessary so that no portion thereof shall be subject to the Excise Tax, (C) in a manner that results in the best economic benefit to Executive, and (D) to the extent economically equivalent, in a pro rata manner.</w:t>
      </w:r>
    </w:p>
    <w:p>
      <w:pPr>
        <w:spacing w:after="0" w:line="191" w:lineRule="exact"/>
        <w:rPr>
          <w:sz w:val="20"/>
          <w:szCs w:val="20"/>
          <w:color w:val="auto"/>
        </w:rPr>
      </w:pPr>
    </w:p>
    <w:p>
      <w:pPr>
        <w:ind w:left="1144" w:right="120" w:hanging="495"/>
        <w:spacing w:after="0" w:line="334" w:lineRule="auto"/>
        <w:tabs>
          <w:tab w:leader="none" w:pos="1144" w:val="left"/>
        </w:tabs>
        <w:numPr>
          <w:ilvl w:val="1"/>
          <w:numId w:val="43"/>
        </w:numPr>
        <w:rPr>
          <w:rFonts w:ascii="Arial" w:cs="Arial" w:eastAsia="Arial" w:hAnsi="Arial"/>
          <w:sz w:val="19"/>
          <w:szCs w:val="19"/>
          <w:color w:val="auto"/>
        </w:rPr>
      </w:pPr>
      <w:r>
        <w:rPr>
          <w:rFonts w:ascii="Arial" w:cs="Arial" w:eastAsia="Arial" w:hAnsi="Arial"/>
          <w:sz w:val="16"/>
          <w:szCs w:val="16"/>
          <w:color w:val="auto"/>
        </w:rPr>
        <w:t>Notwithstanding any provision to the contrary herein, if at the time of Executive’s termination of employment the Company’s stock is publicly traded and Executive is a “specified employee” (as such term is defined in Section 409A(2)(B)(i) of the Code and its corresponding regulations), then, to the extent that paying such amounts at the time or times indicated in this Agreement would be a prohibited distribution under Section 409A(a)(2)(B)(i) of the Code, all payments to Executive pursuant to this Section 4(a) that are deemed as deferred compensation subject to the requirements of Section 409A of the Code shall not be paid to Executive until as soon as administratively practicable following the expiration of the six month period following the date of Executive’s Termination Date, but not later than the first Company payroll date that occurs after the end of such six month period. If Executive dies during such six-month period and prior to the payment of the postponed amounts hereunder, the amounts withheld on account of Section 409A of the Code shall be paid to the personal representative of Executive’s estate within thirty (30) days after the date of Executive’s death. If any of the payments payable pursuant to this Section 4(a) are deferred due to such requirements, there shall be added to such payments interest during the deferral period at a rate, per annum, equal to the applicable federal short-term deferral rate (compounded monthly) in effect under Section 1274(d) of the Code on Executive’s Termination Date.</w:t>
      </w:r>
    </w:p>
    <w:p>
      <w:pPr>
        <w:spacing w:after="0" w:line="174" w:lineRule="exact"/>
        <w:rPr>
          <w:rFonts w:ascii="Arial" w:cs="Arial" w:eastAsia="Arial" w:hAnsi="Arial"/>
          <w:sz w:val="19"/>
          <w:szCs w:val="19"/>
          <w:color w:val="auto"/>
        </w:rPr>
      </w:pPr>
    </w:p>
    <w:p>
      <w:pPr>
        <w:ind w:left="644" w:hanging="644"/>
        <w:spacing w:after="0" w:line="285" w:lineRule="auto"/>
        <w:tabs>
          <w:tab w:leader="none" w:pos="644" w:val="left"/>
        </w:tabs>
        <w:numPr>
          <w:ilvl w:val="0"/>
          <w:numId w:val="44"/>
        </w:numPr>
        <w:rPr>
          <w:rFonts w:ascii="Arial" w:cs="Arial" w:eastAsia="Arial" w:hAnsi="Arial"/>
          <w:sz w:val="22"/>
          <w:szCs w:val="22"/>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In the event that Executive’s employment terminates other than as set forth in Section 4(a), Executive’s rights upon termination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204" w:lineRule="exact"/>
        <w:rPr>
          <w:rFonts w:ascii="Arial" w:cs="Arial" w:eastAsia="Arial" w:hAnsi="Arial"/>
          <w:sz w:val="22"/>
          <w:szCs w:val="22"/>
          <w:color w:val="auto"/>
        </w:rPr>
      </w:pPr>
    </w:p>
    <w:p>
      <w:pPr>
        <w:ind w:left="644" w:right="800" w:hanging="644"/>
        <w:spacing w:after="0" w:line="271" w:lineRule="auto"/>
        <w:tabs>
          <w:tab w:leader="none" w:pos="644" w:val="left"/>
        </w:tabs>
        <w:numPr>
          <w:ilvl w:val="0"/>
          <w:numId w:val="44"/>
        </w:numPr>
        <w:rPr>
          <w:rFonts w:ascii="Arial" w:cs="Arial" w:eastAsia="Arial" w:hAnsi="Arial"/>
          <w:sz w:val="22"/>
          <w:szCs w:val="22"/>
          <w:color w:val="auto"/>
        </w:rPr>
      </w:pPr>
      <w:r>
        <w:rPr>
          <w:rFonts w:ascii="Arial" w:cs="Arial" w:eastAsia="Arial" w:hAnsi="Arial"/>
          <w:sz w:val="18"/>
          <w:szCs w:val="18"/>
          <w:u w:val="single" w:color="auto"/>
          <w:color w:val="auto"/>
        </w:rPr>
        <w:t>Termination Notice</w:t>
      </w:r>
      <w:r>
        <w:rPr>
          <w:rFonts w:ascii="Arial" w:cs="Arial" w:eastAsia="Arial" w:hAnsi="Arial"/>
          <w:sz w:val="18"/>
          <w:szCs w:val="18"/>
          <w:color w:val="auto"/>
        </w:rPr>
        <w:t>. Except in the event of Executive’s death, a termination under this Agreement shall be effected by means of a Termination Notice.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395" w:right="239" w:bottom="1440" w:gutter="0" w:footer="0" w:header="0"/>
        </w:sectPr>
      </w:pPr>
    </w:p>
    <w:bookmarkStart w:id="56" w:name="page57"/>
    <w:bookmarkEnd w:id="56"/>
    <w:p>
      <w:pPr>
        <w:ind w:right="100" w:firstLine="8"/>
        <w:spacing w:after="0" w:line="257" w:lineRule="auto"/>
        <w:tabs>
          <w:tab w:leader="none" w:pos="31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With respect to each award of restricted shares of common stock of the Company granted to Executive during the Term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Restricted Stock Award</w:t>
      </w:r>
      <w:r>
        <w:rPr>
          <w:rFonts w:ascii="Arial" w:cs="Arial" w:eastAsia="Arial" w:hAnsi="Arial"/>
          <w:sz w:val="18"/>
          <w:szCs w:val="18"/>
          <w:color w:val="auto"/>
        </w:rPr>
        <w:t>”), upon a Change in Control, or in the event that Executive’s employment is terminated by the Company without Cause, by Executive for Good Reason, or as a result of Executive’s death or Disability, such Restricted Stock Award, to the extent then outstanding, shall vest in full with respect to all of the shares subject thereto. The terms and conditions of each Restricted Stock Award will be set forth in a restricted stock agreement in a form prescribed by the Company which shall be consistent with the foregoing.</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Covenants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45"/>
        </w:numPr>
        <w:rPr>
          <w:rFonts w:ascii="Arial" w:cs="Arial" w:eastAsia="Arial" w:hAnsi="Arial"/>
          <w:sz w:val="19"/>
          <w:szCs w:val="19"/>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xml:space="preserve">. To the extent enforceable under the laws of the State of New Jersey, during the Term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w:t>
      </w:r>
      <w:r>
        <w:rPr>
          <w:rFonts w:ascii="Arial" w:cs="Arial" w:eastAsia="Arial" w:hAnsi="Arial"/>
          <w:sz w:val="16"/>
          <w:szCs w:val="16"/>
          <w:u w:val="single" w:color="auto"/>
          <w:color w:val="auto"/>
        </w:rPr>
        <w:t>“Tissue Engineering Business</w:t>
      </w:r>
      <w:r>
        <w:rPr>
          <w:rFonts w:ascii="Arial" w:cs="Arial" w:eastAsia="Arial" w:hAnsi="Arial"/>
          <w:sz w:val="16"/>
          <w:szCs w:val="16"/>
          <w:color w:val="auto"/>
        </w:rPr>
        <w:t>”), neurosurgery business (the use of surgical instruments, implants, monitoring products or disposable products to treat the brain or central nervous system) (“</w:t>
      </w:r>
      <w:r>
        <w:rPr>
          <w:rFonts w:ascii="Arial" w:cs="Arial" w:eastAsia="Arial" w:hAnsi="Arial"/>
          <w:sz w:val="16"/>
          <w:szCs w:val="16"/>
          <w:u w:val="single" w:color="auto"/>
          <w:color w:val="auto"/>
        </w:rPr>
        <w:t>Neurosurgery Business</w:t>
      </w:r>
      <w:r>
        <w:rPr>
          <w:rFonts w:ascii="Arial" w:cs="Arial" w:eastAsia="Arial" w:hAnsi="Arial"/>
          <w:sz w:val="16"/>
          <w:szCs w:val="16"/>
          <w:color w:val="auto"/>
        </w:rPr>
        <w:t>”), instrument business (general surgical handheld instruments used for general purposes in surgical procedures) (“</w:t>
      </w:r>
      <w:r>
        <w:rPr>
          <w:rFonts w:ascii="Arial" w:cs="Arial" w:eastAsia="Arial" w:hAnsi="Arial"/>
          <w:sz w:val="16"/>
          <w:szCs w:val="16"/>
          <w:u w:val="single" w:color="auto"/>
          <w:color w:val="auto"/>
        </w:rPr>
        <w:t>Instrument Business</w:t>
      </w:r>
      <w:r>
        <w:rPr>
          <w:rFonts w:ascii="Arial" w:cs="Arial" w:eastAsia="Arial" w:hAnsi="Arial"/>
          <w:sz w:val="16"/>
          <w:szCs w:val="16"/>
          <w:color w:val="auto"/>
        </w:rPr>
        <w:t>”), reconstruction business (bone fixation devices for foot and ankle reconstruction procedures) (“</w:t>
      </w:r>
      <w:r>
        <w:rPr>
          <w:rFonts w:ascii="Arial" w:cs="Arial" w:eastAsia="Arial" w:hAnsi="Arial"/>
          <w:sz w:val="16"/>
          <w:szCs w:val="16"/>
          <w:u w:val="single" w:color="auto"/>
          <w:color w:val="auto"/>
        </w:rPr>
        <w:t>Reconstruction Business</w:t>
      </w:r>
      <w:r>
        <w:rPr>
          <w:rFonts w:ascii="Arial" w:cs="Arial" w:eastAsia="Arial" w:hAnsi="Arial"/>
          <w:sz w:val="16"/>
          <w:szCs w:val="16"/>
          <w:color w:val="auto"/>
        </w:rPr>
        <w:t>”)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w:t>
      </w:r>
      <w:r>
        <w:rPr>
          <w:rFonts w:ascii="Arial" w:cs="Arial" w:eastAsia="Arial" w:hAnsi="Arial"/>
          <w:sz w:val="16"/>
          <w:szCs w:val="16"/>
          <w:u w:val="single" w:color="auto"/>
          <w:color w:val="auto"/>
        </w:rPr>
        <w:t>Business</w:t>
      </w:r>
      <w:r>
        <w:rPr>
          <w:rFonts w:ascii="Arial" w:cs="Arial" w:eastAsia="Arial" w:hAnsi="Arial"/>
          <w:sz w:val="16"/>
          <w:szCs w:val="16"/>
          <w:color w:val="auto"/>
        </w:rPr>
        <w:t>”); (II) be or become a stockholder, partner, owner, officer, director or employee or agent of, or a consultant to or give financial or other assistance to, any person or entity engaged in the Business; (III) seek in competition with the Business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his affiliates from owning, as passive investors, in the aggregate not more than 5% of the outstanding publicly traded stock of any corporation so engaged and provided, further, however, that nothing set forth in this Section 6(a) shall prohibit Executive from becoming an employee or agent of, or consultant to, any entity that is engaged in the Business so long as Executive does not engage in any activities in the Business in any capacity for said entity.</w:t>
      </w:r>
    </w:p>
    <w:p>
      <w:pPr>
        <w:spacing w:after="0" w:line="180" w:lineRule="exact"/>
        <w:rPr>
          <w:rFonts w:ascii="Arial" w:cs="Arial" w:eastAsia="Arial" w:hAnsi="Arial"/>
          <w:sz w:val="19"/>
          <w:szCs w:val="19"/>
          <w:color w:val="auto"/>
        </w:rPr>
      </w:pPr>
    </w:p>
    <w:p>
      <w:pPr>
        <w:ind w:left="1300" w:right="20" w:hanging="644"/>
        <w:spacing w:after="0" w:line="334" w:lineRule="auto"/>
        <w:tabs>
          <w:tab w:leader="none" w:pos="1300" w:val="left"/>
        </w:tabs>
        <w:numPr>
          <w:ilvl w:val="1"/>
          <w:numId w:val="45"/>
        </w:numPr>
        <w:rPr>
          <w:rFonts w:ascii="Arial" w:cs="Arial" w:eastAsia="Arial" w:hAnsi="Arial"/>
          <w:sz w:val="19"/>
          <w:szCs w:val="19"/>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Executive acknowledges a duty of confidentiality owed to the Company and shall not, at any time during or after his employment by the Company, retain in writing, use, divulge, furnish, or make accessible to anyone, without the express authorization of the Board, any trade secret, private or confidential information or knowledge of the Company obtained or acquired by him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 proceeding against the Company and, upon termination of employment for any reason, Executive shall deliver to the Company all copies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8" w:right="239" w:bottom="1440" w:gutter="0" w:footer="0" w:header="0"/>
        </w:sectPr>
      </w:pPr>
    </w:p>
    <w:bookmarkStart w:id="57" w:name="page58"/>
    <w:bookmarkEnd w:id="57"/>
    <w:p>
      <w:pPr>
        <w:ind w:left="1300" w:right="120"/>
        <w:spacing w:after="0" w:line="324" w:lineRule="auto"/>
        <w:rPr>
          <w:sz w:val="20"/>
          <w:szCs w:val="20"/>
          <w:color w:val="auto"/>
        </w:rPr>
      </w:pPr>
      <w:r>
        <w:rPr>
          <w:rFonts w:ascii="Arial" w:cs="Arial" w:eastAsia="Arial" w:hAnsi="Arial"/>
          <w:sz w:val="18"/>
          <w:szCs w:val="18"/>
          <w:color w:val="auto"/>
        </w:rPr>
        <w:t>thereof which are then in his possession or under his control. No information shall be treated as “confidential information” if it is generally available public knowledge at the time of disclosure or use by Executive.</w:t>
      </w:r>
    </w:p>
    <w:p>
      <w:pPr>
        <w:spacing w:after="0" w:line="170" w:lineRule="exact"/>
        <w:rPr>
          <w:sz w:val="20"/>
          <w:szCs w:val="20"/>
          <w:color w:val="auto"/>
        </w:rPr>
      </w:pPr>
    </w:p>
    <w:p>
      <w:pPr>
        <w:ind w:left="1300" w:right="20" w:hanging="644"/>
        <w:spacing w:after="0" w:line="334" w:lineRule="auto"/>
        <w:tabs>
          <w:tab w:leader="none" w:pos="1300" w:val="left"/>
        </w:tabs>
        <w:numPr>
          <w:ilvl w:val="1"/>
          <w:numId w:val="46"/>
        </w:numPr>
        <w:rPr>
          <w:rFonts w:ascii="Arial" w:cs="Arial" w:eastAsia="Arial" w:hAnsi="Arial"/>
          <w:sz w:val="19"/>
          <w:szCs w:val="19"/>
          <w:color w:val="auto"/>
        </w:rPr>
      </w:pPr>
      <w:r>
        <w:rPr>
          <w:rFonts w:ascii="Arial" w:cs="Arial" w:eastAsia="Arial" w:hAnsi="Arial"/>
          <w:sz w:val="16"/>
          <w:szCs w:val="16"/>
          <w:u w:val="single" w:color="auto"/>
          <w:color w:val="auto"/>
        </w:rPr>
        <w:t>Inventions and Improvements</w:t>
      </w:r>
      <w:r>
        <w:rPr>
          <w:rFonts w:ascii="Arial" w:cs="Arial" w:eastAsia="Arial" w:hAnsi="Arial"/>
          <w:sz w:val="16"/>
          <w:szCs w:val="16"/>
          <w:color w:val="auto"/>
        </w:rPr>
        <w:t>. Executive shall promptly communicate to the Company all ideas, discoveries and inventions which are or may be useful to the Company or its business. Executive acknowledges that all such ideas, discoveries, inventions, and improvements which heretofore have been or are hereafter made, conceived, or reduced to practice by him 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 and benefit, without additional compensation. The provisions of this Section 6(c)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174" w:lineRule="exact"/>
        <w:rPr>
          <w:rFonts w:ascii="Arial" w:cs="Arial" w:eastAsia="Arial" w:hAnsi="Arial"/>
          <w:sz w:val="19"/>
          <w:szCs w:val="19"/>
          <w:color w:val="auto"/>
        </w:rPr>
      </w:pPr>
    </w:p>
    <w:p>
      <w:pPr>
        <w:ind w:left="1300" w:right="20" w:hanging="644"/>
        <w:spacing w:after="0" w:line="288"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18"/>
          <w:szCs w:val="18"/>
          <w:u w:val="single" w:color="auto"/>
          <w:color w:val="auto"/>
        </w:rPr>
        <w:t>Breach of Covenant</w:t>
      </w:r>
      <w:r>
        <w:rPr>
          <w:rFonts w:ascii="Arial" w:cs="Arial" w:eastAsia="Arial" w:hAnsi="Arial"/>
          <w:sz w:val="18"/>
          <w:szCs w:val="18"/>
          <w:color w:val="auto"/>
        </w:rPr>
        <w:t>. Executive expressly acknowledges that damages alone will be an inadequate remedy for any breach or violation of any of the provisions of this Section 6 and that the Company, in addition to all other remedies, shall be entitled as a matter of right to equitable relief, including injunctions and specific performance, in any court of competent jurisdiction. If any of the provisions of this Section 6 are held to be in any respect unenforceable, then they shall be deemed to extend only over the maximum period of time, geographic area, or range of activities as to which they may be enforceable.</w:t>
      </w:r>
    </w:p>
    <w:p>
      <w:pPr>
        <w:spacing w:after="0" w:line="201" w:lineRule="exact"/>
        <w:rPr>
          <w:rFonts w:ascii="Arial" w:cs="Arial" w:eastAsia="Arial" w:hAnsi="Arial"/>
          <w:sz w:val="22"/>
          <w:szCs w:val="22"/>
          <w:color w:val="auto"/>
        </w:rPr>
      </w:pPr>
    </w:p>
    <w:p>
      <w:pPr>
        <w:ind w:left="1300" w:right="280" w:hanging="644"/>
        <w:spacing w:after="0" w:line="280"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18"/>
          <w:szCs w:val="18"/>
          <w:u w:val="single" w:color="auto"/>
          <w:color w:val="auto"/>
        </w:rPr>
        <w:t>Survivability</w:t>
      </w:r>
      <w:r>
        <w:rPr>
          <w:rFonts w:ascii="Arial" w:cs="Arial" w:eastAsia="Arial" w:hAnsi="Arial"/>
          <w:sz w:val="18"/>
          <w:szCs w:val="18"/>
          <w:color w:val="auto"/>
        </w:rPr>
        <w:t>. Executive’s obligations under this Section 6 shall survive termination of this Agreement and/or termination of Executive’s employment regardless of the manner of termination and shall be binding upon Executive’s heirs, executors, administrators and legal representatives.</w:t>
      </w:r>
    </w:p>
    <w:p>
      <w:pPr>
        <w:spacing w:after="0" w:line="176" w:lineRule="exact"/>
        <w:rPr>
          <w:rFonts w:ascii="Arial" w:cs="Arial" w:eastAsia="Arial" w:hAnsi="Arial"/>
          <w:sz w:val="22"/>
          <w:szCs w:val="22"/>
          <w:color w:val="auto"/>
        </w:rPr>
      </w:pPr>
    </w:p>
    <w:p>
      <w:pPr>
        <w:jc w:val="both"/>
        <w:ind w:right="480" w:firstLine="8"/>
        <w:spacing w:after="0" w:line="266"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Condition to Payment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receipt of the compensation benefits set forth herein are expressly conditioned upon Executive’s execution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release satisfactory to the Company within twenty-one (21) days (or to the extent required by applicable law, forty-five (45) days) following the Termination Date and Executive’s non-revocation of such release within seven (7) days thereafter.</w:t>
      </w:r>
    </w:p>
    <w:p>
      <w:pPr>
        <w:spacing w:after="0" w:line="176" w:lineRule="exact"/>
        <w:rPr>
          <w:rFonts w:ascii="Arial" w:cs="Arial" w:eastAsia="Arial" w:hAnsi="Arial"/>
          <w:sz w:val="18"/>
          <w:szCs w:val="18"/>
          <w:color w:val="auto"/>
        </w:rPr>
      </w:pPr>
    </w:p>
    <w:p>
      <w:pPr>
        <w:jc w:val="both"/>
        <w:ind w:right="160" w:firstLine="8"/>
        <w:spacing w:after="0" w:line="266"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 Duty to Mitigate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shall not be required to mitigate the amount of any payment or benefit provided for in this Agreement by seeking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or otherwise, nor shall the amount of any payment or benefit provided for herein be reduced by any compensation earned by other employment or otherwise.</w:t>
      </w:r>
    </w:p>
    <w:p>
      <w:pPr>
        <w:spacing w:after="0" w:line="176" w:lineRule="exact"/>
        <w:rPr>
          <w:rFonts w:ascii="Arial" w:cs="Arial" w:eastAsia="Arial" w:hAnsi="Arial"/>
          <w:sz w:val="18"/>
          <w:szCs w:val="18"/>
          <w:color w:val="auto"/>
        </w:rPr>
      </w:pPr>
    </w:p>
    <w:p>
      <w:pPr>
        <w:ind w:right="80" w:firstLine="8"/>
        <w:spacing w:after="0" w:line="266"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 Set-off</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obligation to make the payments provided for in this Agreement and otherwise to perform its obligations hereunder shall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affected by any circumstances, including, without limitation, any set-off, counterclaim, recoupment, defense or other right which the Company may have against Executive or otherwise arising.</w:t>
      </w:r>
    </w:p>
    <w:p>
      <w:pPr>
        <w:spacing w:after="0" w:line="176" w:lineRule="exact"/>
        <w:rPr>
          <w:rFonts w:ascii="Arial" w:cs="Arial" w:eastAsia="Arial" w:hAnsi="Arial"/>
          <w:sz w:val="18"/>
          <w:szCs w:val="18"/>
          <w:color w:val="auto"/>
        </w:rPr>
      </w:pPr>
    </w:p>
    <w:p>
      <w:pPr>
        <w:ind w:right="40" w:firstLine="8"/>
        <w:spacing w:after="0" w:line="261"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Obligations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understands that this Agreement does not create an obligation on the Company or any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or entity to continue his employment or to exploit any Inventions. Executive understands and acknowledges that his employment with the Company is for an unspecified duration and constitutes “at-will” employment and that this employment relationship may be terminated at any time, with or without cause, either at Executive’s or the Company’s option, with or without notice.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95" w:right="239" w:bottom="1440" w:gutter="0" w:footer="0" w:header="0"/>
        </w:sectPr>
      </w:pPr>
    </w:p>
    <w:bookmarkStart w:id="58" w:name="page59"/>
    <w:bookmarkEnd w:id="58"/>
    <w:p>
      <w:pPr>
        <w:ind w:right="80" w:firstLine="8"/>
        <w:spacing w:after="0" w:line="261" w:lineRule="auto"/>
        <w:tabs>
          <w:tab w:leader="none" w:pos="398"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Executive Duties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such notice is waived by the Company, Executive shall not terminate employment with the Company without giving 30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prior notice to the Board, and during such 30-day period Executive will assist, as and to the extent reasonably requested by the Company, in training the successor to Executive’s position with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provisions of Section 1(h) shall control over this Section 11 in the event of a voluntary termination by Executive for Good Reason.</w:t>
      </w:r>
    </w:p>
    <w:p>
      <w:pPr>
        <w:spacing w:after="0" w:line="180" w:lineRule="exact"/>
        <w:rPr>
          <w:rFonts w:ascii="Arial" w:cs="Arial" w:eastAsia="Arial" w:hAnsi="Arial"/>
          <w:sz w:val="18"/>
          <w:szCs w:val="18"/>
          <w:color w:val="auto"/>
        </w:rPr>
      </w:pPr>
    </w:p>
    <w:p>
      <w:pPr>
        <w:ind w:right="260" w:firstLine="8"/>
        <w:spacing w:after="0" w:line="282"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have the right to withhold from all payments made pursuant to this Agreement any federal, state, or local taxes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other amounts as may be required by law to be withheld from such payments.</w:t>
      </w:r>
    </w:p>
    <w:p>
      <w:pPr>
        <w:spacing w:after="0" w:line="161" w:lineRule="exact"/>
        <w:rPr>
          <w:rFonts w:ascii="Arial" w:cs="Arial" w:eastAsia="Arial" w:hAnsi="Arial"/>
          <w:sz w:val="18"/>
          <w:szCs w:val="18"/>
          <w:color w:val="auto"/>
        </w:rPr>
      </w:pPr>
    </w:p>
    <w:p>
      <w:pPr>
        <w:ind w:right="200" w:firstLine="8"/>
        <w:spacing w:after="0" w:line="258"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assign this Agreement and its rights and obligations hereunder in whole, but not in part, to any entity to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may transfer all or substantially all of its assets, if in 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183" w:lineRule="exact"/>
        <w:rPr>
          <w:rFonts w:ascii="Arial" w:cs="Arial" w:eastAsia="Arial" w:hAnsi="Arial"/>
          <w:sz w:val="18"/>
          <w:szCs w:val="18"/>
          <w:color w:val="auto"/>
        </w:rPr>
      </w:pPr>
    </w:p>
    <w:p>
      <w:pPr>
        <w:ind w:right="180" w:firstLine="8"/>
        <w:spacing w:after="0" w:line="266"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Death of Executive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amounts due Executive under this Agreement (not including any Base Salary not yet earned by Executive) unpaid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Executive’s death shall be paid in a single sum within thirty (30) days after Executive’s death to Executive’s surviving spouse, or if none, to the duly appointed personal representative of his estate.</w:t>
      </w:r>
    </w:p>
    <w:p>
      <w:pPr>
        <w:spacing w:after="0" w:line="176" w:lineRule="exact"/>
        <w:rPr>
          <w:rFonts w:ascii="Arial" w:cs="Arial" w:eastAsia="Arial" w:hAnsi="Arial"/>
          <w:sz w:val="18"/>
          <w:szCs w:val="18"/>
          <w:color w:val="auto"/>
        </w:rPr>
      </w:pPr>
    </w:p>
    <w:p>
      <w:pPr>
        <w:ind w:right="100" w:firstLine="8"/>
        <w:spacing w:after="0" w:line="261"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Legal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 termination pursuant to Section 4(a) hereof, the Company shall also pay to Executive all reasonable legal fees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incurred by 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180" w:lineRule="exact"/>
        <w:rPr>
          <w:rFonts w:ascii="Arial" w:cs="Arial" w:eastAsia="Arial" w:hAnsi="Arial"/>
          <w:sz w:val="18"/>
          <w:szCs w:val="18"/>
          <w:color w:val="auto"/>
        </w:rPr>
      </w:pPr>
    </w:p>
    <w:p>
      <w:pPr>
        <w:ind w:left="420" w:hanging="412"/>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color w:val="auto"/>
        </w:rPr>
      </w:pPr>
    </w:p>
    <w:p>
      <w:pPr>
        <w:ind w:left="1300" w:right="200" w:hanging="644"/>
        <w:spacing w:after="0" w:line="271" w:lineRule="auto"/>
        <w:tabs>
          <w:tab w:leader="none" w:pos="1300" w:val="left"/>
        </w:tabs>
        <w:numPr>
          <w:ilvl w:val="1"/>
          <w:numId w:val="48"/>
        </w:numPr>
        <w:rPr>
          <w:rFonts w:ascii="Arial" w:cs="Arial" w:eastAsia="Arial" w:hAnsi="Arial"/>
          <w:sz w:val="22"/>
          <w:szCs w:val="22"/>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provision of this Agreement may be amended unless such amendment is signed by Executive and such officer as may be specifically designated by the Board to sign on the Company’s behalf.</w:t>
      </w:r>
    </w:p>
    <w:p>
      <w:pPr>
        <w:spacing w:after="0" w:line="209" w:lineRule="exact"/>
        <w:rPr>
          <w:rFonts w:ascii="Arial" w:cs="Arial" w:eastAsia="Arial" w:hAnsi="Arial"/>
          <w:sz w:val="22"/>
          <w:szCs w:val="22"/>
          <w:color w:val="auto"/>
        </w:rPr>
      </w:pPr>
    </w:p>
    <w:p>
      <w:pPr>
        <w:ind w:left="1300" w:right="20" w:hanging="644"/>
        <w:spacing w:after="0" w:line="280" w:lineRule="auto"/>
        <w:tabs>
          <w:tab w:leader="none" w:pos="1300" w:val="left"/>
        </w:tabs>
        <w:numPr>
          <w:ilvl w:val="1"/>
          <w:numId w:val="48"/>
        </w:numPr>
        <w:rPr>
          <w:rFonts w:ascii="Arial" w:cs="Arial" w:eastAsia="Arial" w:hAnsi="Arial"/>
          <w:sz w:val="22"/>
          <w:szCs w:val="22"/>
          <w:color w:val="auto"/>
        </w:rPr>
      </w:pPr>
      <w:r>
        <w:rPr>
          <w:rFonts w:ascii="Arial" w:cs="Arial" w:eastAsia="Arial" w:hAnsi="Arial"/>
          <w:sz w:val="18"/>
          <w:szCs w:val="18"/>
          <w:u w:val="single" w:color="auto"/>
          <w:color w:val="auto"/>
        </w:rPr>
        <w:t>Nature of Obligations</w:t>
      </w:r>
      <w:r>
        <w:rPr>
          <w:rFonts w:ascii="Arial" w:cs="Arial" w:eastAsia="Arial" w:hAnsi="Arial"/>
          <w:sz w:val="18"/>
          <w:szCs w:val="18"/>
          <w:color w:val="auto"/>
        </w:rPr>
        <w:t>.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spacing w:after="0" w:line="207" w:lineRule="exact"/>
        <w:rPr>
          <w:rFonts w:ascii="Arial" w:cs="Arial" w:eastAsia="Arial" w:hAnsi="Arial"/>
          <w:sz w:val="22"/>
          <w:szCs w:val="22"/>
          <w:color w:val="auto"/>
        </w:rPr>
      </w:pPr>
    </w:p>
    <w:p>
      <w:pPr>
        <w:ind w:left="1300" w:right="120" w:hanging="644"/>
        <w:spacing w:after="0" w:line="350" w:lineRule="auto"/>
        <w:tabs>
          <w:tab w:leader="none" w:pos="1300" w:val="left"/>
        </w:tabs>
        <w:numPr>
          <w:ilvl w:val="1"/>
          <w:numId w:val="48"/>
        </w:numPr>
        <w:rPr>
          <w:rFonts w:ascii="Arial" w:cs="Arial" w:eastAsia="Arial" w:hAnsi="Arial"/>
          <w:sz w:val="19"/>
          <w:szCs w:val="19"/>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For purposes of the Employee Retirement Income Security Act of 1974, as amended, this Agreement is intended to be a severance pay employee welfare benefit plan, and not an employee pension plan, and shall be construed and administered with that intention.</w:t>
      </w:r>
    </w:p>
    <w:p>
      <w:pPr>
        <w:spacing w:after="0" w:line="142" w:lineRule="exact"/>
        <w:rPr>
          <w:rFonts w:ascii="Arial" w:cs="Arial" w:eastAsia="Arial" w:hAnsi="Arial"/>
          <w:sz w:val="19"/>
          <w:szCs w:val="19"/>
          <w:color w:val="auto"/>
        </w:rPr>
      </w:pPr>
    </w:p>
    <w:p>
      <w:pPr>
        <w:ind w:left="1300" w:right="60" w:hanging="644"/>
        <w:spacing w:after="0" w:line="271" w:lineRule="auto"/>
        <w:tabs>
          <w:tab w:leader="none" w:pos="1300" w:val="left"/>
        </w:tabs>
        <w:numPr>
          <w:ilvl w:val="1"/>
          <w:numId w:val="48"/>
        </w:numPr>
        <w:rPr>
          <w:rFonts w:ascii="Arial" w:cs="Arial" w:eastAsia="Arial" w:hAnsi="Arial"/>
          <w:sz w:val="22"/>
          <w:szCs w:val="22"/>
          <w:color w:val="auto"/>
        </w:rPr>
      </w:pPr>
      <w:r>
        <w:rPr>
          <w:rFonts w:ascii="Arial" w:cs="Arial" w:eastAsia="Arial" w:hAnsi="Arial"/>
          <w:sz w:val="18"/>
          <w:szCs w:val="18"/>
          <w:u w:val="single" w:color="auto"/>
          <w:color w:val="auto"/>
        </w:rPr>
        <w:t>Prior Employment</w:t>
      </w:r>
      <w:r>
        <w:rPr>
          <w:rFonts w:ascii="Arial" w:cs="Arial" w:eastAsia="Arial" w:hAnsi="Arial"/>
          <w:sz w:val="18"/>
          <w:szCs w:val="18"/>
          <w:color w:val="auto"/>
        </w:rPr>
        <w:t>. Executive represents and warrants that his employment with the Company has not breached, and the performance of his duties for the Company will not breach, any duty owed by him to any prior employer or other person.</w:t>
      </w:r>
    </w:p>
    <w:p>
      <w:pPr>
        <w:spacing w:after="0" w:line="209" w:lineRule="exact"/>
        <w:rPr>
          <w:rFonts w:ascii="Arial" w:cs="Arial" w:eastAsia="Arial" w:hAnsi="Arial"/>
          <w:sz w:val="22"/>
          <w:szCs w:val="22"/>
          <w:color w:val="auto"/>
        </w:rPr>
      </w:pPr>
    </w:p>
    <w:p>
      <w:pPr>
        <w:ind w:left="1300" w:right="60" w:hanging="644"/>
        <w:spacing w:after="0" w:line="280" w:lineRule="auto"/>
        <w:tabs>
          <w:tab w:leader="none" w:pos="1300" w:val="left"/>
        </w:tabs>
        <w:numPr>
          <w:ilvl w:val="1"/>
          <w:numId w:val="48"/>
        </w:numPr>
        <w:rPr>
          <w:rFonts w:ascii="Arial" w:cs="Arial" w:eastAsia="Arial" w:hAnsi="Arial"/>
          <w:sz w:val="22"/>
          <w:szCs w:val="22"/>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207" w:lineRule="exact"/>
        <w:rPr>
          <w:rFonts w:ascii="Arial" w:cs="Arial" w:eastAsia="Arial" w:hAnsi="Arial"/>
          <w:sz w:val="22"/>
          <w:szCs w:val="22"/>
          <w:color w:val="auto"/>
        </w:rPr>
      </w:pPr>
    </w:p>
    <w:p>
      <w:pPr>
        <w:ind w:left="1300" w:right="300" w:hanging="644"/>
        <w:spacing w:after="0" w:line="271" w:lineRule="auto"/>
        <w:tabs>
          <w:tab w:leader="none" w:pos="1300" w:val="left"/>
        </w:tabs>
        <w:numPr>
          <w:ilvl w:val="1"/>
          <w:numId w:val="48"/>
        </w:numPr>
        <w:rPr>
          <w:rFonts w:ascii="Arial" w:cs="Arial" w:eastAsia="Arial" w:hAnsi="Arial"/>
          <w:sz w:val="22"/>
          <w:szCs w:val="22"/>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Whenever used in this Agreement, a masculine pronoun is deemed to include the feminine and a neuter pronoun is deemed to include both the masculine and the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4" w:right="239" w:bottom="1440" w:gutter="0" w:footer="0" w:header="0"/>
        </w:sectPr>
      </w:pPr>
    </w:p>
    <w:bookmarkStart w:id="59" w:name="page60"/>
    <w:bookmarkEnd w:id="59"/>
    <w:p>
      <w:pPr>
        <w:ind w:left="644" w:right="320"/>
        <w:spacing w:after="0" w:line="324" w:lineRule="auto"/>
        <w:rPr>
          <w:sz w:val="20"/>
          <w:szCs w:val="20"/>
          <w:color w:val="auto"/>
        </w:rPr>
      </w:pPr>
      <w:r>
        <w:rPr>
          <w:rFonts w:ascii="Arial" w:cs="Arial" w:eastAsia="Arial" w:hAnsi="Arial"/>
          <w:sz w:val="18"/>
          <w:szCs w:val="18"/>
          <w:color w:val="auto"/>
        </w:rPr>
        <w:t>feminine, unless the context clearly indicates otherwise. The singular form, whenever used herein, shall mean or include the plural form where applicable.</w:t>
      </w:r>
    </w:p>
    <w:p>
      <w:pPr>
        <w:spacing w:after="0" w:line="170" w:lineRule="exact"/>
        <w:rPr>
          <w:sz w:val="20"/>
          <w:szCs w:val="20"/>
          <w:color w:val="auto"/>
        </w:rPr>
      </w:pPr>
    </w:p>
    <w:p>
      <w:pPr>
        <w:ind w:left="644" w:right="100" w:hanging="644"/>
        <w:spacing w:after="0" w:line="280"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207" w:lineRule="exact"/>
        <w:rPr>
          <w:rFonts w:ascii="Arial" w:cs="Arial" w:eastAsia="Arial" w:hAnsi="Arial"/>
          <w:sz w:val="22"/>
          <w:szCs w:val="22"/>
          <w:color w:val="auto"/>
        </w:rPr>
      </w:pPr>
    </w:p>
    <w:p>
      <w:pPr>
        <w:ind w:left="644" w:right="700" w:hanging="644"/>
        <w:spacing w:after="0" w:line="271"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permitted assigns, heirs, executors and administrators.</w:t>
      </w:r>
    </w:p>
    <w:p>
      <w:pPr>
        <w:spacing w:after="0" w:line="209" w:lineRule="exact"/>
        <w:rPr>
          <w:rFonts w:ascii="Arial" w:cs="Arial" w:eastAsia="Arial" w:hAnsi="Arial"/>
          <w:sz w:val="22"/>
          <w:szCs w:val="22"/>
          <w:color w:val="auto"/>
        </w:rPr>
      </w:pPr>
    </w:p>
    <w:p>
      <w:pPr>
        <w:ind w:left="644" w:right="180" w:hanging="644"/>
        <w:spacing w:after="0" w:line="280"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Plainsboro, New Jersey 08536</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Attn: President and CEO</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4" w:right="200"/>
        <w:spacing w:after="0" w:line="277" w:lineRule="auto"/>
        <w:rPr>
          <w:sz w:val="20"/>
          <w:szCs w:val="20"/>
          <w:color w:val="auto"/>
        </w:rPr>
      </w:pPr>
      <w:r>
        <w:rPr>
          <w:rFonts w:ascii="Arial" w:cs="Arial" w:eastAsia="Arial" w:hAnsi="Arial"/>
          <w:sz w:val="18"/>
          <w:szCs w:val="18"/>
          <w:color w:val="auto"/>
        </w:rPr>
        <w:t>The Company’s General Counsel (or, in the event that Executive is then the Company’s General Counsel, then to the Company’s Assistant General Counsel)</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Richard D. Gorelick</w:t>
      </w:r>
    </w:p>
    <w:p>
      <w:pPr>
        <w:spacing w:after="0" w:line="23"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c/o Integra LifeSciences Corporation</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Plainsboro, NJ 08536</w:t>
      </w:r>
    </w:p>
    <w:p>
      <w:pPr>
        <w:spacing w:after="0" w:line="238" w:lineRule="exact"/>
        <w:rPr>
          <w:sz w:val="20"/>
          <w:szCs w:val="20"/>
          <w:color w:val="auto"/>
        </w:rPr>
      </w:pPr>
    </w:p>
    <w:p>
      <w:pPr>
        <w:ind w:left="644" w:right="120" w:hanging="644"/>
        <w:spacing w:after="0" w:line="271" w:lineRule="auto"/>
        <w:tabs>
          <w:tab w:leader="none" w:pos="644" w:val="left"/>
        </w:tabs>
        <w:numPr>
          <w:ilvl w:val="0"/>
          <w:numId w:val="50"/>
        </w:numPr>
        <w:rPr>
          <w:rFonts w:ascii="Arial" w:cs="Arial" w:eastAsia="Arial" w:hAnsi="Arial"/>
          <w:sz w:val="22"/>
          <w:szCs w:val="22"/>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understanding of the parties and supersedes all prior agreements, arrangements and communications, whether oral or written, pertaining to the subject matter hereof.</w:t>
      </w:r>
    </w:p>
    <w:p>
      <w:pPr>
        <w:spacing w:after="0" w:line="209" w:lineRule="exact"/>
        <w:rPr>
          <w:rFonts w:ascii="Arial" w:cs="Arial" w:eastAsia="Arial" w:hAnsi="Arial"/>
          <w:sz w:val="22"/>
          <w:szCs w:val="22"/>
          <w:color w:val="auto"/>
        </w:rPr>
      </w:pPr>
    </w:p>
    <w:p>
      <w:pPr>
        <w:ind w:left="644" w:right="220" w:hanging="644"/>
        <w:spacing w:after="0" w:line="271" w:lineRule="auto"/>
        <w:tabs>
          <w:tab w:leader="none" w:pos="644" w:val="left"/>
        </w:tabs>
        <w:numPr>
          <w:ilvl w:val="0"/>
          <w:numId w:val="50"/>
        </w:numPr>
        <w:rPr>
          <w:rFonts w:ascii="Arial" w:cs="Arial" w:eastAsia="Arial" w:hAnsi="Arial"/>
          <w:sz w:val="22"/>
          <w:szCs w:val="22"/>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United States where applicable and otherwise by the laws of the State of New Jersey.</w:t>
      </w:r>
    </w:p>
    <w:p>
      <w:pPr>
        <w:spacing w:after="0" w:line="187" w:lineRule="exact"/>
        <w:rPr>
          <w:rFonts w:ascii="Arial" w:cs="Arial" w:eastAsia="Arial" w:hAnsi="Arial"/>
          <w:sz w:val="22"/>
          <w:szCs w:val="22"/>
          <w:color w:val="auto"/>
        </w:rPr>
      </w:pPr>
    </w:p>
    <w:p>
      <w:pPr>
        <w:ind w:left="644" w:hanging="644"/>
        <w:spacing w:after="0"/>
        <w:tabs>
          <w:tab w:leader="none" w:pos="644" w:val="left"/>
        </w:tabs>
        <w:numPr>
          <w:ilvl w:val="0"/>
          <w:numId w:val="50"/>
        </w:numPr>
        <w:rPr>
          <w:rFonts w:ascii="Arial" w:cs="Arial" w:eastAsia="Arial" w:hAnsi="Arial"/>
          <w:sz w:val="22"/>
          <w:szCs w:val="22"/>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42" w:lineRule="exact"/>
        <w:rPr>
          <w:rFonts w:ascii="Arial" w:cs="Arial" w:eastAsia="Arial" w:hAnsi="Arial"/>
          <w:sz w:val="22"/>
          <w:szCs w:val="22"/>
          <w:color w:val="auto"/>
        </w:rPr>
      </w:pPr>
    </w:p>
    <w:p>
      <w:pPr>
        <w:ind w:left="1144" w:right="80" w:hanging="495"/>
        <w:spacing w:after="0" w:line="307" w:lineRule="auto"/>
        <w:tabs>
          <w:tab w:leader="none" w:pos="1144" w:val="left"/>
        </w:tabs>
        <w:numPr>
          <w:ilvl w:val="1"/>
          <w:numId w:val="50"/>
        </w:numPr>
        <w:rPr>
          <w:rFonts w:ascii="Arial" w:cs="Arial" w:eastAsia="Arial" w:hAnsi="Arial"/>
          <w:sz w:val="21"/>
          <w:szCs w:val="21"/>
          <w:color w:val="auto"/>
        </w:rPr>
      </w:pPr>
      <w:r>
        <w:rPr>
          <w:rFonts w:ascii="Arial" w:cs="Arial" w:eastAsia="Arial" w:hAnsi="Arial"/>
          <w:sz w:val="17"/>
          <w:szCs w:val="17"/>
          <w:color w:val="auto"/>
        </w:rPr>
        <w:t>This Agreement shall be interpreted in accordance with Section 409A of the Code and Department of Treasury regulations and other interpretive guidance issued thereunder and to avoid any penalty sanctions under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All payments to be made upon a termination of employment under this Agreement may only be made upon a</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64"/>
          </w:cols>
          <w:pgMar w:left="896" w:top="395" w:right="239" w:bottom="1440" w:gutter="0" w:footer="0" w:header="0"/>
        </w:sectPr>
      </w:pPr>
    </w:p>
    <w:bookmarkStart w:id="60" w:name="page61"/>
    <w:bookmarkEnd w:id="60"/>
    <w:p>
      <w:pPr>
        <w:ind w:left="1760" w:right="140"/>
        <w:spacing w:after="0" w:line="311" w:lineRule="auto"/>
        <w:rPr>
          <w:sz w:val="20"/>
          <w:szCs w:val="20"/>
          <w:color w:val="auto"/>
        </w:rPr>
      </w:pPr>
      <w:r>
        <w:rPr>
          <w:rFonts w:ascii="Arial" w:cs="Arial" w:eastAsia="Arial" w:hAnsi="Arial"/>
          <w:sz w:val="18"/>
          <w:szCs w:val="18"/>
          <w:color w:val="auto"/>
        </w:rPr>
        <w:t>“separation from service” under Section 409A of the Code. For purposes of Section 409A of the Code, each payment made under this Agreement shall be treated as a separate payment. In no event may Executive, directly or indirectly, designate the calendar year of payment.</w:t>
      </w:r>
    </w:p>
    <w:p>
      <w:pPr>
        <w:spacing w:after="0" w:line="181" w:lineRule="exact"/>
        <w:rPr>
          <w:sz w:val="20"/>
          <w:szCs w:val="20"/>
          <w:color w:val="auto"/>
        </w:rPr>
      </w:pPr>
    </w:p>
    <w:p>
      <w:pPr>
        <w:ind w:left="1760" w:right="120" w:hanging="495"/>
        <w:spacing w:after="0" w:line="310" w:lineRule="auto"/>
        <w:tabs>
          <w:tab w:leader="none" w:pos="1760" w:val="left"/>
        </w:tabs>
        <w:numPr>
          <w:ilvl w:val="0"/>
          <w:numId w:val="51"/>
        </w:numPr>
        <w:rPr>
          <w:rFonts w:ascii="Arial" w:cs="Arial" w:eastAsia="Arial" w:hAnsi="Arial"/>
          <w:sz w:val="21"/>
          <w:szCs w:val="21"/>
          <w:color w:val="auto"/>
        </w:rPr>
      </w:pPr>
      <w:r>
        <w:rPr>
          <w:rFonts w:ascii="Arial" w:cs="Arial" w:eastAsia="Arial" w:hAnsi="Arial"/>
          <w:sz w:val="17"/>
          <w:szCs w:val="17"/>
          <w:color w:val="auto"/>
        </w:rPr>
        <w:t>All reimbursements provided under this Agreement shall be made or provided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If expenses are incurred in connection with litigation, any reimbursements under the Agreement shall be paid not later than the end of the calendar year following the year in which the litigation is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this Agreement has been executed as of the date first above written.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3"/>
          </w:tcPr>
          <w:p>
            <w:pPr>
              <w:spacing w:after="0"/>
              <w:rPr>
                <w:sz w:val="20"/>
                <w:szCs w:val="20"/>
                <w:color w:val="auto"/>
              </w:rPr>
            </w:pPr>
            <w:r>
              <w:rPr>
                <w:rFonts w:ascii="Arial" w:cs="Arial" w:eastAsia="Arial" w:hAnsi="Arial"/>
                <w:sz w:val="18"/>
                <w:szCs w:val="18"/>
                <w:color w:val="auto"/>
              </w:rPr>
              <w:t>INTEGRA LIFESCIENCES HOLDINGS CORPORATION</w:t>
            </w:r>
          </w:p>
        </w:tc>
        <w:tc>
          <w:tcPr>
            <w:tcW w:w="1680" w:type="dxa"/>
            <w:vAlign w:val="bottom"/>
          </w:tcPr>
          <w:p>
            <w:pPr>
              <w:spacing w:after="0"/>
              <w:rPr>
                <w:sz w:val="20"/>
                <w:szCs w:val="20"/>
                <w:color w:val="auto"/>
              </w:rPr>
            </w:pPr>
            <w:r>
              <w:rPr>
                <w:rFonts w:ascii="Arial" w:cs="Arial" w:eastAsia="Arial" w:hAnsi="Arial"/>
                <w:sz w:val="18"/>
                <w:szCs w:val="18"/>
                <w:color w:val="auto"/>
              </w:rPr>
              <w:t>EXECUTIVE</w:t>
            </w:r>
          </w:p>
        </w:tc>
      </w:tr>
      <w:tr>
        <w:trPr>
          <w:trHeight w:val="824"/>
        </w:trPr>
        <w:tc>
          <w:tcPr>
            <w:tcW w:w="6160" w:type="dxa"/>
            <w:vAlign w:val="bottom"/>
            <w:gridSpan w:val="3"/>
          </w:tcPr>
          <w:p>
            <w:pPr>
              <w:spacing w:after="0"/>
              <w:rPr>
                <w:sz w:val="20"/>
                <w:szCs w:val="20"/>
                <w:color w:val="auto"/>
              </w:rPr>
            </w:pPr>
            <w:r>
              <w:rPr>
                <w:rFonts w:ascii="Arial" w:cs="Arial" w:eastAsia="Arial" w:hAnsi="Arial"/>
                <w:sz w:val="18"/>
                <w:szCs w:val="18"/>
                <w:color w:val="auto"/>
              </w:rPr>
              <w:t>By: /s/ Peter J. Arduini</w:t>
            </w:r>
          </w:p>
        </w:tc>
        <w:tc>
          <w:tcPr>
            <w:tcW w:w="1680" w:type="dxa"/>
            <w:vAlign w:val="bottom"/>
          </w:tcPr>
          <w:p>
            <w:pPr>
              <w:spacing w:after="0"/>
              <w:rPr>
                <w:sz w:val="20"/>
                <w:szCs w:val="20"/>
                <w:color w:val="auto"/>
              </w:rPr>
            </w:pPr>
            <w:r>
              <w:rPr>
                <w:rFonts w:ascii="Arial" w:cs="Arial" w:eastAsia="Arial" w:hAnsi="Arial"/>
                <w:sz w:val="18"/>
                <w:szCs w:val="18"/>
                <w:color w:val="auto"/>
                <w:w w:val="92"/>
              </w:rPr>
              <w:t>/s/ Richard D. Gorelick</w:t>
            </w:r>
          </w:p>
        </w:tc>
      </w:tr>
      <w:tr>
        <w:trPr>
          <w:trHeight w:val="20"/>
        </w:trPr>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237"/>
        </w:trPr>
        <w:tc>
          <w:tcPr>
            <w:tcW w:w="6160" w:type="dxa"/>
            <w:vAlign w:val="bottom"/>
            <w:gridSpan w:val="3"/>
          </w:tcPr>
          <w:p>
            <w:pPr>
              <w:spacing w:after="0"/>
              <w:rPr>
                <w:sz w:val="20"/>
                <w:szCs w:val="20"/>
                <w:color w:val="auto"/>
              </w:rPr>
            </w:pPr>
            <w:r>
              <w:rPr>
                <w:rFonts w:ascii="Arial" w:cs="Arial" w:eastAsia="Arial" w:hAnsi="Arial"/>
                <w:sz w:val="18"/>
                <w:szCs w:val="18"/>
                <w:color w:val="auto"/>
              </w:rPr>
              <w:t>Its: President and Chief Executive Officer</w:t>
            </w:r>
          </w:p>
        </w:tc>
        <w:tc>
          <w:tcPr>
            <w:tcW w:w="1680" w:type="dxa"/>
            <w:vAlign w:val="bottom"/>
          </w:tcPr>
          <w:p>
            <w:pPr>
              <w:spacing w:after="0"/>
              <w:rPr>
                <w:sz w:val="20"/>
                <w:szCs w:val="20"/>
                <w:color w:val="auto"/>
              </w:rPr>
            </w:pPr>
            <w:r>
              <w:rPr>
                <w:rFonts w:ascii="Arial" w:cs="Arial" w:eastAsia="Arial" w:hAnsi="Arial"/>
                <w:sz w:val="18"/>
                <w:szCs w:val="18"/>
                <w:color w:val="auto"/>
              </w:rPr>
              <w:t>Richard D. Gorelick</w:t>
            </w:r>
          </w:p>
        </w:tc>
      </w:tr>
    </w:tbl>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80" w:top="39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2,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2,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right="30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2,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John B. Henneman, III, Corporate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660" w:right="3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2,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2"/>
    </w:lvl>
  </w:abstractNum>
  <w:abstractNum w:abstractNumId="8">
    <w:nsid w:val="6CEAF087"/>
    <w:multiLevelType w:val="hybridMultilevel"/>
    <w:lvl w:ilvl="0">
      <w:lvlJc w:val="left"/>
      <w:lvlText w:val="(%1)"/>
      <w:numFmt w:val="lowerRoman"/>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10"/>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Letter"/>
      <w:start w:val="1"/>
    </w:lvl>
    <w:lvl w:ilvl="1">
      <w:lvlJc w:val="left"/>
      <w:lvlText w:val="(%2)"/>
      <w:numFmt w:val="lowerLetter"/>
      <w:start w:val="1"/>
    </w:lvl>
  </w:abstractNum>
  <w:abstractNum w:abstractNumId="21">
    <w:nsid w:val="2463B9EA"/>
    <w:multiLevelType w:val="hybridMultilevel"/>
    <w:lvl w:ilvl="0">
      <w:lvlJc w:val="left"/>
      <w:lvlText w:val="(%1)"/>
      <w:numFmt w:val="lowerLetter"/>
      <w:start w:val="35"/>
    </w:lvl>
    <w:lvl w:ilvl="1">
      <w:lvlJc w:val="left"/>
      <w:lvlText w:val="(%2)"/>
      <w:numFmt w:val="lowerLetter"/>
      <w:start w:val="2"/>
    </w:lvl>
  </w:abstractNum>
  <w:abstractNum w:abstractNumId="22">
    <w:nsid w:val="5E884ADC"/>
    <w:multiLevelType w:val="hybridMultilevel"/>
    <w:lvl w:ilvl="0">
      <w:lvlJc w:val="left"/>
      <w:lvlText w:val="(%1)"/>
      <w:numFmt w:val="lowerLetter"/>
      <w:start w:val="3"/>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lowerLetter"/>
      <w:start w:val="2"/>
    </w:lvl>
  </w:abstractNum>
  <w:abstractNum w:abstractNumId="26">
    <w:nsid w:val="153EA438"/>
    <w:multiLevelType w:val="hybridMultilevel"/>
    <w:lvl w:ilvl="0">
      <w:lvlJc w:val="left"/>
      <w:lvlText w:val="(%1)"/>
      <w:numFmt w:val="lowerLetter"/>
      <w:start w:val="2"/>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3"/>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lowerRoman"/>
      <w:start w:val="1"/>
    </w:lvl>
  </w:abstractNum>
  <w:abstractNum w:abstractNumId="33">
    <w:nsid w:val="2CD89A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34">
    <w:nsid w:val="57E4CCA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5">
    <w:nsid w:val="7A6D8D3C"/>
    <w:multiLevelType w:val="hybridMultilevel"/>
    <w:lvl w:ilvl="0">
      <w:lvlJc w:val="left"/>
      <w:lvlText w:val="%1"/>
      <w:numFmt w:val="lowerLetter"/>
      <w:start w:val="1"/>
    </w:lvl>
    <w:lvl w:ilvl="1">
      <w:lvlJc w:val="left"/>
      <w:lvlText w:val="(%2)"/>
      <w:numFmt w:val="decimal"/>
      <w:start w:val="2"/>
    </w:lvl>
  </w:abstractNum>
  <w:abstractNum w:abstractNumId="36">
    <w:nsid w:val="4B588F54"/>
    <w:multiLevelType w:val="hybridMultilevel"/>
    <w:lvl w:ilvl="0">
      <w:lvlJc w:val="left"/>
      <w:lvlText w:val="(%1)"/>
      <w:numFmt w:val="lowerLetter"/>
      <w:start w:val="5"/>
    </w:lvl>
    <w:lvl w:ilvl="1">
      <w:lvlJc w:val="left"/>
      <w:lvlText w:val="%2"/>
      <w:numFmt w:val="decimal"/>
      <w:start w:val="1"/>
    </w:lvl>
  </w:abstractNum>
  <w:abstractNum w:abstractNumId="37">
    <w:nsid w:val="542289EC"/>
    <w:multiLevelType w:val="hybridMultilevel"/>
    <w:lvl w:ilvl="0">
      <w:lvlJc w:val="left"/>
      <w:lvlText w:val="(%1)"/>
      <w:numFmt w:val="lowerLetter"/>
      <w:start w:val="7"/>
    </w:lvl>
    <w:lvl w:ilvl="1">
      <w:lvlJc w:val="left"/>
      <w:lvlText w:val="(%2)"/>
      <w:numFmt w:val="decimal"/>
      <w:start w:val="1"/>
    </w:lvl>
  </w:abstractNum>
  <w:abstractNum w:abstractNumId="38">
    <w:nsid w:val="6DE91B18"/>
    <w:multiLevelType w:val="hybridMultilevel"/>
    <w:lvl w:ilvl="0">
      <w:lvlJc w:val="left"/>
      <w:lvlText w:val="%1"/>
      <w:numFmt w:val="decimal"/>
      <w:start w:val="1"/>
    </w:lvl>
    <w:lvl w:ilvl="1">
      <w:lvlJc w:val="left"/>
      <w:lvlText w:val="(%2)"/>
      <w:numFmt w:val="lowerLetter"/>
      <w:start w:val="9"/>
    </w:lvl>
  </w:abstractNum>
  <w:abstractNum w:abstractNumId="39">
    <w:nsid w:val="38437FDB"/>
    <w:multiLevelType w:val="hybridMultilevel"/>
    <w:lvl w:ilvl="0">
      <w:lvlJc w:val="left"/>
      <w:lvlText w:val="%1."/>
      <w:numFmt w:val="decimal"/>
      <w:start w:val="2"/>
    </w:lvl>
    <w:lvl w:ilvl="1">
      <w:lvlJc w:val="left"/>
      <w:lvlText w:val="%2"/>
      <w:numFmt w:val="lowerLetter"/>
      <w:start w:val="1"/>
    </w:lvl>
  </w:abstractNum>
  <w:abstractNum w:abstractNumId="40">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32FFF9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
    <w:nsid w:val="684A481A"/>
    <w:multiLevelType w:val="hybridMultilevel"/>
    <w:lvl w:ilvl="0">
      <w:lvlJc w:val="left"/>
      <w:lvlText w:val="%1"/>
      <w:numFmt w:val="lowerLetter"/>
      <w:start w:val="1"/>
    </w:lvl>
    <w:lvl w:ilvl="1">
      <w:lvlJc w:val="left"/>
      <w:lvlText w:val="(%2)"/>
      <w:numFmt w:val="lowerLetter"/>
      <w:start w:val="22"/>
    </w:lvl>
  </w:abstractNum>
  <w:abstractNum w:abstractNumId="43">
    <w:nsid w:val="579478FE"/>
    <w:multiLevelType w:val="hybridMultilevel"/>
    <w:lvl w:ilvl="0">
      <w:lvlJc w:val="left"/>
      <w:lvlText w:val="(%1)"/>
      <w:numFmt w:val="lowerLetter"/>
      <w:start w:val="2"/>
    </w:lvl>
    <w:lvl w:ilvl="1">
      <w:lvlJc w:val="left"/>
      <w:lvlText w:val="%2"/>
      <w:numFmt w:val="lowerLetter"/>
      <w:start w:val="1"/>
    </w:lvl>
  </w:abstractNum>
  <w:abstractNum w:abstractNumId="44">
    <w:nsid w:val="749ABB43"/>
    <w:multiLevelType w:val="hybridMultilevel"/>
    <w:lvl w:ilvl="0">
      <w:lvlJc w:val="left"/>
      <w:lvlText w:val="%1."/>
      <w:numFmt w:val="decimal"/>
      <w:start w:val="5"/>
    </w:lvl>
    <w:lvl w:ilvl="1">
      <w:lvlJc w:val="left"/>
      <w:lvlText w:val="(%2)"/>
      <w:numFmt w:val="lowerLetter"/>
      <w:start w:val="1"/>
    </w:lvl>
  </w:abstractNum>
  <w:abstractNum w:abstractNumId="45">
    <w:nsid w:val="3DC240FB"/>
    <w:multiLevelType w:val="hybridMultilevel"/>
    <w:lvl w:ilvl="0">
      <w:lvlJc w:val="left"/>
      <w:lvlText w:val="%1"/>
      <w:numFmt w:val="decimal"/>
      <w:start w:val="1"/>
    </w:lvl>
    <w:lvl w:ilvl="1">
      <w:lvlJc w:val="left"/>
      <w:lvlText w:val="(%2)"/>
      <w:numFmt w:val="lowerLetter"/>
      <w:start w:val="3"/>
    </w:lvl>
  </w:abstractNum>
  <w:abstractNum w:abstractNumId="46">
    <w:nsid w:val="1BA026FA"/>
    <w:multiLevelType w:val="hybridMultilevel"/>
    <w:lvl w:ilvl="0">
      <w:lvlJc w:val="left"/>
      <w:lvlText w:val="%1."/>
      <w:numFmt w:val="decimal"/>
      <w:start w:val="7"/>
    </w:lvl>
    <w:lvl w:ilvl="1">
      <w:lvlJc w:val="left"/>
      <w:lvlText w:val="%2"/>
      <w:numFmt w:val="lowerLetter"/>
      <w:start w:val="1"/>
    </w:lvl>
  </w:abstractNum>
  <w:abstractNum w:abstractNumId="47">
    <w:nsid w:val="79A1DEAA"/>
    <w:multiLevelType w:val="hybridMultilevel"/>
    <w:lvl w:ilvl="0">
      <w:lvlJc w:val="left"/>
      <w:lvlText w:val="%1."/>
      <w:numFmt w:val="decimal"/>
      <w:start w:val="11"/>
    </w:lvl>
    <w:lvl w:ilvl="1">
      <w:lvlJc w:val="left"/>
      <w:lvlText w:val="(%2)"/>
      <w:numFmt w:val="lowerLetter"/>
      <w:start w:val="1"/>
    </w:lvl>
  </w:abstractNum>
  <w:abstractNum w:abstractNumId="48">
    <w:nsid w:val="75C6C33A"/>
    <w:multiLevelType w:val="hybridMultilevel"/>
    <w:lvl w:ilvl="0">
      <w:lvlJc w:val="left"/>
      <w:lvlText w:val="(%1)"/>
      <w:numFmt w:val="lowerLetter"/>
      <w:start w:val="7"/>
    </w:lvl>
  </w:abstractNum>
  <w:abstractNum w:abstractNumId="49">
    <w:nsid w:val="12E685FB"/>
    <w:multiLevelType w:val="hybridMultilevel"/>
    <w:lvl w:ilvl="0">
      <w:lvlJc w:val="left"/>
      <w:lvlText w:val="(%1)"/>
      <w:numFmt w:val="lowerLetter"/>
      <w:start w:val="10"/>
    </w:lvl>
    <w:lvl w:ilvl="1">
      <w:lvlJc w:val="left"/>
      <w:lvlText w:val="(%2)"/>
      <w:numFmt w:val="lowerRoman"/>
      <w:start w:val="1"/>
    </w:lvl>
  </w:abstractNum>
  <w:abstractNum w:abstractNumId="50">
    <w:nsid w:val="70C6A529"/>
    <w:multiLevelType w:val="hybridMultilevel"/>
    <w:lvl w:ilvl="0">
      <w:lvlJc w:val="left"/>
      <w:lvlText w:val="(%1)"/>
      <w:numFmt w:val="lowerRoman"/>
      <w:start w:val="2"/>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2019-12-06T11:15:41Z</dcterms:created>
  <dcterms:modified xsi:type="dcterms:W3CDTF">2019-12-06T11:15:41Z</dcterms:modified>
</cp:coreProperties>
</file>