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(RULE 14a-101)</w:t>
      </w:r>
    </w:p>
    <w:p>
      <w:pPr>
        <w:spacing w:after="0" w:line="5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5E6266"/>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380" w:firstLine="8"/>
        <w:spacing w:after="0" w:line="216" w:lineRule="exact"/>
        <w:tabs>
          <w:tab w:leader="none" w:pos="3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5E6266"/>
        </w:rPr>
        <w:t>☑</w:t>
      </w:r>
      <w:r>
        <w:rPr>
          <w:rFonts w:ascii="Arial" w:cs="Arial" w:eastAsia="Arial" w:hAnsi="Arial"/>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INTEGRA LIFESCIENCES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Registrant)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5E6266"/>
        </w:rPr>
      </w:pPr>
      <w:r>
        <w:rPr>
          <w:rFonts w:ascii="Arial" w:cs="Arial" w:eastAsia="Arial" w:hAnsi="Arial"/>
          <w:sz w:val="18"/>
          <w:szCs w:val="18"/>
          <w:color w:val="auto"/>
        </w:rPr>
        <w:t>No fee required.</w:t>
      </w:r>
    </w:p>
    <w:p>
      <w:pPr>
        <w:spacing w:after="0" w:line="90"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0-12.</w:t>
      </w:r>
    </w:p>
    <w:p>
      <w:pPr>
        <w:spacing w:after="0" w:line="90" w:lineRule="exact"/>
        <w:rPr>
          <w:rFonts w:ascii="MS PGothic" w:cs="MS PGothic" w:eastAsia="MS PGothic" w:hAnsi="MS PGothic"/>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00" w:right="20" w:hanging="454"/>
        <w:spacing w:after="0" w:line="268"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340" w:hanging="332"/>
        <w:spacing w:after="0" w:line="268"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0" w:lineRule="exact"/>
        <w:rPr>
          <w:rFonts w:ascii="MS PGothic" w:cs="MS PGothic" w:eastAsia="MS PGothic" w:hAnsi="MS PGothic"/>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-2938145</wp:posOffset>
            </wp:positionV>
            <wp:extent cx="6740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-2638425</wp:posOffset>
            </wp:positionV>
            <wp:extent cx="6740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-2209165</wp:posOffset>
            </wp:positionV>
            <wp:extent cx="6740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-1909445</wp:posOffset>
            </wp:positionV>
            <wp:extent cx="6740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-1609090</wp:posOffset>
            </wp:positionV>
            <wp:extent cx="6740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-803275</wp:posOffset>
            </wp:positionV>
            <wp:extent cx="6740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-502920</wp:posOffset>
            </wp:positionV>
            <wp:extent cx="6740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-202565</wp:posOffset>
            </wp:positionV>
            <wp:extent cx="674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88265</wp:posOffset>
            </wp:positionV>
            <wp:extent cx="6740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497205</wp:posOffset>
            </wp:positionV>
            <wp:extent cx="160337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ON MAY 17,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3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NOTICE IS HEREBY GIVEN that the 2012 Annual Meeting of Stockholders (the “Meeting”) of Integra LifeSciences Holdings Corporation (the “Company”) will be held as, and for the purposes, set forth below:</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9:00 a.m. local time on Thursday, May 17, 2012</w:t>
      </w:r>
    </w:p>
    <w:p>
      <w:pPr>
        <w:spacing w:after="0" w:line="180"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Integra LifeSciences Holdings Corporation Corporate Headquarters, 315 Enterprise Drive, Plainsboro, New Jersey 08536</w:t>
      </w:r>
    </w:p>
    <w:p>
      <w:pPr>
        <w:spacing w:after="0" w:line="192"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ITEMS OF BUSINESS</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1. To elect ten directors of the Company to serve until the next annual meeting of stockholders and until their successors are duly elected and qualified.</w:t>
      </w:r>
    </w:p>
    <w:p>
      <w:pPr>
        <w:spacing w:after="0" w:line="105"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ind w:left="2860" w:right="20"/>
        <w:spacing w:after="0" w:line="268" w:lineRule="auto"/>
        <w:rPr>
          <w:sz w:val="20"/>
          <w:szCs w:val="20"/>
          <w:color w:val="auto"/>
        </w:rPr>
      </w:pPr>
      <w:r>
        <w:rPr>
          <w:rFonts w:ascii="Arial" w:cs="Arial" w:eastAsia="Arial" w:hAnsi="Arial"/>
          <w:sz w:val="18"/>
          <w:szCs w:val="18"/>
          <w:color w:val="auto"/>
        </w:rPr>
        <w:t>2. To ratify the appointment of PricewaterhouseCoopers LLP as the Company’s independent registered public accounting firm for the fiscal year 2012.</w:t>
      </w:r>
    </w:p>
    <w:p>
      <w:pPr>
        <w:spacing w:after="0" w:line="10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3. To vote on a non-binding resolution to approve the compensation of our named executive officers.</w:t>
      </w:r>
    </w:p>
    <w:p>
      <w:pPr>
        <w:spacing w:after="0" w:line="144"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4. To act upon any other matters properly coming before the meeting or any adjournment or postponement thereof.</w:t>
      </w:r>
    </w:p>
    <w:p>
      <w:pPr>
        <w:sectPr>
          <w:pgSz w:w="11900" w:h="16838" w:orient="portrait"/>
          <w:cols w:equalWidth="0" w:num="1">
            <w:col w:w="11400"/>
          </w:cols>
          <w:pgMar w:left="240" w:top="459" w:right="25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of record of the Company’s common stock at the close of business on March 30, 2012 are entitled to notice of, and to vote at, the Meeting and any adjournment or postponement thereof. A complete list of stockholders entitled to vote at the Meeting will be available for inspection by any stockholder for any purpose germane to the Meeting for ten days prior to the Meeting during ordinary business hours at the Company’s headquarters located at 311 Enterprise Drive, Plainsboro, New Jersey.</w:t>
      </w:r>
    </w:p>
    <w:p>
      <w:pPr>
        <w:spacing w:after="0" w:line="116"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ANNUAL REPORT</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The 2011 Annual Report of Integra LifeSciences Holdings Corporation is being mailed simultaneously herewith. The Annual Report is not to be considered part of the proxy solicitation materials.</w:t>
      </w:r>
    </w:p>
    <w:p>
      <w:pPr>
        <w:spacing w:after="0" w:line="105"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IMPORTANT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113"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ind w:left="5720"/>
        <w:spacing w:after="0"/>
        <w:rPr>
          <w:sz w:val="20"/>
          <w:szCs w:val="20"/>
          <w:color w:val="auto"/>
        </w:rPr>
      </w:pPr>
      <w:r>
        <w:rPr>
          <w:rFonts w:ascii="Arial" w:cs="Arial" w:eastAsia="Arial" w:hAnsi="Arial"/>
          <w:sz w:val="16"/>
          <w:szCs w:val="16"/>
          <w:color w:val="auto"/>
        </w:rPr>
        <w:t>By order of the Board of Directors,</w:t>
      </w:r>
    </w:p>
    <w:p>
      <w:pPr>
        <w:sectPr>
          <w:pgSz w:w="11900" w:h="16838" w:orient="portrait"/>
          <w:cols w:equalWidth="0" w:num="1">
            <w:col w:w="11400"/>
          </w:cols>
          <w:pgMar w:left="240" w:top="459" w:right="259" w:bottom="1440" w:gutter="0" w:footer="0" w:header="0"/>
          <w:type w:val="continuous"/>
        </w:sectPr>
      </w:pPr>
    </w:p>
    <w:p>
      <w:pPr>
        <w:spacing w:after="0" w:line="35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Richard D. Gorelick</w:t>
      </w:r>
    </w:p>
    <w:p>
      <w:pPr>
        <w:spacing w:after="0" w:line="140" w:lineRule="exact"/>
        <w:rPr>
          <w:sz w:val="20"/>
          <w:szCs w:val="20"/>
          <w:color w:val="auto"/>
        </w:rPr>
      </w:pPr>
    </w:p>
    <w:p>
      <w:pPr>
        <w:sectPr>
          <w:pgSz w:w="11900" w:h="16838" w:orient="portrait"/>
          <w:cols w:equalWidth="0" w:num="2">
            <w:col w:w="6060" w:space="180"/>
            <w:col w:w="5160"/>
          </w:cols>
          <w:pgMar w:left="240" w:top="459" w:right="259" w:bottom="1440" w:gutter="0" w:footer="0" w:header="0"/>
          <w:type w:val="continuous"/>
        </w:sectPr>
      </w:pPr>
    </w:p>
    <w:p>
      <w:pPr>
        <w:ind w:left="59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5"/>
          <w:szCs w:val="15"/>
          <w:i w:val="1"/>
          <w:iCs w:val="1"/>
          <w:color w:val="auto"/>
        </w:rPr>
        <w:t>Senior Vice President, General Counsel,</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13, 2012</w:t>
      </w:r>
    </w:p>
    <w:p>
      <w:pPr>
        <w:sectPr>
          <w:pgSz w:w="11900" w:h="16838" w:orient="portrait"/>
          <w:cols w:equalWidth="0" w:num="1">
            <w:col w:w="11400"/>
          </w:cols>
          <w:pgMar w:left="240" w:top="459"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SEC rules changed how shares held in brokerage accounts are voted in director elections. If you do not vote your shares on the Election of Directors, your brokerage firm may not vote them for you; your shares will remain unvoted. Previously, if your brokerage firm did not receive instructions from you, they were permitted to vote your shares for you in director elections.</w:t>
      </w:r>
    </w:p>
    <w:p>
      <w:pPr>
        <w:spacing w:after="0" w:line="1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120"/>
          </w:cols>
          <w:pgMar w:left="24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gridSpan w:val="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59"/>
        </w:trPr>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Purpose</w:t>
              </w:r>
            </w:hyperlink>
          </w:p>
        </w:tc>
        <w:tc>
          <w:tcPr>
            <w:tcW w:w="8320" w:type="dxa"/>
            <w:vAlign w:val="bottom"/>
            <w:gridSpan w:val="24"/>
          </w:tcPr>
          <w:p>
            <w:pPr>
              <w:spacing w:after="0"/>
              <w:rPr>
                <w:sz w:val="22"/>
                <w:szCs w:val="22"/>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Record Date</w:t>
              </w:r>
            </w:hyperlink>
          </w:p>
        </w:tc>
        <w:tc>
          <w:tcPr>
            <w:tcW w:w="8000" w:type="dxa"/>
            <w:vAlign w:val="bottom"/>
            <w:gridSpan w:val="2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Voting and Revocability of Proxies</w:t>
              </w:r>
            </w:hyperlink>
          </w:p>
        </w:tc>
        <w:tc>
          <w:tcPr>
            <w:tcW w:w="64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Proposal 1: Election of Directors</w:t>
              </w:r>
            </w:hyperlink>
          </w:p>
        </w:tc>
        <w:tc>
          <w:tcPr>
            <w:tcW w:w="658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6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Information Concerning Meetings, Executive Sessions and Certain Committees</w:t>
              </w:r>
            </w:hyperlink>
          </w:p>
        </w:tc>
        <w:tc>
          <w:tcPr>
            <w:tcW w:w="33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Director Qualifications</w:t>
              </w:r>
            </w:hyperlink>
          </w:p>
        </w:tc>
        <w:tc>
          <w:tcPr>
            <w:tcW w:w="726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Board’s Role in Risk Oversight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Assessment Regarding Compensation Policies and Practices</w:t>
              </w:r>
            </w:hyperlink>
          </w:p>
        </w:tc>
        <w:tc>
          <w:tcPr>
            <w:tcW w:w="428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Director Attendance at Annual Meetings: Shareholder Communications with Directors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Information About Executive Officers</w:t>
              </w:r>
            </w:hyperlink>
          </w:p>
        </w:tc>
        <w:tc>
          <w:tcPr>
            <w:tcW w:w="3400" w:type="dxa"/>
            <w:vAlign w:val="bottom"/>
            <w:tcBorders>
              <w:top w:val="single" w:sz="8" w:color="0000EE"/>
            </w:tcBorders>
            <w:gridSpan w:val="10"/>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3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Proposal 2: Ratification of Independent Registered Public Accounting Firm</w:t>
              </w:r>
            </w:hyperlink>
          </w:p>
        </w:tc>
        <w:tc>
          <w:tcPr>
            <w:tcW w:w="35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Proposal 3: Advisory Vote on Executive Compensation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Compensation Discussion and Analysis</w:t>
              </w:r>
            </w:hyperlink>
          </w:p>
        </w:tc>
        <w:tc>
          <w:tcPr>
            <w:tcW w:w="1080" w:type="dxa"/>
            <w:vAlign w:val="bottom"/>
            <w:tcBorders>
              <w:top w:val="single" w:sz="8" w:color="0000EE"/>
            </w:tcBorders>
            <w:gridSpan w:val="2"/>
          </w:tcPr>
          <w:p>
            <w:pPr>
              <w:spacing w:after="0"/>
              <w:rPr>
                <w:sz w:val="17"/>
                <w:szCs w:val="17"/>
                <w:color w:val="auto"/>
              </w:rPr>
            </w:pPr>
          </w:p>
        </w:tc>
        <w:tc>
          <w:tcPr>
            <w:tcW w:w="50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Compensation of Executive Officers</w:t>
              </w:r>
            </w:hyperlink>
          </w:p>
        </w:tc>
        <w:tc>
          <w:tcPr>
            <w:tcW w:w="632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Director Compensation</w:t>
              </w:r>
            </w:hyperlink>
          </w:p>
        </w:tc>
        <w:tc>
          <w:tcPr>
            <w:tcW w:w="724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Equity Compensation Plan Information</w:t>
              </w:r>
            </w:hyperlink>
          </w:p>
        </w:tc>
        <w:tc>
          <w:tcPr>
            <w:tcW w:w="612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Compensation Committee Interlocks and Insider Participation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Certain Relationships and Related Transactions</w:t>
              </w:r>
            </w:hyperlink>
          </w:p>
        </w:tc>
        <w:tc>
          <w:tcPr>
            <w:tcW w:w="1020" w:type="dxa"/>
            <w:vAlign w:val="bottom"/>
            <w:tcBorders>
              <w:top w:val="single" w:sz="8" w:color="0000EE"/>
            </w:tcBorders>
            <w:gridSpan w:val="3"/>
          </w:tcPr>
          <w:p>
            <w:pPr>
              <w:spacing w:after="0"/>
              <w:rPr>
                <w:sz w:val="17"/>
                <w:szCs w:val="17"/>
                <w:color w:val="auto"/>
              </w:rPr>
            </w:pPr>
          </w:p>
        </w:tc>
        <w:tc>
          <w:tcPr>
            <w:tcW w:w="45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Audit Committee Report</w:t>
              </w:r>
            </w:hyperlink>
          </w:p>
        </w:tc>
        <w:tc>
          <w:tcPr>
            <w:tcW w:w="714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Principal Stockholders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560" w:type="dxa"/>
            <w:vAlign w:val="bottom"/>
            <w:gridSpan w:val="15"/>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Section 16(a) Beneficial Ownership Reporting Compliance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41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Stockholder Proposals</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Matters</w:t>
              </w:r>
            </w:hyperlink>
          </w:p>
        </w:tc>
        <w:tc>
          <w:tcPr>
            <w:tcW w:w="730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17, 2012</w:t>
      </w:r>
    </w:p>
    <w:p>
      <w:pPr>
        <w:spacing w:after="0" w:line="70" w:lineRule="exact"/>
        <w:rPr>
          <w:sz w:val="20"/>
          <w:szCs w:val="20"/>
          <w:color w:val="auto"/>
        </w:rPr>
      </w:pPr>
    </w:p>
    <w:p>
      <w:pPr>
        <w:jc w:val="center"/>
        <w:ind w:left="260" w:right="192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17, 2012.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2012 Annual Meeting of Stockholders (the “Meeting”) and at any adjournments or postponements thereof. The Meeting will begin at 9:00 a.m. local time on Thursday, May 17, 2012 at the Company’s Corporate Headquarters, 315 Enterprise Drive, Plainsboro, New Jersey. We are first mailing this Proxy Statement, the Notice of Annual Meeting of Stockholders and the form of proxy to stockholders of the Company on or about April 13, 2012.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460" w:right="300" w:firstLine="443"/>
        <w:spacing w:after="0" w:line="268" w:lineRule="auto"/>
        <w:tabs>
          <w:tab w:leader="none" w:pos="1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ten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460" w:firstLine="443"/>
        <w:spacing w:after="0" w:line="268" w:lineRule="auto"/>
        <w:tabs>
          <w:tab w:leader="none" w:pos="11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2012 (see “Proposal 2. Ratification of Independent Registered Public Accounting Firm”); and</w:t>
      </w:r>
    </w:p>
    <w:p>
      <w:pPr>
        <w:spacing w:after="0" w:line="50" w:lineRule="exact"/>
        <w:rPr>
          <w:rFonts w:ascii="Arial" w:cs="Arial" w:eastAsia="Arial" w:hAnsi="Arial"/>
          <w:sz w:val="18"/>
          <w:szCs w:val="18"/>
          <w:color w:val="auto"/>
        </w:rPr>
      </w:pPr>
    </w:p>
    <w:p>
      <w:pPr>
        <w:ind w:left="460" w:right="860" w:firstLine="443"/>
        <w:spacing w:after="0" w:line="268" w:lineRule="auto"/>
        <w:tabs>
          <w:tab w:leader="none" w:pos="12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3. Advisory Vote on Executive Compensation”).</w:t>
      </w:r>
    </w:p>
    <w:p>
      <w:pPr>
        <w:spacing w:after="0" w:line="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March 30, 2012, the record date for the Meeting, 26,884,071 shares of our common stock were outstanding. Only holders of record of our common stock as of the close of business on the record date are entitled to notice of, and to vote at, the Meeting or at any adjournment or postponement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2012 fiscal year (Proposal 2). In all other instances, brokers and other shareowners of record who serve as nominees for a beneficial owner may not vote on a proposal without having voting instructions from the beneficial owner.</w:t>
      </w:r>
    </w:p>
    <w:p>
      <w:pPr>
        <w:spacing w:after="0" w:line="1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Board of Directors has nominated ten persons for election as directors who will serve until the next annual meeting of stockholders and until their successors are duly elected and qualified: Peter J. Arduini, Thomas J. Baltimore, Jr., Keith Bradley, Ph.D., Richard E. Caruso, Ph.D., Stuart M. Essig, Neal Moszkowski, Raymond G. Murphy, Christian S. Schade, James M. Sullivan and Anne M. VanLent, each of whom are currently directors of the Company.</w:t>
      </w:r>
    </w:p>
    <w:p>
      <w:pPr>
        <w:spacing w:after="0" w:line="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the Company’s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 Mr. Arduini is 47 years old.</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THOMAS J. BALTIMORE, JR. </w:t>
      </w:r>
      <w:r>
        <w:rPr>
          <w:rFonts w:ascii="Arial" w:cs="Arial" w:eastAsia="Arial" w:hAnsi="Arial"/>
          <w:sz w:val="16"/>
          <w:szCs w:val="16"/>
          <w:color w:val="auto"/>
        </w:rPr>
        <w:t>has been a director of the Company since March 2007. He serves as President and Chief Executive Officer and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RLJ Lodging Trust, a publicly-traded real estate investment trust that invests in hotels. He was President of RLJ Development, LLC (2000 to 2011) which he co-founded. Prior to 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holding various positions in the company, including Senior Director and Manager. Prior to his employment with Marriott, Mr. Baltimore was a staff auditor for Price Waterhouse. He also serves as a director for Prudential Financial, Inc., Duke Realty Corporation, the University of Virginia’s Jefferson Scholars Foundation and as a trustee of the University’s Darden School Foundation. Further, he is a member of the Hilton Hotel Corporation Owners’ Advisory Board, Marriot International National Association Board and the American Hotel &amp; Lodging Association Industry Real Estate Finance Advisory Council. He received a B.S. degree from the McIntire School of Commerce at the University of Virginia and an M.B.A. from the Colgate Darden Graduate School of Business Administration at the University of Virginia. Mr. Baltimore is 48 years old.</w:t>
      </w:r>
    </w:p>
    <w:p>
      <w:pPr>
        <w:spacing w:after="0" w:line="4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KEITH BRADLEY, PH.D. </w:t>
      </w:r>
      <w:r>
        <w:rPr>
          <w:rFonts w:ascii="Arial" w:cs="Arial" w:eastAsia="Arial" w:hAnsi="Arial"/>
          <w:sz w:val="18"/>
          <w:szCs w:val="18"/>
          <w:color w:val="auto"/>
        </w:rPr>
        <w:t>has been a director of the Company since 1992. Between 1996 and 2003, he was a director of Highway Insurance plc, an</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He previously served as a director and chair of North Star Capital Management Limited and GRS Financial Solutions Limited. Dr. Bradley is 67 years old.</w:t>
      </w:r>
    </w:p>
    <w:p>
      <w:pPr>
        <w:spacing w:after="0" w:line="66"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i w:val="1"/>
          <w:iCs w:val="1"/>
          <w:color w:val="auto"/>
        </w:rPr>
        <w:t xml:space="preserve">RICHARD E. CARUSO, PH.D. </w:t>
      </w:r>
      <w:r>
        <w:rPr>
          <w:rFonts w:ascii="Arial" w:cs="Arial" w:eastAsia="Arial" w:hAnsi="Arial"/>
          <w:sz w:val="16"/>
          <w:szCs w:val="16"/>
          <w:color w:val="auto"/>
        </w:rPr>
        <w:t>founded the Company in 1989 and served as the Company’s Chairman from March 1992 until January 2012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March 1992. Dr. Caruso is currently a member of The Provco Group, a venture and real estate investment company, an advisor to Quaker BioVentures, a medical venture capital financial investor, a member of the Board of Directors of Camel City Solar, LLC, a development stage solar energy company, a member of the Board of Directors of Diasome Pharmaceuticals, LLC, a start-up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company in which Quaker BioVentures is an investor, and an advisor to NewSpring Capital and ePlanet Ventures II, both diversified venture capital financial investors. Further, he serves as the Chief Executive Officer of Smart Personalized Medicine, LLC and President of Manage RightLite, LLC.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 Ph.D. degree from the London School of Economics, University of London (United Kingdom) and an honorary Ph.D. degree in medical engineering from Drexel University. Dr. Caruso is 68 years old.</w:t>
      </w:r>
    </w:p>
    <w:p>
      <w:pPr>
        <w:spacing w:after="0" w:line="37" w:lineRule="exact"/>
        <w:rPr>
          <w:sz w:val="20"/>
          <w:szCs w:val="20"/>
          <w:color w:val="auto"/>
        </w:rPr>
      </w:pPr>
    </w:p>
    <w:p>
      <w:pPr>
        <w:ind w:right="120" w:firstLine="456"/>
        <w:spacing w:after="0" w:line="301" w:lineRule="auto"/>
        <w:rPr>
          <w:sz w:val="20"/>
          <w:szCs w:val="20"/>
          <w:color w:val="auto"/>
        </w:rPr>
      </w:pPr>
      <w:r>
        <w:rPr>
          <w:rFonts w:ascii="Arial" w:cs="Arial" w:eastAsia="Arial" w:hAnsi="Arial"/>
          <w:sz w:val="15"/>
          <w:szCs w:val="15"/>
          <w:i w:val="1"/>
          <w:iCs w:val="1"/>
          <w:color w:val="auto"/>
        </w:rPr>
        <w:t xml:space="preserve">STUART M. ESSIG </w:t>
      </w:r>
      <w:r>
        <w:rPr>
          <w:rFonts w:ascii="Arial" w:cs="Arial" w:eastAsia="Arial" w:hAnsi="Arial"/>
          <w:sz w:val="15"/>
          <w:szCs w:val="15"/>
          <w:color w:val="auto"/>
        </w:rPr>
        <w:t>is Integra’s Executive Chairman of the Board of Directors. He has been our Executive Chairman since January 2012. He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from December 1997 until January 2012, and our President from December 1997 until November 2010. In addition, he has served as a director since he joined Integra in December 1997. Before joining Integra,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has chaired Audit, Compensation and Nominating and Governance Committees and served on the boards of several NASDAQ and NYSE listed companies ranging in size from several hundred million dollars to more than $15 billion in market capitalization. Mr. Essig currently serves on the Board of Directors of St. Jude Medical Corporation. From March 2005 until August 2008, he served on the Board of Directors of Zimmer Holdings, Inc., and from 1998 to 2002 he served on the Board of Directors of Vital Signs, Inc.</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Essig has also served on the executive committee, nominating and governance committee and as treasurer of ADVAMED, the Advanced Medical Technology Association. Mr. Essig is also involved in several non-profit charitable organizations, including from time to time having served on the boards of such organizations. Mr. Essig received an A.B. degree, and graduated with magna cum laude honors from the Woodrow Wilson School of Public and International Affairs at Princeton University and an M.B.A. and a Ph.D. degree in Financial Economics from the University of Chicago, Graduate School of Business. Mr. Essig is 50 years old.</w:t>
      </w:r>
    </w:p>
    <w:p>
      <w:pPr>
        <w:spacing w:after="0" w:line="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NEAL MOSZKOWSKI </w:t>
      </w:r>
      <w:r>
        <w:rPr>
          <w:rFonts w:ascii="Arial" w:cs="Arial" w:eastAsia="Arial" w:hAnsi="Arial"/>
          <w:sz w:val="16"/>
          <w:szCs w:val="16"/>
          <w:color w:val="auto"/>
        </w:rPr>
        <w:t>has been a director of the Company since 2006. He previously served as a director of the Company from March 1999 to May 2005.</w:t>
      </w:r>
      <w:r>
        <w:rPr>
          <w:rFonts w:ascii="Arial" w:cs="Arial" w:eastAsia="Arial" w:hAnsi="Arial"/>
          <w:sz w:val="16"/>
          <w:szCs w:val="16"/>
          <w:i w:val="1"/>
          <w:iCs w:val="1"/>
          <w:color w:val="auto"/>
        </w:rPr>
        <w:t xml:space="preserve"> </w:t>
      </w:r>
      <w:r>
        <w:rPr>
          <w:rFonts w:ascii="Arial" w:cs="Arial" w:eastAsia="Arial" w:hAnsi="Arial"/>
          <w:sz w:val="16"/>
          <w:szCs w:val="16"/>
          <w:color w:val="auto"/>
        </w:rPr>
        <w:t>He has been the Co-Chief Executive Officer of TowerBrook Capital Partners LP, an investment management firm, since 2005. Prior to joining TowerBrook, Mr. Moszkowski was Managing Director and Co-Head of Soros Private Equity, the private equity investment business of Soros Fund Management LLC, where he served since August 1998. From August 1993 to August 1998, Mr. Moszkowski worked for Goldman, Sachs &amp; Co. and affiliates, where he served as Vice President and Executive Director in the Principal Investment Area. Mr. Moszkowski also currently serves as a director of several privately owned companies. Mr. Moszkowski earned his B.A. with magna cum laude honors in Economics and History from Amherst College in 1988. In addition, he received his M.B.A. from the Stanford University Graduate School of Business in 1993. Mr. Moszkowski is 46 years old.</w:t>
      </w:r>
    </w:p>
    <w:p>
      <w:pPr>
        <w:spacing w:after="0" w:line="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64 years old.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has been Executive Vice President and Chief Financial Officer of Omthera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since September 2011. Omthera is a privately-held, emerging specialty pharmaceuticals company focusing on the clinical development of new therapies for dyslipidemia.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w:t>
      </w:r>
    </w:p>
    <w:p>
      <w:pPr>
        <w:spacing w:after="0" w:line="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as Chair of the Board of Trustees at Princeton Academy School. Mr. Schade received an A.B. degree from Princeton University, and received an M.B.A. from the Wharton School at the University of Pennsylvania. Mr. Schade is 51 years old.</w:t>
      </w:r>
    </w:p>
    <w:p>
      <w:pPr>
        <w:spacing w:after="0" w:line="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JAMES M. SULLIVAN </w:t>
      </w:r>
      <w:r>
        <w:rPr>
          <w:rFonts w:ascii="Arial" w:cs="Arial" w:eastAsia="Arial" w:hAnsi="Arial"/>
          <w:sz w:val="16"/>
          <w:szCs w:val="16"/>
          <w:color w:val="auto"/>
        </w:rPr>
        <w:t>has been a director of the Company since 1992. He is a Co-Founder of, and currently the Principal Advisor to, the Clover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Group. Between 1986 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68 years old.</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ANNE M. VANLENT </w:t>
      </w:r>
      <w:r>
        <w:rPr>
          <w:rFonts w:ascii="Arial" w:cs="Arial" w:eastAsia="Arial" w:hAnsi="Arial"/>
          <w:sz w:val="16"/>
          <w:szCs w:val="16"/>
          <w:color w:val="auto"/>
        </w:rPr>
        <w:t>has been a director of the Company since 2004. She is currently President of AMV Advisors, providing corporate strategy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consulting services to emerging growth life sciences companies. Ms. VanLent had been Executive Vice President and Chief Financial Officer of Barrier Therapeutics, Inc., a publicly traded pharmaceutical company that develops and markets prescription dermatology products, from May 2002 through April 2008.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and chair of the audit committee for Tranzyme Pharma, Inc., a NASDAQ-listed company. She was a director and chair of the audit committee of Penwest Pharmaceuticals Co., also a NASDAQ-listed company, until its sale to Endo Pharmaceuticals in the fall of 2010. Ms. VanLent received a B.A. degree in Physics from Mount Holyoke College. Ms. VanLent is 64 years old.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MEETINGS, EXECUTIVE SESSIONS AND CERTAIN COMMITTEES</w:t>
      </w:r>
    </w:p>
    <w:p>
      <w:pPr>
        <w:spacing w:after="0" w:line="96"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The Board of Directors held five regularly scheduled and two special meetings during 2011. The Company’s independent directors meet at least twice a year in executive session without management present. The Board of Directors has determined that all of the Company’s directors, except for Messrs. Arduini and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determination with respect to Dr. Caruso and</w:t>
      </w:r>
    </w:p>
    <w:p>
      <w:pPr>
        <w:spacing w:after="0" w:line="1"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Mr. Moszkowski, the Board of Directors considered that Dr. Caruso, Mr. Essig and Mr. Henneman, our Executive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 (i) that Mr. Essig serves without compensation on the Management Advisory Board of TowerBrook Capital Partners, LP and concluded that such relationship does not affect the independence of Mr. Moszkowski and (ii) that the Company pays insurance premiums to IronShore (of which TowerBrook Investors II (one of the TowerBrook funds) has an approximately 8% interest) for insurance policies obtained through a competitive bidding process and for which Mr. Moszkowski receives no compensation, and concluded that such relationship does not affect the independence of Mr. Moszkowski.</w:t>
      </w:r>
    </w:p>
    <w:p>
      <w:pPr>
        <w:spacing w:after="0" w:line="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6"/>
          <w:szCs w:val="16"/>
          <w:u w:val="single" w:color="auto"/>
          <w:color w:val="auto"/>
        </w:rPr>
        <w:t>www.integralife.com</w:t>
      </w:r>
      <w:r>
        <w:rPr>
          <w:rFonts w:ascii="Arial" w:cs="Arial" w:eastAsia="Arial" w:hAnsi="Arial"/>
          <w:sz w:val="16"/>
          <w:szCs w:val="16"/>
          <w:color w:val="auto"/>
        </w:rPr>
        <w:t xml:space="preserve"> through the “Investors Relations” link under the heading “Corporate Governance.” During 2011, each incumbent director attended in person or by teleconference at least 75% of the total number of meetings of the Board of Directors and of each committee of the Board of Directors on which he or she served.</w:t>
      </w:r>
    </w:p>
    <w:p>
      <w:pPr>
        <w:spacing w:after="0" w:line="32" w:lineRule="exact"/>
        <w:rPr>
          <w:sz w:val="20"/>
          <w:szCs w:val="20"/>
          <w:color w:val="auto"/>
        </w:rPr>
      </w:pPr>
    </w:p>
    <w:p>
      <w:pPr>
        <w:ind w:right="220" w:firstLine="456"/>
        <w:spacing w:after="0" w:line="283"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Ms. VanLent (chair), Mr. Murphy, Mr. Schade and Mr. Sullivan. The Committee met five</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2011.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VanLent, Mr. Murphy, Mr. Schade and Mr. Sullivan are “audit committee financial experts,” as defined under Item 407(d) of Regulation S-K, and that each of them is “financially sophisticated” in accordance with NASDAQ Stock Market listing standards.</w:t>
      </w:r>
    </w:p>
    <w:p>
      <w:pPr>
        <w:spacing w:after="0" w:line="57" w:lineRule="exact"/>
        <w:rPr>
          <w:sz w:val="20"/>
          <w:szCs w:val="20"/>
          <w:color w:val="auto"/>
        </w:rPr>
      </w:pPr>
    </w:p>
    <w:p>
      <w:pPr>
        <w:ind w:left="460"/>
        <w:spacing w:after="0"/>
        <w:tabs>
          <w:tab w:leader="none" w:pos="4280" w:val="left"/>
        </w:tabs>
        <w:rPr>
          <w:sz w:val="20"/>
          <w:szCs w:val="20"/>
          <w:color w:val="auto"/>
        </w:rPr>
      </w:pPr>
      <w:r>
        <w:rPr>
          <w:rFonts w:ascii="Arial" w:cs="Arial" w:eastAsia="Arial" w:hAnsi="Arial"/>
          <w:sz w:val="18"/>
          <w:szCs w:val="18"/>
          <w:i w:val="1"/>
          <w:iCs w:val="1"/>
          <w:color w:val="auto"/>
        </w:rPr>
        <w:t>Nominating and Corporate Governance Committee.</w:t>
      </w:r>
      <w:r>
        <w:rPr>
          <w:sz w:val="20"/>
          <w:szCs w:val="20"/>
          <w:color w:val="auto"/>
        </w:rPr>
        <w:tab/>
      </w:r>
      <w:r>
        <w:rPr>
          <w:rFonts w:ascii="Arial" w:cs="Arial" w:eastAsia="Arial" w:hAnsi="Arial"/>
          <w:sz w:val="15"/>
          <w:szCs w:val="15"/>
          <w:color w:val="auto"/>
        </w:rPr>
        <w:t>The members of the Nominating and Corporate Governance Committee are Dr. Bradley,</w:t>
      </w:r>
    </w:p>
    <w:p>
      <w:pPr>
        <w:spacing w:after="0" w:line="1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Mr. Moszkowski and Mr. Sullivan (chair). The Committee met six times in 2011.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3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Administration and Secretary.</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Bradley (chair), Mr. Baltimore and Mr. Moszkowski.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met nine times in 2011.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the Company’s 1998 Stock Option Plan (which expired in February 2008), the Company’s 1999 Stock Option Plan (which expired in February 2009)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17, 2011.</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Annual Review of Compensation,” the Compensation Committee approves the compensation of these officers, taking into consideration the recommendations of the Chief Executive Officer.</w:t>
      </w:r>
    </w:p>
    <w:p>
      <w:pPr>
        <w:spacing w:after="0" w:line="62" w:lineRule="exact"/>
        <w:rPr>
          <w:sz w:val="20"/>
          <w:szCs w:val="20"/>
          <w:color w:val="auto"/>
        </w:rPr>
      </w:pPr>
    </w:p>
    <w:p>
      <w:pPr>
        <w:ind w:right="400" w:firstLine="456"/>
        <w:spacing w:after="0" w:line="305" w:lineRule="auto"/>
        <w:rPr>
          <w:sz w:val="20"/>
          <w:szCs w:val="20"/>
          <w:color w:val="auto"/>
        </w:rPr>
      </w:pPr>
      <w:r>
        <w:rPr>
          <w:rFonts w:ascii="Arial" w:cs="Arial" w:eastAsia="Arial" w:hAnsi="Arial"/>
          <w:sz w:val="15"/>
          <w:szCs w:val="15"/>
          <w:color w:val="auto"/>
        </w:rPr>
        <w:t>During 2012, the Compensation Committee of the Board of Directors engaged Towers Watson to provide consulting services on (i) the Compensation Discussion and Analysis, Say on Pay proposal and the Summary of Potential Payments table in this proxy statement, (ii) the design of a bonus program for</w:t>
      </w:r>
    </w:p>
    <w:p>
      <w:pPr>
        <w:ind w:right="80"/>
        <w:spacing w:after="0" w:line="288" w:lineRule="auto"/>
        <w:rPr>
          <w:sz w:val="20"/>
          <w:szCs w:val="20"/>
          <w:color w:val="auto"/>
        </w:rPr>
      </w:pPr>
      <w:r>
        <w:rPr>
          <w:rFonts w:ascii="Arial" w:cs="Arial" w:eastAsia="Arial" w:hAnsi="Arial"/>
          <w:sz w:val="16"/>
          <w:szCs w:val="16"/>
          <w:color w:val="auto"/>
        </w:rPr>
        <w:t>Mr. Arduini for 2012 and (iii) the burn rate and overhang analysis relating to our equity incentive plans. During 2011, the Compensation Committee of the Board of Directors engaged Towers Watson to provide consulting services on (i) the Compensation Discussion and Analysis and Say on Pay proposal, as well as the Summary of Potential Payments table in the 2011 proxy statement, (ii) a review of the compensation of our top three executive officers, (iii) the extension of the employment agreement with Mr. Essig and (iv) the amended and restated employment agreement for Mr. Arduini. During 2010, the Compensation Committee engaged Towers Watson to advise it in connection with a review of the Company’s 2003 Equity Incentive Plan. In addition, during 2010, the Compensation Committee engaged Towers Watson to advise it in connection with the Company’s employment agreement with Mr. Arduini, the extension of the employment agreement with Mr. Henneman and a review of non-employee director compensation.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32"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In identifying appropriate candidates to serve as directors, the Board believes that individuals with experience as chief executive officers or chief financial officers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may work together with the rest of the Board in serving the Company and its stockholders. Each of our Board members has particular attributes, skills and experiences that contribute to a well-rounded Board.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describe below the particular experiences, qualifications, attributes or skills that led the Board to conclude that each of our directors should serve as a member of our Board.</w:t>
      </w:r>
    </w:p>
    <w:p>
      <w:pPr>
        <w:spacing w:after="0" w:line="5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Mr. Arduini has served as our President and Chief Executive Officer and as a director since January 2012. He joined the Company in November 2010 as President and Chief Operating Officer.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years with Procter and Gamble in sales and marketing. The Board greatly values his significant experience and knowledge of the medical device and life sciences industries with a public company, leadership skills, operating international and human resources experience and business acumen.</w:t>
      </w:r>
    </w:p>
    <w:p>
      <w:pPr>
        <w:spacing w:after="0" w:line="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Mr. Baltimore has been the President and Chief Executive Officer and a director of RLJ Lodging Trust, a publicly-traded real estate investment trust that invests in hotels since 2011. He was formerly the President of RLJ Development, LLC, a privately-held real estate investment company which he co-founded in 2000 and which had almost $2 billion in equity under his management. Prior to that time, he worked at Hilton Hotels and Marriott Corporation holding various leadership positions. Before Marriott, he was a staff auditor for Price Waterhouse. He also serves as a director for Prudential Financial, Duke Realty and the University of Virginia (Darden School and Jefferson Scholars Foundation). The Board believes that his business acumen, leadership skills, leadership and management experience with a public company, business development and financing experience provide valuable insight to the Board.</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6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Dr. Caruso founded the Company in 1989 and served as the Company’s Chairman of the Board of Directors from March 1992 until January 2012 and as a director since March 1992. As a result, he has significant experience with, and knowledge of, the Company, its operations, products and history. He currently is a member of The Provco Group, a venture and real estate investment company, and is an advisor to several funds that invest in life sciences companies. The Board believes that it benefits greatly by having a director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6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indicated below under “Board Leadership Structure,” Mr. Essig has served as Executive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St. Jude Medical Corporation, a NYSE-listed company. Previously he served on the board of directors of Zimmer Holdings, Inc., a NYSE-listed medical device company, and ADVAMED, a trade association that represents the medical device industry. Mr.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3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Mr. Moszkowski has been Co-Chief Executive Officer of TowerBrook Capital Partners, LP, an investment management firm which manages approximately $5 billion of investments, since 2005. He also served in leadership positions at another private equity investment business and at Goldman, Sachs &amp; Co. and affiliates and as a board member of Wellcare Health Plans, Inc. and Bluefly, Inc., each of which is a public company, and currently serves as a board member of several private companies. The Board greatly values his leadership and risk assessment skills, business acumen, company management, governance and financial, strategic and executive compensation expertise, as well as his outside board experience, including experience with life sciences and medical device companies.</w:t>
      </w:r>
    </w:p>
    <w:p>
      <w:pPr>
        <w:spacing w:after="0" w:line="1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Schade has been Executive Vice President and Chief Financial Officer of Omthera Pharmaceuticals, Inc., a privately-held, emerging specialty pharmaceuticals company, since September 2011.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35"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Ms. VanLent is the President of AMV Advisors, providing corporate strategy and financial consulting services to emerging growth life sciences companies. Ms. VanLent also served as the Chief Financial Officer of Barrier Therapeutics, Inc., a publicly traded pharmaceutical company, and Executive Vice President of Sarnoff Corporation, a multidisciplinary research and development firm, and as Senior Vice President and Chief Financial Officer of The Lipsome Company, a publicly traded biopharmaceutical company. Her leadership and corporate management skills, her expertise in financial matters, accounting, corporate strategy and compliance expertise, her knowledge of and experience with the life sciences industry, as well as her public company and outside board experience, including serving as a director and chair of the audit committee for Tranzyme Pharma, Inc., a NASDAQ-listed company, make her a highly valued member of the Board.</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currently has ten members of the Board of Directors, who will serve until the next annual meeting of stockholders and until their successors are duly elected and qualified. The current directors are Peter J. Arduini, Thomas J. Baltimore, Jr., Keith Bradley, Ph.D., Richard E. Caruso, Ph.D., Stuart M. Essig, Neal Moszkowski, Raymond G. Murphy, Christian S. Schade, James M. Sullivan and Anne M. VanLent. All current members of the Board are nominees for election to the Board at the 2012 annual meeting of stockholders.</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a separate chairman position as putting the Company in the best position to oversee all executives of the Company and set a pro-shareholder agenda without the management conflicts that a CEO or other executive insiders might face. This, in turn, leads to a more effective board of directors. As a result, we believe that it is a good corporate governance practice to have separate Chairman and Chief Executive Officer positions.</w:t>
      </w:r>
    </w:p>
    <w:p>
      <w:pPr>
        <w:spacing w:after="0" w:line="3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Stuart M. Essig has served as Executive Chairman of the Board of Directors since January 2012 and has been a director since 1997. He served as both President and Chief Executive Officer from 1997 to 2010 and then as CEO from 2010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Board of Directors appointed Mr. Sullivan Presiding Director, effective as of May 17, 2012. He has been a director since 1992. Accordingly, he has significant experience with, and knowledge of, the Company,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operations, products and history. We believe that we will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directors that the Nominating and Corporate Governance Committee considered relevant in nominating them and “Proposal 1. Election of Directors” for each director’s biographical information.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believe that the size of the Board and Board Committees is appropriate, given the size, nature, structure and complexity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believe that our Board leadership structure described above is appropriate at this time.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and treasury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2012 incentive compensation programs (which cover the executive officers and certain other employees in the United States, Australia, Canada, Europe, New Zealand, Asia Pacific and Latin America regions and Puerto Rico) and presented a detailed report to the Board on this subject at its February 2012 meeting. The Compensation Committee reviewed management’s report on the review and assessment of such compensation programs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39"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Recently, management presented a detailed report to the Board at its February 2012 meeting on the Company’s processes in place for assessing and addressing risks, providing periodic reports on compliance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regimens and reporting material information to the Board. This report assisted the Board in its evaluation of the Company’s risk management practices.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Finance Department and the internal audit team meet with our senior executive team annually to determine whether there is a need to conduct a formal enterprise risk assessment for the Company. This assessment would involve many members of management and solicit management’s views of all the business risks facing the Company. Management would report to, and discuss with, the Board the results of this enterprise risk assessment. This annual discussion, along with our annual processes for creating and reviewing with the Board our strategic plan and our budget,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w:t>
      </w:r>
    </w:p>
    <w:p>
      <w:pPr>
        <w:spacing w:after="0" w:line="19" w:lineRule="exact"/>
        <w:rPr>
          <w:sz w:val="20"/>
          <w:szCs w:val="20"/>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between annual and longer-term performance opportunities;</w:t>
      </w:r>
    </w:p>
    <w:p>
      <w:pPr>
        <w:spacing w:after="0" w:line="90" w:lineRule="exact"/>
        <w:rPr>
          <w:rFonts w:ascii="Arial" w:cs="Arial" w:eastAsia="Arial" w:hAnsi="Arial"/>
          <w:sz w:val="18"/>
          <w:szCs w:val="18"/>
          <w:color w:val="auto"/>
        </w:rPr>
      </w:pPr>
    </w:p>
    <w:p>
      <w:pPr>
        <w:ind w:left="700" w:right="260" w:hanging="246"/>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700" w:right="80" w:hanging="246"/>
        <w:spacing w:after="0" w:line="33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 and</w:t>
      </w:r>
    </w:p>
    <w:p>
      <w:pPr>
        <w:spacing w:after="0" w:line="4" w:lineRule="exact"/>
        <w:rPr>
          <w:rFonts w:ascii="Arial" w:cs="Arial" w:eastAsia="Arial" w:hAnsi="Arial"/>
          <w:sz w:val="16"/>
          <w:szCs w:val="16"/>
          <w:color w:val="auto"/>
        </w:rPr>
      </w:pPr>
    </w:p>
    <w:p>
      <w:pPr>
        <w:ind w:left="700" w:right="500" w:hanging="246"/>
        <w:spacing w:after="0" w:line="26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ownership guidelines that are reasonable and align the interests of the executive officers with those of our stockholders while discouraging executive officers from focusing on short-term results without regard for longer-term consequences.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conducting this review, we considered the following attributes of our programs: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 considered the risk implications of our compensation practices during its deliberations on the design of our 2012 executive compensation programs, with the goal of appropriately balancing short-term incentives and long-term performance.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Eight of our then-nine incumbent directors attended the 2011 Annual Meeting of Stockholders.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Administration and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5"/>
              </w:rPr>
              <w:t>Age</w:t>
            </w:r>
          </w:p>
        </w:tc>
        <w:tc>
          <w:tcPr>
            <w:tcW w:w="314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Position</w:t>
            </w:r>
          </w:p>
        </w:tc>
        <w:tc>
          <w:tcPr>
            <w:tcW w:w="2920" w:type="dxa"/>
            <w:vAlign w:val="bottom"/>
          </w:tcPr>
          <w:p>
            <w:pPr>
              <w:spacing w:after="0"/>
              <w:rPr>
                <w:sz w:val="15"/>
                <w:szCs w:val="15"/>
                <w:color w:val="auto"/>
              </w:rPr>
            </w:pPr>
          </w:p>
        </w:tc>
      </w:tr>
      <w:tr>
        <w:trPr>
          <w:trHeight w:val="181"/>
        </w:trPr>
        <w:tc>
          <w:tcPr>
            <w:tcW w:w="380" w:type="dxa"/>
            <w:vAlign w:val="bottom"/>
          </w:tcPr>
          <w:p>
            <w:pPr>
              <w:spacing w:after="0" w:line="182" w:lineRule="exact"/>
              <w:rPr>
                <w:sz w:val="20"/>
                <w:szCs w:val="20"/>
                <w:color w:val="auto"/>
              </w:rPr>
            </w:pPr>
            <w:r>
              <w:rPr>
                <w:rFonts w:ascii="Arial" w:cs="Arial" w:eastAsia="Arial" w:hAnsi="Arial"/>
                <w:sz w:val="18"/>
                <w:szCs w:val="18"/>
                <w:color w:val="auto"/>
                <w:w w:val="74"/>
              </w:rPr>
              <w:t>Stuart</w:t>
            </w:r>
          </w:p>
        </w:tc>
        <w:tc>
          <w:tcPr>
            <w:tcW w:w="4040" w:type="dxa"/>
            <w:vAlign w:val="bottom"/>
          </w:tcPr>
          <w:p>
            <w:pPr>
              <w:ind w:left="100"/>
              <w:spacing w:after="0" w:line="182" w:lineRule="exact"/>
              <w:rPr>
                <w:sz w:val="20"/>
                <w:szCs w:val="20"/>
                <w:color w:val="auto"/>
              </w:rPr>
            </w:pPr>
            <w:r>
              <w:rPr>
                <w:rFonts w:ascii="Arial" w:cs="Arial" w:eastAsia="Arial" w:hAnsi="Arial"/>
                <w:sz w:val="18"/>
                <w:szCs w:val="18"/>
                <w:color w:val="auto"/>
              </w:rPr>
              <w:t>M. Essig</w:t>
            </w: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50</w:t>
            </w:r>
          </w:p>
        </w:tc>
        <w:tc>
          <w:tcPr>
            <w:tcW w:w="220" w:type="dxa"/>
            <w:vAlign w:val="bottom"/>
          </w:tcPr>
          <w:p>
            <w:pPr>
              <w:spacing w:after="0"/>
              <w:rPr>
                <w:sz w:val="15"/>
                <w:szCs w:val="15"/>
                <w:color w:val="auto"/>
              </w:rPr>
            </w:pPr>
          </w:p>
        </w:tc>
        <w:tc>
          <w:tcPr>
            <w:tcW w:w="3620" w:type="dxa"/>
            <w:vAlign w:val="bottom"/>
            <w:gridSpan w:val="2"/>
          </w:tcPr>
          <w:p>
            <w:pPr>
              <w:ind w:left="220"/>
              <w:spacing w:after="0" w:line="182" w:lineRule="exact"/>
              <w:rPr>
                <w:sz w:val="20"/>
                <w:szCs w:val="20"/>
                <w:color w:val="auto"/>
              </w:rPr>
            </w:pPr>
            <w:r>
              <w:rPr>
                <w:rFonts w:ascii="Arial" w:cs="Arial" w:eastAsia="Arial" w:hAnsi="Arial"/>
                <w:sz w:val="18"/>
                <w:szCs w:val="18"/>
                <w:color w:val="auto"/>
                <w:w w:val="93"/>
              </w:rPr>
              <w:t>Executive Chairman of the Board of Directors</w:t>
            </w:r>
          </w:p>
        </w:tc>
        <w:tc>
          <w:tcPr>
            <w:tcW w:w="2920" w:type="dxa"/>
            <w:vAlign w:val="bottom"/>
          </w:tcPr>
          <w:p>
            <w:pPr>
              <w:spacing w:after="0" w:line="182" w:lineRule="exact"/>
              <w:rPr>
                <w:sz w:val="20"/>
                <w:szCs w:val="20"/>
                <w:color w:val="auto"/>
              </w:rPr>
            </w:pPr>
            <w:r>
              <w:rPr>
                <w:rFonts w:ascii="Arial" w:cs="Arial" w:eastAsia="Arial" w:hAnsi="Arial"/>
                <w:sz w:val="18"/>
                <w:szCs w:val="18"/>
                <w:color w:val="auto"/>
                <w:w w:val="88"/>
              </w:rPr>
              <w:t>(formerly our Chief Executive Officer until</w:t>
            </w:r>
          </w:p>
        </w:tc>
      </w:tr>
      <w:tr>
        <w:trPr>
          <w:trHeight w:val="216"/>
        </w:trPr>
        <w:tc>
          <w:tcPr>
            <w:tcW w:w="3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rPr>
              <w:t>January 2012)</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47</w:t>
            </w: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w w:val="99"/>
              </w:rPr>
              <w:t>President and Chief Executive Officer (formerly our Chief Operating Officer until</w:t>
            </w:r>
          </w:p>
        </w:tc>
      </w:tr>
      <w:tr>
        <w:trPr>
          <w:trHeight w:val="216"/>
        </w:trPr>
        <w:tc>
          <w:tcPr>
            <w:tcW w:w="3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rPr>
              <w:t>January 2012)</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John B. Henneman, III</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50</w:t>
            </w: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w w:val="97"/>
              </w:rPr>
              <w:t>Executive Vice President, Finance and Administration, and Chief Financial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61</w:t>
            </w: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Regulatory Affairs and Quality Systems, and Corporate</w:t>
            </w:r>
          </w:p>
        </w:tc>
      </w:tr>
      <w:tr>
        <w:trPr>
          <w:trHeight w:val="216"/>
        </w:trPr>
        <w:tc>
          <w:tcPr>
            <w:tcW w:w="3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rPr>
              <w:t>Compliance Officer</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Jerry E. Corbin</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w:t>
            </w:r>
          </w:p>
        </w:tc>
        <w:tc>
          <w:tcPr>
            <w:tcW w:w="6540" w:type="dxa"/>
            <w:vAlign w:val="bottom"/>
            <w:gridSpan w:val="3"/>
          </w:tcPr>
          <w:p>
            <w:pPr>
              <w:ind w:left="220"/>
              <w:spacing w:after="0"/>
              <w:rPr>
                <w:sz w:val="20"/>
                <w:szCs w:val="20"/>
                <w:color w:val="auto"/>
              </w:rPr>
            </w:pPr>
            <w:r>
              <w:rPr>
                <w:rFonts w:ascii="Arial" w:cs="Arial" w:eastAsia="Arial" w:hAnsi="Arial"/>
                <w:sz w:val="18"/>
                <w:szCs w:val="18"/>
                <w:color w:val="auto"/>
              </w:rPr>
              <w:t>Vice President, Corporate Controller and Principal Accounting Officer</w:t>
            </w:r>
          </w:p>
        </w:tc>
      </w:tr>
    </w:tbl>
    <w:p>
      <w:pPr>
        <w:spacing w:after="0" w:line="75"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i w:val="1"/>
          <w:iCs w:val="1"/>
          <w:color w:val="auto"/>
        </w:rPr>
        <w:t xml:space="preserve">STUART M. ESSIG </w:t>
      </w:r>
      <w:r>
        <w:rPr>
          <w:rFonts w:ascii="Arial" w:cs="Arial" w:eastAsia="Arial" w:hAnsi="Arial"/>
          <w:sz w:val="15"/>
          <w:szCs w:val="15"/>
          <w:color w:val="auto"/>
        </w:rPr>
        <w:t>is Integra’s Executive Chairman of the Board of Directors. He has been our Executive Chairman since January 2012. He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from December 1997 until January 2012, and our President from December 1997 until November 2010. In addition, he has served as a director since he joined Integra in December 1997. Before joining Integra,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has chaired Audit, Compensation and Nominating and Governance Committees and served on the boards of several NASDAQ and NYSE listed companies ranging in size from several hundred million dollars to more than $15 billion in market capitalization. Mr. Essig currently serves on the Board of Directors of St. Jude Medical Corporation. From March 2005 until August 2008, he served on the Board of Directors of Zimmer Holdings, Inc., and from 1998 to 2002 he served on the Board of Directors of Vital Signs, Inc.</w:t>
      </w:r>
    </w:p>
    <w:p>
      <w:pPr>
        <w:spacing w:after="0" w:line="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Mr. Essig has also served on the executive committee, nominating and governance committee and as treasurer of ADVAMED, the Advanced Medical Technology Association. Mr. Essig is also involved in several non-profit charitable organizations, including from time to time having served on the boards of such organizations. Mr. Essig received an A.B. degree, and graduated with magna cum laude honors from the Woodrow Wilson School of Public and International Affairs at Princeton University and an M.B.A. and a Ph.D. degree in Financial Economics from the University of Chicago, Graduate School of Business.</w:t>
      </w:r>
    </w:p>
    <w:p>
      <w:pPr>
        <w:spacing w:after="0" w:line="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in April 2005, Mr. Arduini worked for General Electric Healthcare, where he spent much of his 15 years in a variety of management roles for domestic and global businesses. Prior to joining General Electric Healthcare, he spent four years with Procter &amp;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JOHN B. HENNEMAN, III </w:t>
      </w:r>
      <w:r>
        <w:rPr>
          <w:rFonts w:ascii="Arial" w:cs="Arial" w:eastAsia="Arial" w:hAnsi="Arial"/>
          <w:sz w:val="16"/>
          <w:szCs w:val="16"/>
          <w:color w:val="auto"/>
        </w:rPr>
        <w:t>is Integra’s Executive Vice President, Finance and Administration, and Chief Financial Officer. He is responsible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finance department, including accounting and financial reporting, budgeting, internal audit, tax, and treasury. In addition, he is responsible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systems, business development, the law department and investor relations. Mr. Henneman has been our Executive Vice President since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was our Chief Administrative Officer from February 2003 until May 13, 2008 and was Acting Chief Financial Officer from September 6, 2007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13, 2008. Mr. Henneman was our General Counsel from September 1998 until September 2000 and our Senior Vice President, Chief Administrative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Secretary from September 2000 until February 2003. Mr. Henneman received an A.B. degree from Princeton University and a J.D. from the University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Michigan Law School.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Senior Vice President of Regulatory Affairs and Quality Systems, and Corporate Compliance Officer. Ms. O’Grady</w:t>
      </w:r>
      <w:r>
        <w:rPr>
          <w:rFonts w:ascii="Arial" w:cs="Arial" w:eastAsia="Arial" w:hAnsi="Arial"/>
          <w:sz w:val="16"/>
          <w:szCs w:val="16"/>
          <w:i w:val="1"/>
          <w:iCs w:val="1"/>
          <w:color w:val="auto"/>
        </w:rPr>
        <w:t xml:space="preserve"> </w:t>
      </w:r>
      <w:r>
        <w:rPr>
          <w:rFonts w:ascii="Arial" w:cs="Arial" w:eastAsia="Arial" w:hAnsi="Arial"/>
          <w:sz w:val="16"/>
          <w:szCs w:val="16"/>
          <w:color w:val="auto"/>
        </w:rPr>
        <w:t>joined Integra in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JERRY E. CORBIN </w:t>
      </w:r>
      <w:r>
        <w:rPr>
          <w:rFonts w:ascii="Arial" w:cs="Arial" w:eastAsia="Arial" w:hAnsi="Arial"/>
          <w:sz w:val="16"/>
          <w:szCs w:val="16"/>
          <w:color w:val="auto"/>
        </w:rPr>
        <w:t>is Integra’s Vice President, Corporate Controller and Principal Accounting Officer. Mr. Corbin joined Integra in June 2006.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U.S. GAAP and statutory financial reporting, accounting principles and policies and tax accounting. Prior to joining Integra, Mr. Corbin held key finance positions in corporate accounting, sales and marketing and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2011 and has been selected by the Audit Committee to serve in the same capacity for fiscal year 2012.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fiscal year 2011, PricewaterhouseCoopers LLP not only provided audit services, but also rendered other services, including tax compliance and planning services.</w:t>
      </w:r>
    </w:p>
    <w:p>
      <w:pPr>
        <w:spacing w:after="0" w:line="5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gridSpan w:val="3"/>
          </w:tcPr>
          <w:p>
            <w:pPr>
              <w:jc w:val="right"/>
              <w:ind w:right="2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$4,156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3,424</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Audit-Related Fees</w:t>
            </w:r>
          </w:p>
        </w:tc>
        <w:tc>
          <w:tcPr>
            <w:tcW w:w="3840" w:type="dxa"/>
            <w:vAlign w:val="bottom"/>
            <w:gridSpan w:val="2"/>
          </w:tcPr>
          <w:p>
            <w:pPr>
              <w:jc w:val="right"/>
              <w:ind w:right="192"/>
              <w:spacing w:after="0"/>
              <w:rPr>
                <w:sz w:val="20"/>
                <w:szCs w:val="20"/>
                <w:color w:val="auto"/>
              </w:rPr>
            </w:pPr>
            <w:r>
              <w:rPr>
                <w:rFonts w:ascii="Arial" w:cs="Arial" w:eastAsia="Arial" w:hAnsi="Arial"/>
                <w:sz w:val="18"/>
                <w:szCs w:val="18"/>
                <w:color w:val="auto"/>
              </w:rPr>
              <w:t>108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Audit and Audit-Related Fees</w:t>
            </w:r>
          </w:p>
        </w:tc>
        <w:tc>
          <w:tcPr>
            <w:tcW w:w="3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$4,264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3,459</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Tax Fees</w:t>
            </w:r>
          </w:p>
        </w:tc>
        <w:tc>
          <w:tcPr>
            <w:tcW w:w="3840" w:type="dxa"/>
            <w:vAlign w:val="bottom"/>
            <w:gridSpan w:val="2"/>
          </w:tcPr>
          <w:p>
            <w:pPr>
              <w:jc w:val="right"/>
              <w:ind w:right="192"/>
              <w:spacing w:after="0"/>
              <w:rPr>
                <w:sz w:val="20"/>
                <w:szCs w:val="20"/>
                <w:color w:val="auto"/>
              </w:rPr>
            </w:pPr>
            <w:r>
              <w:rPr>
                <w:rFonts w:ascii="Arial" w:cs="Arial" w:eastAsia="Arial" w:hAnsi="Arial"/>
                <w:sz w:val="18"/>
                <w:szCs w:val="18"/>
                <w:color w:val="auto"/>
              </w:rPr>
              <w:t>129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8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Fees</w:t>
            </w:r>
          </w:p>
        </w:tc>
        <w:tc>
          <w:tcPr>
            <w:tcW w:w="3840" w:type="dxa"/>
            <w:vAlign w:val="bottom"/>
            <w:gridSpan w:val="2"/>
          </w:tcPr>
          <w:p>
            <w:pPr>
              <w:jc w:val="right"/>
              <w:ind w:right="192"/>
              <w:spacing w:after="0"/>
              <w:rPr>
                <w:sz w:val="20"/>
                <w:szCs w:val="20"/>
                <w:color w:val="auto"/>
              </w:rPr>
            </w:pPr>
            <w:r>
              <w:rPr>
                <w:rFonts w:ascii="Arial" w:cs="Arial" w:eastAsia="Arial" w:hAnsi="Arial"/>
                <w:sz w:val="18"/>
                <w:szCs w:val="18"/>
                <w:color w:val="auto"/>
              </w:rPr>
              <w:t>$4,398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4,087</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Audit Fees — </w:t>
      </w:r>
      <w:r>
        <w:rPr>
          <w:rFonts w:ascii="Arial" w:cs="Arial" w:eastAsia="Arial" w:hAnsi="Arial"/>
          <w:sz w:val="16"/>
          <w:szCs w:val="16"/>
          <w:color w:val="auto"/>
        </w:rPr>
        <w:t>Consists of professional services rendered for the integrated audit of the consolidated financial statements of the Company, quarterly reviews,</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audits, comfort letters, consents and review of documents filed with the Securities and Exchange Commission.</w:t>
      </w:r>
    </w:p>
    <w:p>
      <w:pPr>
        <w:spacing w:after="0" w:line="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Audit-Related Fees — </w:t>
      </w:r>
      <w:r>
        <w:rPr>
          <w:rFonts w:ascii="Arial" w:cs="Arial" w:eastAsia="Arial" w:hAnsi="Arial"/>
          <w:sz w:val="16"/>
          <w:szCs w:val="16"/>
          <w:color w:val="auto"/>
        </w:rPr>
        <w:t>Consists of services related to agreed upon procedures, reports, audits and reviews in connection with acquisitions,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consultations in connection with proposed acquisitions and consultations concerning financial accounting and reporting standards.</w:t>
      </w:r>
    </w:p>
    <w:p>
      <w:pPr>
        <w:spacing w:after="0" w:line="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Tax Fees — </w:t>
      </w:r>
      <w:r>
        <w:rPr>
          <w:rFonts w:ascii="Arial" w:cs="Arial" w:eastAsia="Arial" w:hAnsi="Arial"/>
          <w:sz w:val="16"/>
          <w:szCs w:val="16"/>
          <w:color w:val="auto"/>
        </w:rPr>
        <w:t>Consists of tax compliance (review of corporate tax returns, assistance with tax audits and review of the tax treatment for certain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state, local and international tax planning and consultations with respect to various domestic and international tax planning matters.</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All Other Fees — </w:t>
      </w:r>
      <w:r>
        <w:rPr>
          <w:rFonts w:ascii="Arial" w:cs="Arial" w:eastAsia="Arial" w:hAnsi="Arial"/>
          <w:sz w:val="18"/>
          <w:szCs w:val="18"/>
          <w:color w:val="auto"/>
        </w:rPr>
        <w:t>Consists of advisory services relating to the future implementation of a global resource planning system and the licensing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software.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fees were incurred to PricewaterhouseCoopers LLP during 2010 or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2012.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2012.</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96" w:lineRule="exact"/>
        <w:rPr>
          <w:sz w:val="20"/>
          <w:szCs w:val="20"/>
          <w:color w:val="auto"/>
        </w:rPr>
      </w:pPr>
    </w:p>
    <w:p>
      <w:pPr>
        <w:ind w:right="1080" w:firstLine="456"/>
        <w:spacing w:after="0" w:line="268" w:lineRule="auto"/>
        <w:rPr>
          <w:sz w:val="20"/>
          <w:szCs w:val="20"/>
          <w:color w:val="auto"/>
        </w:rPr>
      </w:pPr>
      <w:r>
        <w:rPr>
          <w:rFonts w:ascii="Arial" w:cs="Arial" w:eastAsia="Arial" w:hAnsi="Arial"/>
          <w:sz w:val="18"/>
          <w:szCs w:val="18"/>
          <w:color w:val="auto"/>
        </w:rPr>
        <w:t>We are seeking our stockholders’ advisory vote to approve the compensation of our named executive officers, as described in the “Executive Compensation” section of this proxy statement.</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our annual meeting of stockholders held in May 2011, a substantial majority (approximately 89%) of the shares present or represented by proxy and entitled to vote on the advisory proposal to approve executive compensation were voted in favor of the proposal. The structure, philosophy and peer comparisons remained substantially the same in 2011. The Compensation Committee, therefore, believes that this affirms the stockholders’ support of the Company’s basic approach to executive compensation.</w:t>
      </w:r>
    </w:p>
    <w:p>
      <w:pPr>
        <w:spacing w:after="0" w:line="62"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In light of the voting results with respect to the frequency of stockholder votes on executive compensation at the 2011 annual meeting, the Board decided that the Company will hold an advisory vote to approve the compensation of our named executive officers at each annual meeting of stockholders until the next required vote on the frequency of stockholder votes on executive compensation. We currently expect the next stockholder vote to approve the compensation of our named executive officers to occur at the Company’s 2013 annual meeting of stockholders.</w:t>
      </w:r>
    </w:p>
    <w:p>
      <w:pPr>
        <w:spacing w:after="0" w:line="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described in the “Executive Compensation — Compensation Discussion and Analysis” section of this proxy statement (the “CD&amp;A”), our executive compensation programs are designed to attract, retain and motivate our named executive officers, who are crucial to our long-term success. Under these programs, we provide our named executive officers with appropriate objectives and incentives to achieve our business objectives.</w:t>
      </w:r>
    </w:p>
    <w:p>
      <w:pPr>
        <w:spacing w:after="0" w:line="20" w:lineRule="exact"/>
        <w:rPr>
          <w:sz w:val="20"/>
          <w:szCs w:val="20"/>
          <w:color w:val="auto"/>
        </w:rPr>
      </w:pPr>
    </w:p>
    <w:p>
      <w:pPr>
        <w:ind w:right="600" w:firstLine="456"/>
        <w:spacing w:after="0" w:line="338" w:lineRule="auto"/>
        <w:rPr>
          <w:sz w:val="20"/>
          <w:szCs w:val="20"/>
          <w:color w:val="auto"/>
        </w:rPr>
      </w:pPr>
      <w:r>
        <w:rPr>
          <w:rFonts w:ascii="Arial" w:cs="Arial" w:eastAsia="Arial" w:hAnsi="Arial"/>
          <w:sz w:val="16"/>
          <w:szCs w:val="16"/>
          <w:b w:val="1"/>
          <w:bCs w:val="1"/>
          <w:color w:val="auto"/>
        </w:rPr>
        <w:t>We ask that you read the CD&amp;A beginning on page 19 for a detailed discussion of the Company’s compensation programs, decisions of the Compensation Committee for 2011, and the alignment of those programs and decisions with our compensation philosophy.</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vote “FOR” the following advisory resolution at our 2012 Annual Meeting:</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Because the say-on-pay vote is advisory, it will not bind the Company, the Compensation Committee or our Board of Directors. That said, we value the opinions of our stockholders, and, accordingly, our Compensation Committee will review the voting results and take them into consideration (among other factors it deems relevant) when making future decisions regarding executive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Summary</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Compensation Discussion and Analysis addresses the compensation philosophy, policies, and programs for our management in general and for our named executive officers. For 2011 our named executive officers were:</w:t>
      </w:r>
    </w:p>
    <w:p>
      <w:pPr>
        <w:spacing w:after="0" w:line="51" w:lineRule="exact"/>
        <w:rPr>
          <w:sz w:val="20"/>
          <w:szCs w:val="20"/>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Stuart M. Essig, our Executive Chairman of the Board of Directors (formerly our Chief Executive Officer until January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(formerly our Chief Operating Officer until January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B. Henneman, III, our Executive Vice President, Finance and Administration, and Chief Financial Officer;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Judith E. O’Grady, our Senior Vice President, Regulatory Affairs and Quality Systems, and Corporate Compliance Officer;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Jerry E. Corbin, our Vice President, Corporate Controller and Principal Accounting Officer.</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Compensation Committee of our Board of Directors designed, approved, and administers our executive compensation program. The report of the Committee appears following this section.</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design our compensation programs to attract and retain executives capable of (i) leading our Company, which is substantially more complex, international, and diversified in its business than other medical device companies of comparable revenues, and (ii) growing our Company more rapidly than industry peers, consistent with our long-term objective to become one of the leading surgical products companies in the world. The result is that we compete for managerial talent with much larger companies, and expect to continue to do so in the future.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line with our requirement to attract and retain executives capable of running large and complex enterprises, our named executive officers’ total compensation varies based on individual and corporate achievement of both financial and non-financial objectives. (See “Philosophy” below for more detail.) The most important non-financial objective for Stuart Essig in 2011 was the development and execution of a CEO succession plan that would support the Company’s long-term growth objectives. In the recruitment, assessment, mentoring, and ultimate promotion of Peter J. Arduini, Mr. Essig accomplished his most important non-financial objective. The Compensation Committee gave substantial weight to CEO succession considerations in its 2011 decisions, and the compensation awarded to Mr. Essig and Mr. Arduini for 2011 reflect this philosophy, particularly insofar as they promoted continuity and reduced risk during the transition of the role of Chief Executive Officer.</w:t>
      </w:r>
    </w:p>
    <w:p>
      <w:pPr>
        <w:spacing w:after="0" w:line="3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Financially, the Company fell short of its 2011 profitability objective (described below), but nonetheless delivered good results in a commercial context that included an unexpectedly difficult economy in Europe, unprecedented pricing and procedural volume pressure in the U.S. market for spinal implants, and a significantly more challenging regulatory environment in the United States and elsewhere. Financial accomplishments include:</w:t>
      </w:r>
    </w:p>
    <w:p>
      <w:pPr>
        <w:spacing w:after="0" w:line="26" w:lineRule="exact"/>
        <w:rPr>
          <w:sz w:val="20"/>
          <w:szCs w:val="20"/>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We reported record total revenue for 2011 of $780.1 million, an increase of $48 million, or 7%, over 2010.</w:t>
      </w:r>
    </w:p>
    <w:p>
      <w:pPr>
        <w:spacing w:after="0" w:line="90" w:lineRule="exact"/>
        <w:rPr>
          <w:rFonts w:ascii="Arial" w:cs="Arial" w:eastAsia="Arial" w:hAnsi="Arial"/>
          <w:sz w:val="18"/>
          <w:szCs w:val="18"/>
          <w:color w:val="auto"/>
        </w:rPr>
      </w:pPr>
    </w:p>
    <w:p>
      <w:pPr>
        <w:ind w:left="700" w:right="60" w:hanging="246"/>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We achieved $168.2 million of adjusted earnings before interest, taxes, depreciation and amortization (“EBITDA”), excluding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which represents a 1% increase from 2010.</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Cash Flows</w:t>
      </w:r>
      <w:r>
        <w:rPr>
          <w:rFonts w:ascii="Arial" w:cs="Arial" w:eastAsia="Arial" w:hAnsi="Arial"/>
          <w:sz w:val="18"/>
          <w:szCs w:val="18"/>
          <w:color w:val="auto"/>
        </w:rPr>
        <w:t>.  We generated $104.3 million in cash flows from operations.</w:t>
      </w:r>
    </w:p>
    <w:p>
      <w:pPr>
        <w:spacing w:after="0" w:line="90"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Favorable Financings</w:t>
      </w:r>
      <w:r>
        <w:rPr>
          <w:rFonts w:ascii="Arial" w:cs="Arial" w:eastAsia="Arial" w:hAnsi="Arial"/>
          <w:sz w:val="18"/>
          <w:szCs w:val="18"/>
          <w:color w:val="auto"/>
        </w:rPr>
        <w:t>. We extended and improved the terms and improved the pricing of our $600 million revolving credit facility, and issued $230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senior convertible notes on very attractive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4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Uses of Capital</w:t>
      </w:r>
      <w:r>
        <w:rPr>
          <w:rFonts w:ascii="Arial" w:cs="Arial" w:eastAsia="Arial" w:hAnsi="Arial"/>
          <w:sz w:val="18"/>
          <w:szCs w:val="18"/>
          <w:color w:val="auto"/>
        </w:rPr>
        <w:t>. We spent $152 million to acquire important new orthopedics businesses in spine and extremities, $38 million in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to expand our regenerative medicine production capacity), and $83.5 million returning value to our stockholders by repurchasing 1.9 million shares.</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profitability (measured in EBITDA adjusted for certain items described below) was lower than its objective primarily because of underperformance in Europe and in the U.S. spine business, the expenditure of substantial unbudgeted amounts upgrading quality systems in its manufacturing facilities, and higher manufacturing costs than planned. The Compensation Committee also took these factors and management’s response to them into account in making its determinations.</w:t>
      </w:r>
    </w:p>
    <w:p>
      <w:pPr>
        <w:spacing w:after="0" w:line="62"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5"/>
          <w:szCs w:val="15"/>
          <w:color w:val="auto"/>
        </w:rPr>
        <w:t>In light of these considerations, our Compensation Committee decided not to pay cash bonuses for 2011 to our Executive Chairman and our CFO. The Committee did approve a bonus award of $540,000 to Mr. Arduini, the minimum amount required by his employment agreement for 2011, of which $400,000 was paid in cash and $140,000 was paid in RSUs. His agreement does not provide for a minimum bonus for 2012 or subsequent years. See “2011 Employment Agreement and Severance Agreement Matters” and “2010 Employment Agreement Matters.” At Mr. Essig’s request, we did not increase his salary for 2012.</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Further, at Mr. Henneman’s request, we reduced his 2012 base salary of $550,000 (required by his employment agreement) to his 2011 rate of $525,000. Finally, Mr. Arduini’s salary for 2011 remained the same as it was when we hired him in November 2010. Other compensation decisions are discussed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stock performed better than our peers from January 2010 through May 2011, reaching an all-time high of $52.90 per share on May 10, 2011, one week before the Compensation Committee determined to grant Mr. Essig’s May 2011 restricted stock unit award. From that point until late October our stock traded generally in line with other surgical products companies, which to some degree fell out of favor as a sector during that period. In late October, however, our stock fell more than 25% over three trading days after we reported our third quarter financial results, provided our guidance for the remainder of 2011, and disclosed that the United States Food and Drug Administration had issued significant observations following an inspection of our Plainsboro, New Jersey manufacturing facility and that we would incur substantial expenses remediating those observations. Accordingly, our stock price performed worse than our peers during the last two months of 2011. We believe that the underperformance of our stock price at the end of 2011 and in early 2012 primarily reflects the specific uncertainty around the Plainsboro facility, and that as we resolve that uncertainty, our stock will again trade in line with our peers. Nevertheless, the final performance of our stock relative to peers in 2011 was disappointing.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VALUE OF INVESTMENT OF $100 ON DECEMBER 29, 2006</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line graph and table compare, for the period from December 29, 2006 through December 30, 2011, the yearly change in the cumulative total stockholder return on the Company’s common stock with the cumulative total return of the Nasdaq Stock Market — U.S. Index and the Nasdaq Medical Devices, Instruments and Supplies, Manufacturers and Distributors Index. The graph assumes that the value of the investment in the Company’s common stock and the relevant index was $100 at December 29, 2006 and that all dividends were reinvested. The closing market price of the Company’s common stock on December 30, 2011 was $30.83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95885</wp:posOffset>
            </wp:positionV>
            <wp:extent cx="4124960" cy="258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2496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Comparison of Cumulative Total Return among Integra LifeSciences Holdings Corporation, the Nasdaq Medical Devices, Instruments and Supplies, Manufacturers and Distributors Index, and the Nasdaq Stock Market — U.S. Index</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12/06</w:t>
            </w:r>
          </w:p>
        </w:tc>
        <w:tc>
          <w:tcPr>
            <w:tcW w:w="1100" w:type="dxa"/>
            <w:vAlign w:val="bottom"/>
            <w:tcBorders>
              <w:top w:val="single" w:sz="8" w:color="auto"/>
              <w:bottom w:val="single" w:sz="8" w:color="auto"/>
              <w:right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12/07</w:t>
            </w:r>
          </w:p>
        </w:tc>
        <w:tc>
          <w:tcPr>
            <w:tcW w:w="1040" w:type="dxa"/>
            <w:vAlign w:val="bottom"/>
            <w:tcBorders>
              <w:top w:val="single" w:sz="8" w:color="auto"/>
              <w:bottom w:val="single" w:sz="8" w:color="auto"/>
              <w:right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12/08</w:t>
            </w:r>
          </w:p>
        </w:tc>
        <w:tc>
          <w:tcPr>
            <w:tcW w:w="1100" w:type="dxa"/>
            <w:vAlign w:val="bottom"/>
            <w:tcBorders>
              <w:top w:val="single" w:sz="8" w:color="auto"/>
              <w:bottom w:val="single" w:sz="8" w:color="auto"/>
              <w:right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12/09</w:t>
            </w:r>
          </w:p>
        </w:tc>
        <w:tc>
          <w:tcPr>
            <w:tcW w:w="1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12/10</w:t>
            </w:r>
          </w:p>
        </w:tc>
        <w:tc>
          <w:tcPr>
            <w:tcW w:w="1120" w:type="dxa"/>
            <w:vAlign w:val="bottom"/>
            <w:tcBorders>
              <w:top w:val="single" w:sz="8" w:color="auto"/>
              <w:bottom w:val="single" w:sz="8" w:color="auto"/>
              <w:right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12/11</w:t>
            </w:r>
          </w:p>
        </w:tc>
      </w:tr>
      <w:tr>
        <w:trPr>
          <w:trHeight w:val="210"/>
        </w:trPr>
        <w:tc>
          <w:tcPr>
            <w:tcW w:w="50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Integra LifeSciences Holdings Corporation</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98</w:t>
            </w:r>
          </w:p>
        </w:tc>
        <w:tc>
          <w:tcPr>
            <w:tcW w:w="1040" w:type="dxa"/>
            <w:vAlign w:val="bottom"/>
            <w:tcBorders>
              <w:bottom w:val="single" w:sz="8" w:color="auto"/>
              <w:right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$ 84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87</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$ 111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72</w:t>
            </w:r>
          </w:p>
        </w:tc>
      </w:tr>
      <w:tr>
        <w:trPr>
          <w:trHeight w:val="201"/>
        </w:trPr>
        <w:tc>
          <w:tcPr>
            <w:tcW w:w="50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1"/>
              </w:rPr>
              <w:t>Nasdaq Medical Devices, Instruments and Supplies, Manufacturers</w:t>
            </w:r>
          </w:p>
        </w:tc>
        <w:tc>
          <w:tcPr>
            <w:tcW w:w="9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r>
      <w:tr>
        <w:trPr>
          <w:trHeight w:val="223"/>
        </w:trPr>
        <w:tc>
          <w:tcPr>
            <w:tcW w:w="50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and Distributors Index</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w w:val="86"/>
              </w:rPr>
              <w:t>127</w:t>
            </w:r>
          </w:p>
        </w:tc>
        <w:tc>
          <w:tcPr>
            <w:tcW w:w="104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8"/>
                <w:szCs w:val="18"/>
                <w:color w:val="auto"/>
              </w:rPr>
              <w:t>$ 68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w w:val="79"/>
              </w:rPr>
              <w:t>100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w w:val="79"/>
              </w:rPr>
              <w:t>122</w:t>
            </w:r>
          </w:p>
        </w:tc>
      </w:tr>
      <w:tr>
        <w:trPr>
          <w:trHeight w:val="211"/>
        </w:trPr>
        <w:tc>
          <w:tcPr>
            <w:tcW w:w="50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Nasdaq Stock Market — U.S. Index</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86"/>
              </w:rPr>
              <w:t>108</w:t>
            </w:r>
          </w:p>
        </w:tc>
        <w:tc>
          <w:tcPr>
            <w:tcW w:w="1040" w:type="dxa"/>
            <w:vAlign w:val="bottom"/>
            <w:tcBorders>
              <w:bottom w:val="single" w:sz="8" w:color="auto"/>
              <w:right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$ 66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95</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$ 113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114</w:t>
            </w:r>
          </w:p>
        </w:tc>
      </w:tr>
    </w:tbl>
    <w:p>
      <w:pPr>
        <w:spacing w:after="0" w:line="7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graph and table above depict the past performance of the Company’s stock price. The Company neither makes nor endorses any predictions as to future stock performance.</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Consistent Revenue Growth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and table below show the Company’s consistent revenue growth from 2007 through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114300</wp:posOffset>
            </wp:positionV>
            <wp:extent cx="2598420" cy="1595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We highlight below the key elements that the Compensation Committee relied upon to determine our former Chief Executive Officer’s compensation, including his accomplishments, decisions made with respect to our executive compensation programs in 2011 and our compensation policies and those good governance practices we have put in place to assure alignment between our compensation practices and the interests of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design our compensation programs to attract and retain executives capable of (i) leading our Company, which is substantially more complex, international, and diversified in its business than other medical device companies of comparable revenues, and (ii) growing our Company more rapidly than industry peers, consistent with our long-term objective to become one of the leading surgical products companies in the world. The result is that we compete for managerial talent with much larger companies, consider them our peers for compensation decision-making purposes, and expect to continue to do so in the future.</w:t>
      </w:r>
    </w:p>
    <w:p>
      <w:pPr>
        <w:spacing w:after="0" w:line="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while limiting uncertainty for our customers, stockholders and employees. In 2011, the Compensation Committee addressed these values in part by structuring Mr. Essig’s compensation to motivate him to remain with the Company while the Board was tailoring a succession process that led to the appointment of Mr. Arduini as CEO. The Compensation Committee also considered compensation risk implications during its deliberations on the design of our 2011 executive compensation programs with the goal of appropriately balancing short-term incentives and long-term performance. See “Risk Assessment Regarding Compensation Policies and Practices” below for information regarding our review of our employee compensation programs.</w:t>
      </w:r>
    </w:p>
    <w:p>
      <w:pPr>
        <w:spacing w:after="0" w:line="3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Our use of equity-based awards that vest over time also encourages key executives to remain in our employ. We require our named executive officers to enter into non-competition or other restrictive covenants with us, a practice that we believe limits uncertainty by reducing the possibility of losing them to our closest competitors. We also encourage executives to act as equity owners through our stock ownership guidelines described later in this discussion.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Compensation Actions and Decisions in 2011 and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2011, two considerations dominated the Compensation Committee’s deliberations. First, it was imperative that the Company motivate Mr. Essig and Mr. Arduini through an effective transition that would ultimately result in the appointment of Mr. Essig to Executive Chairman and Mr. Arduini to Chief Executive Officer. That consideration resulted in, among other things, the extension of Mr. Essig’s employment agreement in May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along with a related grant of 165,000 restricted stock units (the “May RSUs”). Second, both the Company and its stock price performed better in the first six months of the year (including during the period when the Compensation Committee was considering Mr. Essig’s contract extension and the May RSUs) than in the second half of the year. That consideration resulted in the elimination of cash bonuses for Mr. Essig and Mr. Henneman. Accordingly, the Compensation Committee believes that these factors resulted in the effective execution of Mr. Essig’s most important objective and the Company’s highest priority — a smooth transition in the role of Chief Executive Officer, but also resulted in a high CEO compensation expense relative to the ultimate performance of the Company’s stock price.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Chairman (former Chief Executive Officer) Compensation and Key Accomplishments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Compensation Committee, as well as our Board of Directors, reviewed Mr. Essig’s objectives for 2011 and his performance against them served as the basis for our Compensation Committee’s decisions regarding Mr. Essig’s compensation.</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his most important objective, Mr. Essig led our search for a Chief Operating Officer, resulting in the hiring in 2010 of Mr. Arduini, a well-qualified candidate with more than two decades of significant operating experience within the medical device industry. Mr. Essig then worked closely with Mr. Arduini for more than a year until Mr. Arduini’s appointment as President and Chief Executive Officer, effective as of January 3, 2012. As noted above, the Compensation Committee gave substantial weight to CEO succession planning considerations in its 2011 compensation decisions, particularly including the extension of Mr. Essig’s contract in May 2011 and the grant of the May RSUs.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Mr. Essig had substantive business objectives, including with regard to adjusted EBITDA, strategic planning and acquisitions.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had record revenue performance in 2011, despite the challenging economic and regulatory environment. The Company reported total revenue for 2011 of $780.1 million, reflecting an increase of $48 million, or 7%, over 2010.</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the Company achieved adjusted EBITDA (excluding stock-based compensation) of $168.2 million, which represents a 1% increase from 2010, the Company did not achieve its goal of $174-184 million (excluding the impact of stock-based compensation expense).</w:t>
      </w:r>
    </w:p>
    <w:p>
      <w:pPr>
        <w:spacing w:after="0" w:line="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completed two substantial acquisitions in its core orthopedics business, an important accomplishment in its strategy to become a major competitor in the fields of extremities and spine surgery.</w:t>
      </w:r>
    </w:p>
    <w:p>
      <w:pPr>
        <w:spacing w:after="0" w:line="51"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color w:val="auto"/>
        </w:rPr>
        <w:t>The Company extended the duration and lowered the cost of its capital with two complex and substantial financings in 2011. These financings limit the Company’s uncertainty (a central tenet of our philosophy) and facilitate the execution of the Company’s substantive strategy, which requires substantial capital.</w:t>
      </w:r>
    </w:p>
    <w:p>
      <w:pPr>
        <w:ind w:right="320" w:firstLine="456"/>
        <w:spacing w:after="0" w:line="268" w:lineRule="auto"/>
        <w:rPr>
          <w:sz w:val="20"/>
          <w:szCs w:val="20"/>
          <w:color w:val="auto"/>
        </w:rPr>
      </w:pPr>
      <w:r>
        <w:rPr>
          <w:rFonts w:ascii="Arial" w:cs="Arial" w:eastAsia="Arial" w:hAnsi="Arial"/>
          <w:sz w:val="18"/>
          <w:szCs w:val="18"/>
          <w:color w:val="auto"/>
        </w:rPr>
        <w:t>Mr. Essig achieved his objective of delivering a five-year strategic plan to generate minimum revenue growth of 6-9% per year and minimum adjusted earnings per share growth of 9-12%.</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light of Mr. Essig’s performance and the timing of the Compensation Committee’s decisions in the context of the CEO transition, Mr. Essig’s compensation for 2011 reflects both the extension of his contract and the grant of the May RSUs to induce him to facilitate the transition and the underperformance of the Company’s business in the second half of the year. Accordingly, we did not grant Mr. Essig a cash bonus for 2011. For 2011, we increased Mr. Essig’s salary the minimum required under his employment agreement, to $750,000. In addition, we granted Mr. Essig 75,000 contract stock/units, also the minimum amount provided by his employment agreement, as his annual equity award for 2011. Finally, we note that the May RSUs declined in value by approximately $3.3 million by December 31, 2011, resulting in a substantially lower realized compensation to Mr. Essig than is reflected in the Company’s financial statements.</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Considerations Concerning the Executive Chairman’s Compensation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the foregoing, there are other considerations that influenced the Compensation Committee’s decisions concerning Mr. Essig’s compensation for 2011.</w:t>
      </w:r>
    </w:p>
    <w:p>
      <w:pPr>
        <w:spacing w:after="0" w:line="51" w:lineRule="exact"/>
        <w:rPr>
          <w:sz w:val="20"/>
          <w:szCs w:val="20"/>
          <w:color w:val="auto"/>
        </w:rPr>
      </w:pPr>
    </w:p>
    <w:p>
      <w:pPr>
        <w:ind w:left="700" w:right="20" w:hanging="246"/>
        <w:spacing w:after="0" w:line="306"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History of Stockholder Support. </w:t>
      </w:r>
      <w:r>
        <w:rPr>
          <w:rFonts w:ascii="Arial" w:cs="Arial" w:eastAsia="Arial" w:hAnsi="Arial"/>
          <w:sz w:val="16"/>
          <w:szCs w:val="16"/>
          <w:color w:val="auto"/>
        </w:rPr>
        <w:t>Mr. Essig’s 2011 salary and his bonus and annual equity award opportunity for 2011 performance are roughly in line</w:t>
      </w:r>
      <w:r>
        <w:rPr>
          <w:rFonts w:ascii="Arial" w:cs="Arial" w:eastAsia="Arial" w:hAnsi="Arial"/>
          <w:sz w:val="16"/>
          <w:szCs w:val="16"/>
          <w:i w:val="1"/>
          <w:iCs w:val="1"/>
          <w:color w:val="auto"/>
        </w:rPr>
        <w:t xml:space="preserve"> </w:t>
      </w:r>
      <w:r>
        <w:rPr>
          <w:rFonts w:ascii="Arial" w:cs="Arial" w:eastAsia="Arial" w:hAnsi="Arial"/>
          <w:sz w:val="16"/>
          <w:szCs w:val="16"/>
          <w:color w:val="auto"/>
        </w:rPr>
        <w:t>with prior years, including 2010, for which a substantial majority (approximately 89%) of the shares present or represented by proxy and entitled to vote on the advisory proposal to approve executive compensation, including Mr. Essig’s compensation, were voted in favor.</w:t>
      </w:r>
    </w:p>
    <w:p>
      <w:pPr>
        <w:spacing w:after="0" w:line="25" w:lineRule="exact"/>
        <w:rPr>
          <w:rFonts w:ascii="Arial" w:cs="Arial" w:eastAsia="Arial" w:hAnsi="Arial"/>
          <w:sz w:val="16"/>
          <w:szCs w:val="16"/>
          <w:color w:val="auto"/>
        </w:rPr>
      </w:pPr>
    </w:p>
    <w:p>
      <w:pPr>
        <w:ind w:left="700" w:right="40" w:hanging="246"/>
        <w:spacing w:after="0" w:line="25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Considerations. </w:t>
      </w:r>
      <w:r>
        <w:rPr>
          <w:rFonts w:ascii="Arial" w:cs="Arial" w:eastAsia="Arial" w:hAnsi="Arial"/>
          <w:sz w:val="18"/>
          <w:szCs w:val="18"/>
          <w:color w:val="auto"/>
        </w:rPr>
        <w:t>Mr. Essig’s compensation significantly exceeded the compensation paid to any of our other named executive officers for</w:t>
      </w:r>
      <w:r>
        <w:rPr>
          <w:rFonts w:ascii="Arial" w:cs="Arial" w:eastAsia="Arial" w:hAnsi="Arial"/>
          <w:sz w:val="18"/>
          <w:szCs w:val="18"/>
          <w:i w:val="1"/>
          <w:iCs w:val="1"/>
          <w:color w:val="auto"/>
        </w:rPr>
        <w:t xml:space="preserve"> </w:t>
      </w:r>
      <w:r>
        <w:rPr>
          <w:rFonts w:ascii="Arial" w:cs="Arial" w:eastAsia="Arial" w:hAnsi="Arial"/>
          <w:sz w:val="18"/>
          <w:szCs w:val="18"/>
          <w:color w:val="auto"/>
        </w:rPr>
        <w:t>2011 for numerous reasons, including (i) Mr. Essig has had, and continues to have, employment alternatives during his career that have paid, and offer, significant compensation, (ii) chief executive officers are recruited from a distinct group of candidates who are paid higher than those in other positions, and (iii) the Chief Executive Officer’s responsibilities and obligations at the Company were significantly greater than those of the other named executive officers.</w:t>
      </w:r>
    </w:p>
    <w:p>
      <w:pPr>
        <w:spacing w:after="0" w:line="61" w:lineRule="exact"/>
        <w:rPr>
          <w:rFonts w:ascii="Arial" w:cs="Arial" w:eastAsia="Arial" w:hAnsi="Arial"/>
          <w:sz w:val="18"/>
          <w:szCs w:val="18"/>
          <w:color w:val="auto"/>
        </w:rPr>
      </w:pPr>
    </w:p>
    <w:p>
      <w:pPr>
        <w:ind w:left="700" w:right="100" w:hanging="246"/>
        <w:spacing w:after="0" w:line="298"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Alignment with the Interests of the Stockholders. </w:t>
      </w:r>
      <w:r>
        <w:rPr>
          <w:rFonts w:ascii="Arial" w:cs="Arial" w:eastAsia="Arial" w:hAnsi="Arial"/>
          <w:sz w:val="16"/>
          <w:szCs w:val="16"/>
          <w:color w:val="auto"/>
        </w:rPr>
        <w:t>Mr. Essig’s compensation is mostly equity-based, thereby aligning his interests with those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When the Company’s share price declines as it did in the second half of 2011, Mr. Essig’s realized compensation is effectively much less than the amounts reflected in the financial statements. As shown in the Nonqualified Deferred Compensation table of this proxy statement, the value of his nonqualified deferred compensation decreased during 2011 by approximately $23.4 million.</w:t>
      </w:r>
    </w:p>
    <w:p>
      <w:pPr>
        <w:spacing w:after="0" w:line="31" w:lineRule="exact"/>
        <w:rPr>
          <w:rFonts w:ascii="Arial" w:cs="Arial" w:eastAsia="Arial" w:hAnsi="Arial"/>
          <w:sz w:val="16"/>
          <w:szCs w:val="16"/>
          <w:color w:val="auto"/>
        </w:rPr>
      </w:pPr>
    </w:p>
    <w:p>
      <w:pPr>
        <w:ind w:left="700" w:right="40" w:hanging="246"/>
        <w:spacing w:after="0" w:line="25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Long-Term Leadership. </w:t>
      </w:r>
      <w:r>
        <w:rPr>
          <w:rFonts w:ascii="Arial" w:cs="Arial" w:eastAsia="Arial" w:hAnsi="Arial"/>
          <w:sz w:val="18"/>
          <w:szCs w:val="18"/>
          <w:color w:val="auto"/>
        </w:rPr>
        <w:t>Mr. Essig has hired, developed and mentored numerous executives, including our new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While he was Chief Executive Officer, the Company grew from approximately $15 million in annual revenues to approximately $780 million. Mr. Essig also maintains an active and visible position in the medical device industry which gives the interests of the Company greater prominence than they would otherwise have.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Actions and Decisions in 2011 and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took other decisions and actions in 2011 and 2012.</w:t>
      </w:r>
    </w:p>
    <w:p>
      <w:pPr>
        <w:spacing w:after="0" w:line="90" w:lineRule="exact"/>
        <w:rPr>
          <w:sz w:val="20"/>
          <w:szCs w:val="20"/>
          <w:color w:val="auto"/>
        </w:rPr>
      </w:pPr>
    </w:p>
    <w:p>
      <w:pPr>
        <w:ind w:left="700" w:right="180" w:hanging="246"/>
        <w:spacing w:after="0" w:line="289"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Cash Bonus Decisions for Certain Executive Officers. </w:t>
      </w:r>
      <w:r>
        <w:rPr>
          <w:rFonts w:ascii="Arial" w:cs="Arial" w:eastAsia="Arial" w:hAnsi="Arial"/>
          <w:sz w:val="16"/>
          <w:szCs w:val="16"/>
          <w:color w:val="auto"/>
        </w:rPr>
        <w:t>Because of the performance of the Company in 2011, our Compensation Committee decided</w:t>
      </w:r>
      <w:r>
        <w:rPr>
          <w:rFonts w:ascii="Arial" w:cs="Arial" w:eastAsia="Arial" w:hAnsi="Arial"/>
          <w:sz w:val="16"/>
          <w:szCs w:val="16"/>
          <w:i w:val="1"/>
          <w:iCs w:val="1"/>
          <w:color w:val="auto"/>
        </w:rPr>
        <w:t xml:space="preserve"> </w:t>
      </w:r>
      <w:r>
        <w:rPr>
          <w:rFonts w:ascii="Arial" w:cs="Arial" w:eastAsia="Arial" w:hAnsi="Arial"/>
          <w:sz w:val="16"/>
          <w:szCs w:val="16"/>
          <w:color w:val="auto"/>
        </w:rPr>
        <w:t>not to pay cash bonuses for 2011 to our Executive Chairman and Chief Financial Officer. The Committee did approve a bonus award of $540,000 to Mr. Arduini, the minimum amount required by his employment agreement for 2011, of which $400,000 was paid in cash and $140,000 was paid in RSUs. Mr Arduini’s original employment agreement provided for a target annual bonus equal to 90% of his base salary for 2011. His agreement does not provide for a minimum bonus for 2012 or subsequent years. See “2011 Employment Agreement and Severance Agreement Matters” and “2010 Employment Agreement Matters.” Mr. Arduini’s employment agreement was negotiated in October 2010, at a time when the Company’s financial performance was strong and the Company was recruiting Mr. Arduini from his prior employer, Baxter International. Mr. Arduini’s agreement does not provide for any minimum bonus amounts for 2012 or subsequent years.</w:t>
      </w:r>
    </w:p>
    <w:p>
      <w:pPr>
        <w:spacing w:after="0" w:line="37" w:lineRule="exact"/>
        <w:rPr>
          <w:rFonts w:ascii="Arial" w:cs="Arial" w:eastAsia="Arial" w:hAnsi="Arial"/>
          <w:sz w:val="16"/>
          <w:szCs w:val="16"/>
          <w:color w:val="auto"/>
        </w:rPr>
      </w:pPr>
    </w:p>
    <w:p>
      <w:pPr>
        <w:ind w:left="700" w:hanging="246"/>
        <w:spacing w:after="0" w:line="256"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No 2012 Salary Increases for Certain Executive Officers. </w:t>
      </w:r>
      <w:r>
        <w:rPr>
          <w:rFonts w:ascii="Arial" w:cs="Arial" w:eastAsia="Arial" w:hAnsi="Arial"/>
          <w:sz w:val="18"/>
          <w:szCs w:val="18"/>
          <w:color w:val="auto"/>
        </w:rPr>
        <w:t>At Mr. Essig’s request, we did not increase his salary for 2012 as required by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At Mr. Henneman’s request, we reduced Mr. Henneman’s 2012 base salary of $550,000 (as provided by his employment agreement) to his 2011 salary rate of $525,000. Mr. Arduini’s salary in 2011 remained the same as it was when we hired him in November 2010 until his promotion to the CEO position in January 2012.</w:t>
      </w:r>
    </w:p>
    <w:p>
      <w:pPr>
        <w:spacing w:after="0" w:line="62" w:lineRule="exact"/>
        <w:rPr>
          <w:rFonts w:ascii="Arial" w:cs="Arial" w:eastAsia="Arial" w:hAnsi="Arial"/>
          <w:sz w:val="18"/>
          <w:szCs w:val="18"/>
          <w:color w:val="auto"/>
        </w:rPr>
      </w:pPr>
    </w:p>
    <w:p>
      <w:pPr>
        <w:ind w:left="700" w:right="120" w:hanging="246"/>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Cap on Executive Bonuses. </w:t>
      </w:r>
      <w:r>
        <w:rPr>
          <w:rFonts w:ascii="Arial" w:cs="Arial" w:eastAsia="Arial" w:hAnsi="Arial"/>
          <w:sz w:val="18"/>
          <w:szCs w:val="18"/>
          <w:color w:val="auto"/>
        </w:rPr>
        <w:t>In October 2011, our Compensation Committee adopted a policy to limit the amount of any annual bonus awarded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to no more than 150% of the related target award, commencing with bonuses for 2011. Historically, we have not paid our named executive officers bonuses in excess of their target amount.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100" w:hanging="24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Increased Stock Ownership Guidelines. </w:t>
      </w:r>
      <w:r>
        <w:rPr>
          <w:rFonts w:ascii="Arial" w:cs="Arial" w:eastAsia="Arial" w:hAnsi="Arial"/>
          <w:sz w:val="18"/>
          <w:szCs w:val="18"/>
          <w:color w:val="auto"/>
        </w:rPr>
        <w:t>In 2012, we increased our stock ownership guidelines for our Chief Executive Officer from two times salary</w:t>
      </w:r>
      <w:r>
        <w:rPr>
          <w:rFonts w:ascii="Arial" w:cs="Arial" w:eastAsia="Arial" w:hAnsi="Arial"/>
          <w:sz w:val="18"/>
          <w:szCs w:val="18"/>
          <w:i w:val="1"/>
          <w:iCs w:val="1"/>
          <w:color w:val="auto"/>
        </w:rPr>
        <w:t xml:space="preserve"> </w:t>
      </w:r>
      <w:r>
        <w:rPr>
          <w:rFonts w:ascii="Arial" w:cs="Arial" w:eastAsia="Arial" w:hAnsi="Arial"/>
          <w:sz w:val="18"/>
          <w:szCs w:val="18"/>
          <w:color w:val="auto"/>
        </w:rPr>
        <w:t>to five times salary, established those same guidelines for our new Executive Chairman position, and increased the guidelines from one times salary to two times salary for our Chief Financial Officer.</w:t>
      </w:r>
    </w:p>
    <w:p>
      <w:pPr>
        <w:spacing w:after="0" w:line="59" w:lineRule="exact"/>
        <w:rPr>
          <w:rFonts w:ascii="Arial" w:cs="Arial" w:eastAsia="Arial" w:hAnsi="Arial"/>
          <w:sz w:val="18"/>
          <w:szCs w:val="18"/>
          <w:color w:val="auto"/>
        </w:rPr>
      </w:pPr>
    </w:p>
    <w:p>
      <w:pPr>
        <w:ind w:left="700" w:right="100" w:hanging="246"/>
        <w:spacing w:after="0" w:line="294"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Competitive Pay Practices. </w:t>
      </w:r>
      <w:r>
        <w:rPr>
          <w:rFonts w:ascii="Arial" w:cs="Arial" w:eastAsia="Arial" w:hAnsi="Arial"/>
          <w:sz w:val="16"/>
          <w:szCs w:val="16"/>
          <w:color w:val="auto"/>
        </w:rPr>
        <w:t>The Compensation Committee engaged Towers Watson to provide guidance in providing competitive market data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chief executive officers, chief financial officers and chief operating officers in the medical device industry. As discussed above, the Company is more complex and diversified than any other medical device company of comparable revenues, so we increasingly recruit our executives from much larger companies. Mr. Arduini, for example, came to us from Baxter International Inc., having run a division with $4.8 billion in annual revenues. We therefore accord greater weight to the compensation paid by larger peers than other companies our size.</w:t>
      </w:r>
    </w:p>
    <w:p>
      <w:pPr>
        <w:spacing w:after="0" w:line="34" w:lineRule="exact"/>
        <w:rPr>
          <w:rFonts w:ascii="Arial" w:cs="Arial" w:eastAsia="Arial" w:hAnsi="Arial"/>
          <w:sz w:val="16"/>
          <w:szCs w:val="16"/>
          <w:color w:val="auto"/>
        </w:rPr>
      </w:pPr>
    </w:p>
    <w:p>
      <w:pPr>
        <w:ind w:left="700" w:right="100" w:hanging="246"/>
        <w:spacing w:after="0" w:line="289"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Revised Compensation Committee Charter to Include Appropriate Risk Assessment and Stockholder Advice. </w:t>
      </w:r>
      <w:r>
        <w:rPr>
          <w:rFonts w:ascii="Arial" w:cs="Arial" w:eastAsia="Arial" w:hAnsi="Arial"/>
          <w:sz w:val="16"/>
          <w:szCs w:val="16"/>
          <w:color w:val="auto"/>
        </w:rPr>
        <w:t>In 2011, we revised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Charter to emphasize the Compensation Committee’s responsibility to ensure that our executive compensation programs are designed with an appropriate balance of risk and reward in relation to the Company’s brand promise to limit uncertainty and overall business strategy. We do not encourage excessive risk-taking behavior. Pursuant to the revised charter, the Compensation Committee, at least annually, will review and approve an annual risk assessment of our compensation policies and practices. In addition, the revised charter provides that the Committee will take into account the results of the stockholder advisory votes on executive compensation (among other factors it deems relevant) in determining company policies and decisions for the executive officers. Last year, approximately 89% of the shares present or represented by proxy and entitled to vote on the advisory proposal to approve executive compensation were voted in favor of the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Policies Contributing to Good Governance Practices</w:t>
      </w:r>
    </w:p>
    <w:p>
      <w:pPr>
        <w:spacing w:after="0" w:line="96" w:lineRule="exact"/>
        <w:rPr>
          <w:sz w:val="20"/>
          <w:szCs w:val="20"/>
          <w:color w:val="auto"/>
        </w:rPr>
      </w:pPr>
    </w:p>
    <w:p>
      <w:pPr>
        <w:ind w:left="700" w:hanging="246"/>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We include equity as a primary component of our compensation program. Our use of equity awards allows us to retain and attract</w:t>
      </w:r>
      <w:r>
        <w:rPr>
          <w:rFonts w:ascii="Arial" w:cs="Arial" w:eastAsia="Arial" w:hAnsi="Arial"/>
          <w:sz w:val="18"/>
          <w:szCs w:val="18"/>
          <w:i w:val="1"/>
          <w:iCs w:val="1"/>
          <w:color w:val="auto"/>
        </w:rPr>
        <w:t xml:space="preserve"> </w:t>
      </w:r>
      <w:r>
        <w:rPr>
          <w:rFonts w:ascii="Arial" w:cs="Arial" w:eastAsia="Arial" w:hAnsi="Arial"/>
          <w:sz w:val="18"/>
          <w:szCs w:val="18"/>
          <w:color w:val="auto"/>
        </w:rPr>
        <w:t>highly qualified executives. In addition, the use of equity awards as a component of compensation directly ties each of our key executives’ performance to the performance of our stock and thus aligns their interests with the interests of our stockholders.</w:t>
      </w:r>
    </w:p>
    <w:p>
      <w:pPr>
        <w:spacing w:after="0" w:line="59" w:lineRule="exact"/>
        <w:rPr>
          <w:rFonts w:ascii="Arial" w:cs="Arial" w:eastAsia="Arial" w:hAnsi="Arial"/>
          <w:sz w:val="18"/>
          <w:szCs w:val="18"/>
          <w:color w:val="auto"/>
        </w:rPr>
      </w:pPr>
    </w:p>
    <w:p>
      <w:pPr>
        <w:ind w:left="700" w:right="120" w:hanging="246"/>
        <w:spacing w:after="0" w:line="33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Risk Management. </w:t>
      </w:r>
      <w:r>
        <w:rPr>
          <w:rFonts w:ascii="Arial" w:cs="Arial" w:eastAsia="Arial" w:hAnsi="Arial"/>
          <w:sz w:val="16"/>
          <w:szCs w:val="16"/>
          <w:color w:val="auto"/>
        </w:rPr>
        <w:t>Integra limits uncertainty. We have a strong risk management program with specific responsibilities assigned to management,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and the Board’s committees. We review how the company assesses, addresses and reports risks annually with the Board.</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 of Directors.  </w:t>
      </w:r>
      <w:r>
        <w:rPr>
          <w:rFonts w:ascii="Arial" w:cs="Arial" w:eastAsia="Arial" w:hAnsi="Arial"/>
          <w:sz w:val="18"/>
          <w:szCs w:val="18"/>
          <w:color w:val="auto"/>
        </w:rPr>
        <w:t>We hold elections for all of the members of our board every year.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Separation of Board Chair and Chief Executive Officer Positions</w:t>
      </w:r>
      <w:r>
        <w:rPr>
          <w:rFonts w:ascii="Arial" w:cs="Arial" w:eastAsia="Arial" w:hAnsi="Arial"/>
          <w:sz w:val="16"/>
          <w:szCs w:val="16"/>
          <w:color w:val="auto"/>
        </w:rPr>
        <w:t>.  We have operated with these roles separated for over fourteen years.</w:t>
      </w:r>
    </w:p>
    <w:p>
      <w:pPr>
        <w:spacing w:after="0" w:line="113" w:lineRule="exact"/>
        <w:rPr>
          <w:rFonts w:ascii="Arial" w:cs="Arial" w:eastAsia="Arial" w:hAnsi="Arial"/>
          <w:sz w:val="16"/>
          <w:szCs w:val="16"/>
          <w:color w:val="auto"/>
        </w:rPr>
      </w:pPr>
    </w:p>
    <w:p>
      <w:pPr>
        <w:ind w:left="700" w:right="160" w:hanging="246"/>
        <w:spacing w:after="0" w:line="332"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Appointment of Presiding Director</w:t>
      </w:r>
      <w:r>
        <w:rPr>
          <w:rFonts w:ascii="Arial" w:cs="Arial" w:eastAsia="Arial" w:hAnsi="Arial"/>
          <w:sz w:val="16"/>
          <w:szCs w:val="16"/>
          <w:color w:val="auto"/>
        </w:rPr>
        <w:t>. The Board established the position of Presiding Director and appointed James M. Sullivan, the Chairman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and Corporate Governance Committee, to that position, effective as of May 17, 2012. (See “Board Leadership Structure.”)</w:t>
      </w:r>
    </w:p>
    <w:p>
      <w:pPr>
        <w:spacing w:after="0" w:line="4" w:lineRule="exact"/>
        <w:rPr>
          <w:rFonts w:ascii="Arial" w:cs="Arial" w:eastAsia="Arial" w:hAnsi="Arial"/>
          <w:sz w:val="16"/>
          <w:szCs w:val="16"/>
          <w:color w:val="auto"/>
        </w:rPr>
      </w:pPr>
    </w:p>
    <w:p>
      <w:pPr>
        <w:ind w:left="700" w:right="54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Cap on Bonuses</w:t>
      </w:r>
      <w:r>
        <w:rPr>
          <w:rFonts w:ascii="Arial" w:cs="Arial" w:eastAsia="Arial" w:hAnsi="Arial"/>
          <w:sz w:val="18"/>
          <w:szCs w:val="18"/>
          <w:color w:val="auto"/>
        </w:rPr>
        <w:t>. We limit the amount of any annual bonus awarded to any executive officer to no more than 150% of the related target award.</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we have not paid our named executive officers bonuses in excess of their target amount.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Meetings of Independent Board Members.  </w:t>
      </w:r>
      <w:r>
        <w:rPr>
          <w:rFonts w:ascii="Arial" w:cs="Arial" w:eastAsia="Arial" w:hAnsi="Arial"/>
          <w:sz w:val="16"/>
          <w:szCs w:val="16"/>
          <w:color w:val="auto"/>
        </w:rPr>
        <w:t>Our independent Board members meet regularly in executive session without management present.</w:t>
      </w:r>
    </w:p>
    <w:p>
      <w:pPr>
        <w:spacing w:after="0" w:line="113" w:lineRule="exact"/>
        <w:rPr>
          <w:rFonts w:ascii="Arial" w:cs="Arial" w:eastAsia="Arial" w:hAnsi="Arial"/>
          <w:sz w:val="16"/>
          <w:szCs w:val="16"/>
          <w:color w:val="auto"/>
        </w:rPr>
      </w:pPr>
    </w:p>
    <w:p>
      <w:pPr>
        <w:ind w:left="700" w:right="220" w:hanging="246"/>
        <w:spacing w:after="0" w:line="294"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Stock Ownership. </w:t>
      </w:r>
      <w:r>
        <w:rPr>
          <w:rFonts w:ascii="Arial" w:cs="Arial" w:eastAsia="Arial" w:hAnsi="Arial"/>
          <w:sz w:val="16"/>
          <w:szCs w:val="16"/>
          <w:color w:val="auto"/>
        </w:rPr>
        <w:t>In order to align our executive officers’ interests more closely with those of our stockholders, they must meet stock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described below. We increased our stock ownership guidelines for our Chief Executive Officer from two times salary to five times salary, established that same goal for our new Executive Chairman position and increased the guidelines from one times salary to two times salary for our Chief Financial Officer. Each executive officer has exceeded his/her applicable stock ownership goal. Mr. Essig holds a significant amount of our equity. (See the “Principal Stockholders” table for additional information.)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6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Independent Compensation Consultant. </w:t>
      </w:r>
      <w:r>
        <w:rPr>
          <w:rFonts w:ascii="Arial" w:cs="Arial" w:eastAsia="Arial" w:hAnsi="Arial"/>
          <w:sz w:val="18"/>
          <w:szCs w:val="18"/>
          <w:color w:val="auto"/>
        </w:rPr>
        <w:t>Our Compensation Committee uses the services of an independent consultant that does not perform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management.</w:t>
      </w:r>
    </w:p>
    <w:p>
      <w:pPr>
        <w:spacing w:after="0" w:line="50" w:lineRule="exact"/>
        <w:rPr>
          <w:rFonts w:ascii="Arial" w:cs="Arial" w:eastAsia="Arial" w:hAnsi="Arial"/>
          <w:sz w:val="18"/>
          <w:szCs w:val="18"/>
          <w:color w:val="auto"/>
        </w:rPr>
      </w:pPr>
    </w:p>
    <w:p>
      <w:pPr>
        <w:jc w:val="both"/>
        <w:ind w:left="700" w:right="260" w:hanging="246"/>
        <w:spacing w:after="0" w:line="30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Holding Period. </w:t>
      </w:r>
      <w:r>
        <w:rPr>
          <w:rFonts w:ascii="Arial" w:cs="Arial" w:eastAsia="Arial" w:hAnsi="Arial"/>
          <w:sz w:val="16"/>
          <w:szCs w:val="16"/>
          <w:color w:val="auto"/>
        </w:rPr>
        <w:t>Although we do not have a formal policy requiring executives to hold stock for a specified period following the applicable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 significant amount of Mr. Essig’s compensation (including all of his annual equity awards granted since 2008), Mr. Arduini’s compensation and Mr. Henneman’s compensation provide for the deferral of the payment of shares until six months following separation of service.</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No SERP.  </w:t>
      </w:r>
      <w:r>
        <w:rPr>
          <w:rFonts w:ascii="Arial" w:cs="Arial" w:eastAsia="Arial" w:hAnsi="Arial"/>
          <w:sz w:val="18"/>
          <w:szCs w:val="18"/>
          <w:color w:val="auto"/>
        </w:rPr>
        <w:t>We do not offer supplemental executive retirement programs to our executives.</w:t>
      </w:r>
    </w:p>
    <w:p>
      <w:pPr>
        <w:spacing w:after="0" w:line="90" w:lineRule="exact"/>
        <w:rPr>
          <w:rFonts w:ascii="Arial" w:cs="Arial" w:eastAsia="Arial" w:hAnsi="Arial"/>
          <w:sz w:val="18"/>
          <w:szCs w:val="18"/>
          <w:color w:val="auto"/>
        </w:rPr>
      </w:pPr>
    </w:p>
    <w:p>
      <w:pPr>
        <w:jc w:val="both"/>
        <w:ind w:left="700" w:right="22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Change in Control Agreements are Governed by Double Trigger Arrangements</w:t>
      </w:r>
      <w:r>
        <w:rPr>
          <w:rFonts w:ascii="Arial" w:cs="Arial" w:eastAsia="Arial" w:hAnsi="Arial"/>
          <w:sz w:val="18"/>
          <w:szCs w:val="18"/>
          <w:color w:val="auto"/>
        </w:rPr>
        <w:t>. All change in control provisions in our employment and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executives require a termination of employment in addition to a change in control of the Company before triggering change in control benefits.</w:t>
      </w:r>
    </w:p>
    <w:p>
      <w:pPr>
        <w:spacing w:after="0" w:line="59" w:lineRule="exact"/>
        <w:rPr>
          <w:rFonts w:ascii="Arial" w:cs="Arial" w:eastAsia="Arial" w:hAnsi="Arial"/>
          <w:sz w:val="18"/>
          <w:szCs w:val="18"/>
          <w:color w:val="auto"/>
        </w:rPr>
      </w:pPr>
    </w:p>
    <w:p>
      <w:pPr>
        <w:ind w:left="700" w:right="80" w:hanging="246"/>
        <w:spacing w:after="0" w:line="298"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No Excise Tax Gross-Ups in New or Amended Employment Agreements</w:t>
      </w:r>
      <w:r>
        <w:rPr>
          <w:rFonts w:ascii="Arial" w:cs="Arial" w:eastAsia="Arial" w:hAnsi="Arial"/>
          <w:sz w:val="16"/>
          <w:szCs w:val="16"/>
          <w:color w:val="auto"/>
        </w:rPr>
        <w:t>. We did not provide for any tax gross-up provisions in the 2010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the 2011 amended and restated employment agreement for Mr. Arduini, our new President and Chief Executive Officer. In addition, when we extended the employment agreement for our Chief Financial Officer in 2010, we removed the tax gross-up provisions. Currently, only the employment agreement with our Executive Chairman provides for an excise tax gross-up.</w:t>
      </w:r>
    </w:p>
    <w:p>
      <w:pPr>
        <w:spacing w:after="0" w:line="31" w:lineRule="exact"/>
        <w:rPr>
          <w:rFonts w:ascii="Arial" w:cs="Arial" w:eastAsia="Arial" w:hAnsi="Arial"/>
          <w:sz w:val="16"/>
          <w:szCs w:val="16"/>
          <w:color w:val="auto"/>
        </w:rPr>
      </w:pPr>
    </w:p>
    <w:p>
      <w:pPr>
        <w:ind w:left="700" w:hanging="246"/>
        <w:spacing w:after="0" w:line="294"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No Significant Perquisites Offered. </w:t>
      </w:r>
      <w:r>
        <w:rPr>
          <w:rFonts w:ascii="Arial" w:cs="Arial" w:eastAsia="Arial" w:hAnsi="Arial"/>
          <w:sz w:val="16"/>
          <w:szCs w:val="16"/>
          <w:color w:val="auto"/>
        </w:rPr>
        <w:t>We provide our named executive officers with limited perquisites. Our executives participate in broad-based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Company-sponsored benefits programs on the same basis as other full-time employees. We provided an allowance for certain relocation expenses (but no home buyout) and reimbursement of certain commuting and legal expenses in the 2010 employment agreement (and legal expenses in the 2011 amended and restated agreement) for Mr. Arduini to help offset some of the costs incurred as a result of his hiring, relocation and promotion. (See “2010 Employment Agreement Matters” and “2011 Employment Agreement and Severance Matters” below.)</w:t>
      </w:r>
    </w:p>
    <w:p>
      <w:pPr>
        <w:spacing w:after="0" w:line="34" w:lineRule="exact"/>
        <w:rPr>
          <w:rFonts w:ascii="Arial" w:cs="Arial" w:eastAsia="Arial" w:hAnsi="Arial"/>
          <w:sz w:val="16"/>
          <w:szCs w:val="16"/>
          <w:color w:val="auto"/>
        </w:rPr>
      </w:pPr>
    </w:p>
    <w:p>
      <w:pPr>
        <w:ind w:left="700" w:right="26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Pre-Clearance of Executive Officer Transactions Involving our Common Stock</w:t>
      </w:r>
      <w:r>
        <w:rPr>
          <w:rFonts w:ascii="Arial" w:cs="Arial" w:eastAsia="Arial" w:hAnsi="Arial"/>
          <w:sz w:val="18"/>
          <w:szCs w:val="18"/>
          <w:color w:val="auto"/>
        </w:rPr>
        <w:t>. Before an executive officer may initiate a transaction involving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we require that our law department clear the transaction.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Stockholder Advisory Vote on Executive Compensation</w:t>
      </w:r>
    </w:p>
    <w:p>
      <w:pPr>
        <w:spacing w:after="0" w:line="9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We provide our stockholders with the opportunity to cast an annual advisory vote on executive compensation. Although this annual advisory vote is non-binding, the Compensation Committee has considered and will continue to consider, the outcome of the annual advisory vote on executive compensation each year when making compensation decisions for our executive officers. At our annual meeting of stockholders held in May 2011, a substantial majority (approximately 89%) of the shares present or represented by proxy and entitled to vote on the advisory proposal on executive compensation were voted in favor of the proposal. In view of the strong support that our executive compensation program received from our stockholders at the 2011 annual meeting, the Compensation Committee did not make significant changes to the principal features of our executive compensation program during the 2011 fiscal year. That said, in light of our performance in 2011, the Committee determined not to pay cash bonuses for 2011 to our Executive Chairman and CFO and not to pay more than the minimum bonus required under the employment agreement for our President and CEO. (See “Elements of Compensation — Annual Cash Incentives” below.) In addition, the Committee considered the views of our stockholders when it established a cap on bonuses and increased the stock ownership guidelines for our Executive Chairman, President and CEO and CFO.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Process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Chief Executive Officer provides significant input on the compensation, including annual merit adjustments and equity awards, for his direct reports and the other named executive officers. In addition, he attends meetings of the Compensation Committee, except that the Committee meets in executive session, without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Chief Executive Officer present, to discuss our Chief Executive Officer’s compensation. As discussed below under “Annual Review of Compensation,” the Compensation Committee approves the compensation of the named executive officers, taking into consideration the recommendations of our Chief Executive Officer.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2011, the Compensation Committee of the Board of Directors engaged Towers Watson to provide consulting services on (i) the Compensation Discussion and Analysis and Say on Pay proposal, as well as the Summary of Potential Payments table in the 2011 proxy statement, (ii) a review of the compensation of our top three executive officers, (iii) the extension of the employment agreement with Mr. Essig and (iv) the amended and restated employment agreement for Mr. Arduini.</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Peer Groups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Compensation Committee considers the compensation practices of other companies in our industry in determining the compensation for our executive officers. This consideration generally occurs in connection with our entering into or amending employment or severance agreements with executive officers, rather than on an annual basis. The Committee generally considers market compensation of executives at other companies in our industry, including larger companies and comparably diversified, complex, and internationalized to the Company, when reviewing the compensation of our executives. In 2011 the Committee reviewed competitive market data provided by Towers Watson on two peer groups of companies in connection with a 2011 review of compensation for Messrs. Essig, Arduini and Henneman, the extension of the employment agreement with Mr. Essig and the 2011 Amended and Restated Employment Agreement for Mr. Arduini. See “2011 Employment Agreement and Severance Agreement Matters.” In each case, the Compensation Committee approved the composition of the two peer groups, which we most recently updated in 2010 to reflect mergers, acquisitions and changes in size and competitive markets. While the Compensation Committee and the Chief Executive Officer review this data, the Company does not target its executives’ base salaries or other compensation at a specific percentile of market salaries or any particular group of companies.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companies in the 2011 peer groups included the following: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Similar-Sized Peers</w:t>
            </w:r>
          </w:p>
        </w:tc>
        <w:tc>
          <w:tcPr>
            <w:tcW w:w="406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Large Company Peers</w:t>
            </w:r>
          </w:p>
        </w:tc>
        <w:tc>
          <w:tcPr>
            <w:tcW w:w="1100" w:type="dxa"/>
            <w:vAlign w:val="bottom"/>
          </w:tcPr>
          <w:p>
            <w:pPr>
              <w:spacing w:after="0"/>
              <w:rPr>
                <w:sz w:val="14"/>
                <w:szCs w:val="14"/>
                <w:color w:val="auto"/>
              </w:rPr>
            </w:pPr>
          </w:p>
        </w:tc>
      </w:tr>
      <w:tr>
        <w:trPr>
          <w:trHeight w:val="201"/>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rPr>
              <w:t>Alere Inc. (formerly known as</w:t>
            </w: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5"/>
              </w:rPr>
              <w:t>Baxter International</w:t>
            </w:r>
          </w:p>
        </w:tc>
        <w:tc>
          <w:tcPr>
            <w:tcW w:w="1100" w:type="dxa"/>
            <w:vAlign w:val="bottom"/>
          </w:tcPr>
          <w:p>
            <w:pPr>
              <w:ind w:left="100"/>
              <w:spacing w:after="0" w:line="201" w:lineRule="exact"/>
              <w:rPr>
                <w:sz w:val="20"/>
                <w:szCs w:val="20"/>
                <w:color w:val="auto"/>
              </w:rPr>
            </w:pPr>
            <w:r>
              <w:rPr>
                <w:rFonts w:ascii="Arial" w:cs="Arial" w:eastAsia="Arial" w:hAnsi="Arial"/>
                <w:sz w:val="18"/>
                <w:szCs w:val="18"/>
                <w:color w:val="auto"/>
              </w:rPr>
              <w:t>Inc.</w:t>
            </w:r>
          </w:p>
        </w:tc>
      </w:tr>
      <w:tr>
        <w:trPr>
          <w:trHeight w:val="216"/>
        </w:trPr>
        <w:tc>
          <w:tcPr>
            <w:tcW w:w="5260" w:type="dxa"/>
            <w:vAlign w:val="bottom"/>
            <w:gridSpan w:val="2"/>
          </w:tcPr>
          <w:p>
            <w:pPr>
              <w:ind w:left="220"/>
              <w:spacing w:after="0"/>
              <w:rPr>
                <w:sz w:val="20"/>
                <w:szCs w:val="20"/>
                <w:color w:val="auto"/>
              </w:rPr>
            </w:pPr>
            <w:r>
              <w:rPr>
                <w:rFonts w:ascii="Arial" w:cs="Arial" w:eastAsia="Arial" w:hAnsi="Arial"/>
                <w:sz w:val="18"/>
                <w:szCs w:val="18"/>
                <w:color w:val="auto"/>
              </w:rPr>
              <w:t>Inverness Medical Innovations, Inc.)</w:t>
            </w:r>
          </w:p>
        </w:tc>
        <w:tc>
          <w:tcPr>
            <w:tcW w:w="2460" w:type="dxa"/>
            <w:vAlign w:val="bottom"/>
            <w:gridSpan w:val="2"/>
          </w:tcPr>
          <w:p>
            <w:pPr>
              <w:spacing w:after="0"/>
              <w:rPr>
                <w:sz w:val="20"/>
                <w:szCs w:val="20"/>
                <w:color w:val="auto"/>
              </w:rPr>
            </w:pPr>
            <w:r>
              <w:rPr>
                <w:rFonts w:ascii="Arial" w:cs="Arial" w:eastAsia="Arial" w:hAnsi="Arial"/>
                <w:sz w:val="18"/>
                <w:szCs w:val="18"/>
                <w:color w:val="auto"/>
                <w:w w:val="93"/>
              </w:rPr>
              <w:t>Becton, Dickinson and Company</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American Medical Systems Holdings, Inc.</w:t>
            </w:r>
          </w:p>
        </w:tc>
        <w:tc>
          <w:tcPr>
            <w:tcW w:w="2460" w:type="dxa"/>
            <w:vAlign w:val="bottom"/>
            <w:gridSpan w:val="2"/>
          </w:tcPr>
          <w:p>
            <w:pPr>
              <w:spacing w:after="0"/>
              <w:rPr>
                <w:sz w:val="20"/>
                <w:szCs w:val="20"/>
                <w:color w:val="auto"/>
              </w:rPr>
            </w:pPr>
            <w:r>
              <w:rPr>
                <w:rFonts w:ascii="Arial" w:cs="Arial" w:eastAsia="Arial" w:hAnsi="Arial"/>
                <w:sz w:val="18"/>
                <w:szCs w:val="18"/>
                <w:color w:val="auto"/>
              </w:rPr>
              <w:t>Boston Scientific Corporation</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ArthroCare Corporation</w:t>
            </w:r>
          </w:p>
        </w:tc>
        <w:tc>
          <w:tcPr>
            <w:tcW w:w="2460" w:type="dxa"/>
            <w:vAlign w:val="bottom"/>
            <w:gridSpan w:val="2"/>
          </w:tcPr>
          <w:p>
            <w:pPr>
              <w:spacing w:after="0"/>
              <w:rPr>
                <w:sz w:val="20"/>
                <w:szCs w:val="20"/>
                <w:color w:val="auto"/>
              </w:rPr>
            </w:pPr>
            <w:r>
              <w:rPr>
                <w:rFonts w:ascii="Arial" w:cs="Arial" w:eastAsia="Arial" w:hAnsi="Arial"/>
                <w:sz w:val="18"/>
                <w:szCs w:val="18"/>
                <w:color w:val="auto"/>
              </w:rPr>
              <w:t>C.R. Bard,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CONMED Corporation</w:t>
            </w:r>
          </w:p>
        </w:tc>
        <w:tc>
          <w:tcPr>
            <w:tcW w:w="2460" w:type="dxa"/>
            <w:vAlign w:val="bottom"/>
            <w:gridSpan w:val="2"/>
          </w:tcPr>
          <w:p>
            <w:pPr>
              <w:spacing w:after="0"/>
              <w:rPr>
                <w:sz w:val="20"/>
                <w:szCs w:val="20"/>
                <w:color w:val="auto"/>
              </w:rPr>
            </w:pPr>
            <w:r>
              <w:rPr>
                <w:rFonts w:ascii="Arial" w:cs="Arial" w:eastAsia="Arial" w:hAnsi="Arial"/>
                <w:sz w:val="18"/>
                <w:szCs w:val="18"/>
                <w:color w:val="auto"/>
              </w:rPr>
              <w:t>CareFusion Corporation</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Edwards Lifesciences Corporation</w:t>
            </w:r>
          </w:p>
        </w:tc>
        <w:tc>
          <w:tcPr>
            <w:tcW w:w="2460" w:type="dxa"/>
            <w:vAlign w:val="bottom"/>
            <w:gridSpan w:val="2"/>
          </w:tcPr>
          <w:p>
            <w:pPr>
              <w:spacing w:after="0"/>
              <w:rPr>
                <w:sz w:val="20"/>
                <w:szCs w:val="20"/>
                <w:color w:val="auto"/>
              </w:rPr>
            </w:pPr>
            <w:r>
              <w:rPr>
                <w:rFonts w:ascii="Arial" w:cs="Arial" w:eastAsia="Arial" w:hAnsi="Arial"/>
                <w:sz w:val="18"/>
                <w:szCs w:val="18"/>
                <w:color w:val="auto"/>
                <w:w w:val="90"/>
              </w:rPr>
              <w:t>Covidien Public Limited Company</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Haemonetics Corporation</w:t>
            </w:r>
          </w:p>
        </w:tc>
        <w:tc>
          <w:tcPr>
            <w:tcW w:w="2460" w:type="dxa"/>
            <w:vAlign w:val="bottom"/>
            <w:gridSpan w:val="2"/>
          </w:tcPr>
          <w:p>
            <w:pPr>
              <w:spacing w:after="0"/>
              <w:rPr>
                <w:sz w:val="20"/>
                <w:szCs w:val="20"/>
                <w:color w:val="auto"/>
              </w:rPr>
            </w:pPr>
            <w:r>
              <w:rPr>
                <w:rFonts w:ascii="Arial" w:cs="Arial" w:eastAsia="Arial" w:hAnsi="Arial"/>
                <w:sz w:val="18"/>
                <w:szCs w:val="18"/>
                <w:color w:val="auto"/>
              </w:rPr>
              <w:t>Hospira,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Hill-Rom Holdings, Inc.</w:t>
            </w:r>
          </w:p>
        </w:tc>
        <w:tc>
          <w:tcPr>
            <w:tcW w:w="2460" w:type="dxa"/>
            <w:vAlign w:val="bottom"/>
            <w:gridSpan w:val="2"/>
          </w:tcPr>
          <w:p>
            <w:pPr>
              <w:spacing w:after="0"/>
              <w:rPr>
                <w:sz w:val="20"/>
                <w:szCs w:val="20"/>
                <w:color w:val="auto"/>
              </w:rPr>
            </w:pPr>
            <w:r>
              <w:rPr>
                <w:rFonts w:ascii="Arial" w:cs="Arial" w:eastAsia="Arial" w:hAnsi="Arial"/>
                <w:sz w:val="18"/>
                <w:szCs w:val="18"/>
                <w:color w:val="auto"/>
              </w:rPr>
              <w:t>Medtronic,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Hologic, Inc.</w:t>
            </w:r>
          </w:p>
        </w:tc>
        <w:tc>
          <w:tcPr>
            <w:tcW w:w="2460" w:type="dxa"/>
            <w:vAlign w:val="bottom"/>
            <w:gridSpan w:val="2"/>
          </w:tcPr>
          <w:p>
            <w:pPr>
              <w:spacing w:after="0"/>
              <w:rPr>
                <w:sz w:val="20"/>
                <w:szCs w:val="20"/>
                <w:color w:val="auto"/>
              </w:rPr>
            </w:pPr>
            <w:r>
              <w:rPr>
                <w:rFonts w:ascii="Arial" w:cs="Arial" w:eastAsia="Arial" w:hAnsi="Arial"/>
                <w:sz w:val="18"/>
                <w:szCs w:val="18"/>
                <w:color w:val="auto"/>
              </w:rPr>
              <w:t>St. Jude Medical,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NuVasive Inc.</w:t>
            </w:r>
          </w:p>
        </w:tc>
        <w:tc>
          <w:tcPr>
            <w:tcW w:w="2460" w:type="dxa"/>
            <w:vAlign w:val="bottom"/>
            <w:gridSpan w:val="2"/>
          </w:tcPr>
          <w:p>
            <w:pPr>
              <w:spacing w:after="0"/>
              <w:rPr>
                <w:sz w:val="20"/>
                <w:szCs w:val="20"/>
                <w:color w:val="auto"/>
              </w:rPr>
            </w:pPr>
            <w:r>
              <w:rPr>
                <w:rFonts w:ascii="Arial" w:cs="Arial" w:eastAsia="Arial" w:hAnsi="Arial"/>
                <w:sz w:val="18"/>
                <w:szCs w:val="18"/>
                <w:color w:val="auto"/>
              </w:rPr>
              <w:t>Stryker Corporation</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ResMed, Inc.</w:t>
            </w:r>
          </w:p>
        </w:tc>
        <w:tc>
          <w:tcPr>
            <w:tcW w:w="2460" w:type="dxa"/>
            <w:vAlign w:val="bottom"/>
            <w:gridSpan w:val="2"/>
          </w:tcPr>
          <w:p>
            <w:pPr>
              <w:spacing w:after="0"/>
              <w:rPr>
                <w:sz w:val="20"/>
                <w:szCs w:val="20"/>
                <w:color w:val="auto"/>
              </w:rPr>
            </w:pPr>
            <w:r>
              <w:rPr>
                <w:rFonts w:ascii="Arial" w:cs="Arial" w:eastAsia="Arial" w:hAnsi="Arial"/>
                <w:sz w:val="18"/>
                <w:szCs w:val="18"/>
                <w:color w:val="auto"/>
              </w:rPr>
              <w:t>Zimmer Holdings, Inc.</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STERIS Corporation</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The Cooper Companies, Inc.</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Wright Medical Group, Inc.</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Our executive compensation program contains the following elements: (1) base salary, (2) annual incentives in the form of bonus and/or incentive compensation plan payments, cash bonuses, equity-based awards or a combination of the above and (3) long-term equity-based incentives in the form of stock options, restricted stock, performance stock and other forms of equity. The Compensation Committee reviews these elements of compensation annually.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relied upon historical practices and survey data to set salaries so as to attract and retain the members of our senior management team. We have considered base salaries for comparable positions or responsibilities at other medical device companies, based on the data obtained from published salary survey sources that we consult, the proxy statements of the companies mentioned above and other peer-group companies and/or materials that the Compensation Committee’s compensation consultant prepared relying upon such data. We use this data primarily to ensure that our executive compensation program as a whole is competitive. We do not establish rigid targets for total compensation or any individual element of our executive compensation program, and we do not aim to fix our base salaries to a targeted percentile of compensation for similar medical device executives.</w:t>
      </w:r>
    </w:p>
    <w:p>
      <w:pPr>
        <w:spacing w:after="0" w:line="3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Compensation Committee reviews base salaries annually, but it does not automatically increase them if the Compensation Committee believes that other elements of compensation are more appropriate in light of our stated objectives or if increases are not warranted. We consider market factors, individual and Company performance, rate of inflation, responsibilities and experience when considering merit- or promotion-related increases.</w:t>
      </w:r>
    </w:p>
    <w:p>
      <w:pPr>
        <w:spacing w:after="0" w:line="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determining salaries for 2011 for Messrs. Essig and Henneman, the Compensation Committee considered the extent to which the Company achieved the goals assigned to these executives for 2010 and the extent to which the individuals contributed to the achievement of those goals. No weightings were assigned, as the Compensation Committee viewed the objectives in the aggregate, with emphasis on the qualitative goals. In addition, the Compensation Committee considered the Company’s long-term performance and overall accomplishments. See “Annual Review of Compensation” and “2011 Named Executive Officer Compensation — Base Salaries” below for additional information, including a description of the goals and executives’ achievements. The Compensation Committee did not increase Mr. Arduini’s base salary for 2011 because it had recently approved his 2011 salary as part of his employment agreement terms when the Company recruited him from Baxter International in November 2010. At that time, the Compensation Committee consulted with Towers Watson on competitive market data, and considered his salary at his prior employer and other factors in establishing his base salary. See “2010 Employment Agreement Matters.”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our Company has grown and become recognized as a market leader in our industry, we need to pay competitively to retain our top executives and attract new ones. In general, we pay discretionary cash bonuses to many of our executives, but not including our Executive Chairman (and former Chief Executive Officer), our President and Chief Executive Officer and our Chief Financial Officer, all of whom have or had bonus provisions in their employment agreements. These forms of compensation create annual incentive opportunities tied to objectives that are designed to help us achieve our short-term plans to grow the business and increase stockholder value.</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Cash Bonuses for Executives with Employment Agreements</w:t>
      </w:r>
      <w:r>
        <w:rPr>
          <w:rFonts w:ascii="Arial" w:cs="Arial" w:eastAsia="Arial" w:hAnsi="Arial"/>
          <w:sz w:val="16"/>
          <w:szCs w:val="16"/>
          <w:color w:val="auto"/>
        </w:rPr>
        <w:t>. We believe that paying cash bonuses accomplishes the goal of creating annual incentives,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further believe that this form of compensation is similar to what other companies offer in our industry. The employment agreements that we entered into with our Executive Chairman (Mr. Essig), our President and Chief Executive Officer (Mr. Arduini) and our Chief Financial Officer (Mr. Henneman) provide for an annual cash bonus opportunity equal to a targeted percentage of base salary. Unless the Compensation Committee determines otherwise, Mr. Essig will not be eligible for bonuses for 2012 or subsequent years in his current role as Executive Chairman.</w:t>
      </w:r>
    </w:p>
    <w:p>
      <w:pPr>
        <w:spacing w:after="0" w:line="3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discussed above, the Compensation Committee determined not to pay cash bonuses for 2011 to Messrs. Essig and Henneman. The Committee did approve a bonus award of $540,000 to Mr. Arduini, the minimum amount required by his employment agreement for 2011, of which $400,000 was paid in cash and $140,000 was paid in RSUs. Mr Arduini’s original employment agreement provided for a target annual bonus equal to 90% of his base salary for 2011. His agreement does not provide for a minimum bonus for 2012 or subsequent years. See “2011 Employment Agreement and Severance Agreement Matters” and “2010 Employment Agreement Matters.”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employment agreements for our former Chief Executive Officer (until 2012), our current President and Chief Executive Officer and our Executive Vice Presidents generally provide for targeted cash bonuses. We believe that paying these executive officers a targeted bonus based on both qualitative and quantitative objectives without weightings or a formula allows the Compensation Committee to have flexibility to judge the performance of these officers on a number of factors, such as leadership, executive and organizational development, succession planning, compliance and quality objectives, and the accomplishment of goals that were set from time to time during the year, as well as the long-term performance of the Company.</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Equity-Based Incentives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use restricted stock, performance stock, stock options and other equity equivalents to provide long-term incentives. These awards help us retain executives and align their interests with stockholders by setting multi-year vesting requirements and tying a significant portion of the compensation value to the value of our stock. Existing ownership levels are not a factor in award determination, because we do not want to discourage executives and other employees from holding significant amounts of our stock if they so choose.</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grant equity awards to employees in the following situations: (1) upon their hiring or entering into new employment agreements or amendments extending such agreements, (2) in connection with annual performance reviews, and (3) from time to time, for retention purposes or in special situations to reward certain employees who have been promoted or who achieved milestones or accomplished projects that benefit our Company.</w:t>
      </w:r>
    </w:p>
    <w:p>
      <w:pPr>
        <w:spacing w:after="0" w:line="26" w:lineRule="exact"/>
        <w:rPr>
          <w:sz w:val="20"/>
          <w:szCs w:val="20"/>
          <w:color w:val="auto"/>
        </w:rPr>
      </w:pPr>
    </w:p>
    <w:p>
      <w:pPr>
        <w:ind w:right="280" w:firstLine="456"/>
        <w:spacing w:after="0" w:line="357" w:lineRule="auto"/>
        <w:rPr>
          <w:sz w:val="20"/>
          <w:szCs w:val="20"/>
          <w:color w:val="auto"/>
        </w:rPr>
      </w:pPr>
      <w:r>
        <w:rPr>
          <w:rFonts w:ascii="Arial" w:cs="Arial" w:eastAsia="Arial" w:hAnsi="Arial"/>
          <w:sz w:val="15"/>
          <w:szCs w:val="15"/>
          <w:color w:val="auto"/>
        </w:rPr>
        <w:t>In May 2011, we granted fully vested RSUs (the May RSUs) to Mr. Essig in connection with the extension of his employment agreement. In February 2012, we granted fully vested RSUs to Mr. Essig as an award for 2011 performance, which was the minimum amount provided by his employment agreement.</w:t>
      </w:r>
    </w:p>
    <w:p>
      <w:pPr>
        <w:ind w:right="100" w:firstLine="456"/>
        <w:spacing w:after="0" w:line="291" w:lineRule="auto"/>
        <w:rPr>
          <w:sz w:val="20"/>
          <w:szCs w:val="20"/>
          <w:color w:val="auto"/>
        </w:rPr>
      </w:pPr>
      <w:r>
        <w:rPr>
          <w:rFonts w:ascii="Arial" w:cs="Arial" w:eastAsia="Arial" w:hAnsi="Arial"/>
          <w:sz w:val="16"/>
          <w:szCs w:val="16"/>
          <w:color w:val="auto"/>
        </w:rPr>
        <w:t>In January 2012, we granted Mr. Arduini RSUs (with annual vesting over three years) on the effective date of his appointment as President and Chief Executive Officer pursuant to his amended and restated employment agreement. In February 2012, we granted Mr. Arduini RSUs (with annual vesting over three years) as part of his annual equity award for 2011 performance and RSUs (with 100% vesting on the first anniversary of the grant date) as part of his bonus for 2011 performance pursuant to his amended and restated employment agreement. In March 2012, we granted Mr. Arduini stock options with an eight-year term and vesting over three years in connection with his appointment as President and Chief Executive Officer and as an award for 2011 performance pursuant to his amended and restated employment agreement.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February 2012, we granted restricted stock with annual vesting over three years to Mr. Henneman for his 2011 performance.</w:t>
      </w:r>
    </w:p>
    <w:p>
      <w:pPr>
        <w:spacing w:after="0" w:line="9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In April 2012, we granted restricted stock with annual vesting over three years to certain employees, including Mr. Corbin and Ms. O’Grady in connection with the Company’s 2011 performance, as well as their individual performance. We believe that restricted stock ties the value of employees’ equity compensation to our long-term performance. By generally granting restricted stock instead of stock options, we are able to issue fewer shares and conserve the amount of equity available under our equity incentive plans. Finally, we believe that the vesting over three years of restricted stock awards provides an effective retention tool.</w:t>
      </w:r>
    </w:p>
    <w:p>
      <w:pPr>
        <w:spacing w:after="0" w:line="1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April 2011, we granted restricted stock with annual vesting over three years to certain employees, including Mr. Corbin and Ms. O’Grady in connection with the Company’s 2010 performance, respectively, as well as their individual performance.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2011, we granted restricted stock with five-year annual vesting to certain employees, including Mr. Corbin, as a special retention award.</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As described above under “Information Concerning Meetings, Executive Sessions and Committees,” the Compensation Committee has delegated authority for making equity awards to non-executive officer employees under the Approved Plans to a Special Award Committee, consisting of the Chief Executive Officer. On an annual basis, the Compensation Committee establishes the aggregate number of awards that the Special Award Committee may make during the year.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require all named executive officers and substantially all U.S.-based employees to have signed a non-competition agreement, or an employment or severance agreement with non-competition provisions, as a condition of receiving an equity award.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provide our named executive officers with very few perquisites. We provide management-level employees with a corporate credit card not available to all employees, which, until November 2010, included an airport club membership benefit. The original employment agreement for Mr. Arduini provided</w:t>
      </w:r>
    </w:p>
    <w:p>
      <w:pPr>
        <w:ind w:right="80"/>
        <w:spacing w:after="0" w:line="254" w:lineRule="auto"/>
        <w:rPr>
          <w:sz w:val="20"/>
          <w:szCs w:val="20"/>
          <w:color w:val="auto"/>
        </w:rPr>
      </w:pPr>
      <w:r>
        <w:rPr>
          <w:rFonts w:ascii="Arial" w:cs="Arial" w:eastAsia="Arial" w:hAnsi="Arial"/>
          <w:sz w:val="18"/>
          <w:szCs w:val="18"/>
          <w:color w:val="auto"/>
        </w:rPr>
        <w:t>a $200,000 allowance for certain relocation expenses and reimbursement of certain commuting expenses and up to $15,000 in legal expenses relating to the negotiation of his 2010 employment agreement. In addition, his 2011 amended and restated employment agreement provides for reimbursement of up to $15,000 in legal expenses relating to the negotiation of that agreement. See “2011 Employment Agreement and Severance Agreement Matters” and “2010 Employment Agreement Matters.”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 of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make decisions regarding named executive officer compensation (salary increases, equity grants and bonus payments) in connection with our annual performance review process. For fiscal year 2011, we completed our review process for Messrs. Essig, Arduini, Henneman, Corbin and Ms. O’Grady in February 2012. Thus, the equity grants awarded to these executives in 2012 for 2011 performance do not appear in the Summary Compensation Table for 2011, except that we included the grant for Mr. Essig in the table for 2011 because, for financial reporting purposes, the Company accounted for the grant in 2011 in accordance with FASB ASC Topic 718. We anticipate that we will adhere to a similar timetable for the annual reviews for our executive officers in future years. Previously, the Compensation Committee determined Mr. Essig’s compensation at the December meeting it held each year.</w:t>
      </w:r>
    </w:p>
    <w:p>
      <w:pPr>
        <w:spacing w:after="0" w:line="3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the time of his annual review, Mr. Essig discusses with the Compensation Committee and the Board of Directors a proposed list of his performance objectives for the following year. These objectives, described below, cover financial and organizational matters. The financial measures typically include revenue, EBITDA, earnings and/or similar metrics. At that time, Mr. Essig provides a self-evaluation of his performance with respect to the prior year objectives, which the Compensation Committee reviews and discusses with him. The Committee then solicits input from the full Board of Directors and meets in executive session to discuss Mr. Essig’s performance with respect to the prior year objectives and to determine his annual salary increase, bonus amount and equity-based grant. Mr. Essig’s targets and objectives are set to be aggressive and ambitious, but without encouraging excessive and unnecessary risk-taking behavior. The Company has avoided using formulaic approaches to compensation because we do not use formulaic approaches to management decisions. As a result, the objectives are not meant to be a “check-the-box” chart pursuant to which the Company will award Mr. Essig a salary increase, equity award or bonus based upon a percentage of the objectives achieved. Rather, they are meant to guide the members of the Compensation Committee as to what compensation awards are appropriate for Mr. Essig based upon his overall performance, as well as the long-term growth of the Company.</w:t>
      </w:r>
    </w:p>
    <w:p>
      <w:pPr>
        <w:spacing w:after="0" w:line="42"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Messrs. Arduini and Henneman also discussed a proposed list of their objectives for 2011 with Mr. Essig. The objectives, described below, relate to each named executive officer’s areas of responsibility. In February 2012, Mr. Essig reviewed the performance of these named executive officers, which included evaluating whether they satisfied their performance objectives, solicited feedback from other employees, and made recommendations to the Compensation Committee regarding their salary increases, bonus amounts and equity awards. Messrs. Essig and Arduini also evaluated the performance of the other named executive officers with those executives’ direct supervisors and made similar compensation recommendations to the Compensation Committee. The Compensation Committee then considered these recommendations in making its determinations regarding compensation for these named executive officers.</w:t>
      </w:r>
    </w:p>
    <w:p>
      <w:pPr>
        <w:spacing w:after="0" w:line="2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2011, the Compensation Committee established a goal for Messrs. Essig, Arduini and Henneman to achieve adjusted EBITDA of $174-184 million (excluding the impact of stock-based compensation expense). This quantitative goal was intended as a “stretch” goal that would significantly benefit the Company, without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encouraging excessive and unnecessary risk-taking behavior. The Compensation Committee also established a goal for these individuals of developing a five-year strategic plan with the following objectives: minimum revenue growth of 6-9% per year and minimum adjusted earnings per share growth of 9-12%. In addition, the Compensation Committee assigned the following qualitative goals to these individuals:</w:t>
      </w:r>
    </w:p>
    <w:p>
      <w:pPr>
        <w:spacing w:after="0" w:line="59" w:lineRule="exact"/>
        <w:rPr>
          <w:sz w:val="20"/>
          <w:szCs w:val="20"/>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outstanding leadership;</w:t>
      </w:r>
    </w:p>
    <w:p>
      <w:pPr>
        <w:spacing w:after="0" w:line="90" w:lineRule="exact"/>
        <w:rPr>
          <w:rFonts w:ascii="Arial" w:cs="Arial" w:eastAsia="Arial" w:hAnsi="Arial"/>
          <w:sz w:val="18"/>
          <w:szCs w:val="18"/>
          <w:color w:val="auto"/>
        </w:rPr>
      </w:pPr>
    </w:p>
    <w:p>
      <w:pPr>
        <w:ind w:left="700" w:right="80" w:hanging="246"/>
        <w:spacing w:after="0" w:line="26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high-quality executives and developing succession planning for critical positions, including particularly the effective succession planning for the CEO role;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leveraging and maintaining high-quality relationships with the investment community and key customers;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keeping the Board informed and consulted on appropriate matters;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corporate governance and ethical responsibilities are met;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development and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aligning and motivating the organization to achieve the objectives;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supporting and guiding the strengthening of organizational development and planning efforts;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corporate environment for continuous improvement;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supporting the development of business opportunities;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operating synergies projected in operating plans;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diversity;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encouraging employee equity ownership;</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enhancing compliance programs;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the timeliness and effectiveness of the finance function (for Messrs. Essig and Henneman);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communications and relations with shareholders and lenders;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and enhancing commitment to quality systems (for Messrs. Essig and Arduini);</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enhance evaluation process by tying compliance initiatives with performance evaluations;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participating in the development of the industry and public policy positions and action plans;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improving gross margin;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managing capital efficiently.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Compensation Committee assigned Mr. Arduini goals of (i) supporting the implementation of a global enterprise resource planning system and (ii) optimizing manufacturing efficiencies and quality to achieve gross margin improvements and investing in cost improvement projects and options optimization.</w:t>
      </w:r>
    </w:p>
    <w:p>
      <w:pPr>
        <w:spacing w:after="0" w:line="5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indicated above, the Committee determined not to pay cash bonuses to the Executive Chairman and the Chief Financial Officer for 2011 and to pay only the minimum amount required to Mr. Arduini pursuant to his employment agreement. The Compensation Committee reviewed corporate and individual performance against the 2011 goals described above for Messrs. Essig, Arduini and Henneman in determining the amount of RSUs to grant to Mr. Essig for his annual equity award, the amount of RSUs and options to grant to Mr. Arduini for his annual equity awards and the amount of restricted stock to grant to</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Mr. Henneman (instead of cash). Although the Company achieved adjusted EBITDA (excluding stock-based compensation) of $168.2 million, which represents a 1% increase from 2010, the Company did not achieve the adjusted EBITDA goal of $174-184 million (excluding the impact of stock-based compensation expense). That said, the Committee considered the record revenue performance in 2011, especially in light of the challenging economic and regulatory environment. In addition, the Committee considered the Company’s long-term performance and overall accomplishments. (See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“Executive Summary” above for information on certain key financial accomplishments for 2011.) Further, the goals of developing the five-year strategic plan and recruiting and developing a high-quality executive as President and Chief Operating Officer in 2010 and then to fill the position of Chief Executive Officer when the Company appointed Mr. Essig Executive Chairman were achieved. The Committee considered the acquisition and integration of SeaSpine and Ascension Orthopedics, as well as talent investments and realignments. The Committee reviewed each individual’s performance against the individual goals described above. For Mr. Arduini, the Committee also considered his role in geographic expansion, optimization of cost structure and refinements to the Company’s strategic plan. No weightings were assigned, and the Committee viewed these objectives in the aggregate, with special emphasis on the qualitative goals, particularly compliance, leadership, business development, recruiting, succession planning, employee development and cash management. As noted above, the Committee gave substantial weight to CEO succession considerations in its 2011 decisions, and the compensation awarded to Mr. Essig and Mr. Arduini reflect this philosophy, particularly insofar as they provided continuity and reduced risk in the transition of the role of the Chief Executive Officer. As a result of the annual review, the Committee determined that these individuals had met many of their most important 2011 goals. In addition, the Committee considered the performance of the Company and the individuals against these goals, as well as their 2012 responsibilities when determining the 2012 salaries and the equity grants for Messrs. Essig, Arduini and Henneman for 2011 performance.</w:t>
      </w:r>
    </w:p>
    <w:p>
      <w:pPr>
        <w:spacing w:after="0" w:line="43" w:lineRule="exact"/>
        <w:rPr>
          <w:sz w:val="20"/>
          <w:szCs w:val="20"/>
          <w:color w:val="auto"/>
        </w:rPr>
      </w:pPr>
    </w:p>
    <w:p>
      <w:pPr>
        <w:jc w:val="both"/>
        <w:ind w:right="400" w:firstLine="456"/>
        <w:spacing w:after="0" w:line="305" w:lineRule="auto"/>
        <w:rPr>
          <w:sz w:val="20"/>
          <w:szCs w:val="20"/>
          <w:color w:val="auto"/>
        </w:rPr>
      </w:pPr>
      <w:r>
        <w:rPr>
          <w:rFonts w:ascii="Arial" w:cs="Arial" w:eastAsia="Arial" w:hAnsi="Arial"/>
          <w:sz w:val="15"/>
          <w:szCs w:val="15"/>
          <w:color w:val="auto"/>
        </w:rPr>
        <w:t>Adjusted EBITDA, excluding the impact of stock-based compensation expense, consists of net income determined in accordance with U.S. Generally Accepted Accounting Principles (“GAAP”), excluding: (i) depreciation and amortization, (ii) other income (expense), net, (iii) interest income and expense,</w:t>
      </w:r>
    </w:p>
    <w:p>
      <w:pPr>
        <w:ind w:right="160" w:firstLine="8"/>
        <w:spacing w:after="0" w:line="261"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 (v) stock-based compensation expense and (vi) certain operating expenses that, for various reasons, we do not use when evaluating operating performance, e.g., because they are of an infrequent and/or non-cash nature.</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used adjusted EBITDA, excluding the impact of stock-based compensation expense, as one of the performance objectives for these executives for 2011 because we believe it provides important supplemental information regarding financial and business trends relating to the Company’s financial condition and results of operations. In addition, management uses adjusted EBITDA when evaluating operating performance because we believe that it provides a supplemental measure of our operating results that facilitates comparability of our operating performance from period to period, against our business model objectives and against other companies in our industry.</w:t>
      </w:r>
    </w:p>
    <w:p>
      <w:pPr>
        <w:spacing w:after="0" w:line="6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2011, we achieved $168.2 million of adjusted EBITDA, excluding the $13.5 million impact of stock-based compensation expense. This reflects a total of $126.7 million in adjustments to GAAP net income of $28.0 million excluding such compensation expense. The adjustments included the following:</w:t>
      </w:r>
    </w:p>
    <w:p>
      <w:pPr>
        <w:spacing w:after="0" w:line="4" w:lineRule="exact"/>
        <w:rPr>
          <w:sz w:val="20"/>
          <w:szCs w:val="20"/>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$45.6 million of depreciation and amortization;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$(757) thousand of other income (expense), net;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$27.2 million of interest (income) expense, net;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$505 thousand of income tax expense;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$8.4 million of charges related to extending our former Chief Executive Officer’s employment contract;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thousand of expenses related to our Chief Executive Officer joining the Company;</w:t>
      </w:r>
    </w:p>
    <w:p>
      <w:pPr>
        <w:spacing w:after="0" w:line="9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$4.9 million of charges related to the accelerated vesting of stock-based compensation and the minimum annual stock-based compensation award for our former Chief Executive Officer; and</w:t>
      </w:r>
    </w:p>
    <w:p>
      <w:pPr>
        <w:spacing w:after="0" w:line="50" w:lineRule="exact"/>
        <w:rPr>
          <w:rFonts w:ascii="Arial" w:cs="Arial" w:eastAsia="Arial" w:hAnsi="Arial"/>
          <w:sz w:val="18"/>
          <w:szCs w:val="18"/>
          <w:color w:val="auto"/>
        </w:rPr>
      </w:pPr>
    </w:p>
    <w:p>
      <w:pPr>
        <w:ind w:left="700" w:right="180" w:hanging="246"/>
        <w:spacing w:after="0" w:line="294"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$40.8 million of certain operating expenses that we do not use when evaluating operating performance. These expenses include (i) acquisition-related charges, (ii) certain employee termination and related charges, (iii) charges associated with discontinued or withdrawn product lines, (iv) systems implementation charges, (v) facility consolidation, acquisition integration, manufacturing and distribution transfer charges, (vi) expenses associated with remediation and related unplanned idle time and underutilization at our Plainsboro, New Jersey manufacturing facility, (vii) charges relating to restructuring our European subsidiaries and (viii) intangible asset impairment charges.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see our Current Report on Form 8-K that we filed on February 23, 2012.</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for 2011, the Committee’s compensation decisions for Mr. Henneman reflected the Committee’s intent to provide the same basic level of compensation to him that was generally in line with compensation previously provided to him, reflecting his level of responsibility, as well as individual and Company performance. However, because the Company’s performance in 2011, the Committee determined to award him restricted stock (instead of a cash bonus) for 2011, the value of which was 25% less than his bonus target amount. In addition, Mr. Henneman requested and the Committee agreed to reduce his 2012 annual base salary rate to his 2011 base salary rate, effective as of March 17, 2012. See “2012 Employment Agreement and Severance Agreement Matters.”</w:t>
      </w:r>
    </w:p>
    <w:p>
      <w:pPr>
        <w:spacing w:after="0" w:line="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2011, the Committee’s decisions regarding the compensation of Ms. O’Grady and Mr. Corbin were intended to keep their compensation in line with the compensation of other Senior Vice Presidents and Vice Presidents, respectively, as well as to generally maintain their overall compensation package consistent with that of prior years. In addition, such decisions recognized their individual performance as well as the Company’s performance. Because of economic conditions and the Company’s performance in 2011, the Committee determined to award a substantial portion of their respective award for 2011 performance in restricted stock with three-year annual vesting and the remaining portion in cash.</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Mr. Essig’s employment agreement provides that (1) we increase his salary by a minimum of $50,000 each year during the term of the agreement and</w:t>
      </w:r>
    </w:p>
    <w:p>
      <w:pPr>
        <w:spacing w:after="0" w:line="38" w:lineRule="exact"/>
        <w:rPr>
          <w:sz w:val="20"/>
          <w:szCs w:val="20"/>
          <w:color w:val="auto"/>
        </w:rPr>
      </w:pPr>
    </w:p>
    <w:p>
      <w:pPr>
        <w:ind w:right="20" w:firstLine="8"/>
        <w:spacing w:after="0" w:line="287"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Essig be eligible for a target bonus in cash that shall not be less than 100% of his base salary. When we extended Mr. Essig’s employment agreement in August 2008, we amended the agreement to provide that his annual equity-based grant be in the form of RSUs or performance stock, at the Compensation Committee’s discretion, and that the grant cover between 75,000 and 100,000 shares of common stock. The compensation that we have paid to Mr. Essig has demonstrated a connection among these three components. We have increased Mr. Essig’s salary by the minimum amount during each year of his agreement through 2011, except that, because of economic conditions, we temporarily reduced his 2009 base salary in April 2009 through the end of 2009 to his 2008 base salary level. Because of the performance of the Company in 2011, Mr. Essig requested and the Committee agreed not to increase Mr. Essig’s salary for 2012 from 2011 levels. The Committee also determined not to pay Mr. Essig a bonus for 2011 and awarded him 75,000 RSUs for his annual equity award for 2011, which was the minimum annual equity award required by his employment agreement.</w:t>
      </w:r>
    </w:p>
    <w:p>
      <w:pPr>
        <w:spacing w:after="0" w:line="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2011, the Committee’s compensation decisions for Mr. Arduini were consistent with the terms of his employment agreement. For 2011, the Company paid him the minimum cash bonus required and granted him RSUs and options in the amounts required. In addition, his salary for 2011 remained the same as it was when we hired him in November 2010. (See “2010 Employment Agreement Matters” and “2011 Employment Agreement and Severance Agreement Matters.”)</w:t>
      </w:r>
    </w:p>
    <w:p>
      <w:pPr>
        <w:spacing w:after="0" w:line="6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so as to retain their services, and we have considered the cash compensation that we pay to executive officers in setting the size of equity grants.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Practices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make decisions to grant equity awards without regard to anticipated earnings or other major announcements by the Company. Historically, the Compensation Committee has approved the annual equity-based grants to Mr. Essig at its December meeting and generally approved the annual equity-based grants to other executive officers and, depending on the amount of the award, other managers at a meeting held in December or February (except that the Committee decided to approve awards for 2011 and future annual awards for all executive officers in the first quarter following the performance year). Annual equity awards are approved after our annual review process for the individuals is completed. In the case of an approval by written consent, the grant date cannot be earlier than the date when the Committee member approvals have been obtained. In addition, the Special Award Committee, comprised of our Chief Executive Officer, has authority (within specified limits) to approve equity-based awards to other managers. The Special Award Committee approves and makes equity grants on the first business day of the month. The Special Award Committee typically approves annual awards during the first quarter. We expect this general timetable to continue.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we have generally moved from granting options to granting restricted stock and performance stock or RSUs, we expect other grants to our named executive officers to be made on the first business day of the month or quarter following the approval of the Compensation Committee. We make equity grants to members of our Board of Directors on the date of our annual meeting of stockholders.</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exercise price of our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 The terms of these plans require that the exercise price of options granted under the plans be not less than the fair market value of our common stock on the date of grant. The plans define “fair market value” as the closing price of our common stock on the NASDAQ Global Select Market on the date of grant. In general, our 2003 Equity Incentive Plan provides that, without stockholder approval, no amendment may be made that would reprice outstanding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Employment Agreement Matters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October 2010, we entered into an employment agreement with Mr. Arduini. The employment agreement provides that he will receive (i) an annual base salary of $600,000 for 2010 and 2011, subject to annual reviews for any increase, but no decrease, (ii) a cash signing bonus of $500,000, (iii) a signing award of fully vested RSUs with a value of $1,500,000, (iv) a bonus for 2011 equal to 90% of his annual base salary, (v) an annual bonus opportunity for 2012 and future years with a target of 90% of base salary, based on achievement of performance objectives determined by the Compensation Committee with a range from 50% of base salary (if threshold performance goals are achieved) to a maximum of 150% of base salary, (vi) reimbursement of weekly round trip coach airfare for commuting prior to permanent relocation, (vii) reimbursement of up to $200,000 in certain relocation expenses (see “Perquisites below”) that do not include a home buy-out, (viii) reimbursement of up to $15,000 in legal fees incurred in connection with the initial negotiation of the employment agreement and</w:t>
      </w:r>
    </w:p>
    <w:p>
      <w:pPr>
        <w:ind w:right="140" w:firstLine="8"/>
        <w:spacing w:after="0" w:line="252" w:lineRule="auto"/>
        <w:tabs>
          <w:tab w:leader="none" w:pos="2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discretionary annual equity awards equal to $1,000,000, allocated 70% in RSUs, which are subject to his continued employment, with annual vesting over three years and 30% in non-qualified stock options with a six-year term. Once vested, the shares underlying the RSU grants will be deferred and delivered to Mr. Arduini within the 30-day period immediately following the six-month anniversary of his separation from service. The unvested RSUs are subject to accelerated vesting upon death or disability or upon a “Change in Control” of the Company (as defined in the agreement). Subject to Mr. Arduini’s continued service with the Company, the options will vest as follows: 25% of the Shares vest on the first anniversary of the option grant date and the remaining shares vest monthly thereafter over the subsequent 36 months. In addition, the options will vest in full upon his death or disability or upon a “Change in Control” of the Company.</w:t>
      </w:r>
    </w:p>
    <w:p>
      <w:pPr>
        <w:spacing w:after="0" w:line="6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Mr. Arduini’s employment with the Company is terminated by the Company for a reason other than death, “Disability” or “Cause” or Mr. Arduini terminates his employment with the Company for “Good Reason” (each as defined in the employment agreement), the Company will pay to him a lump sum cash severance amount equal to the sum of his annual base salary and target bonus, each as of his last day of active employment. In addition, in general, the Company will pay him monthly cash payments equal to the Company’s cost of COBRA and life insurance premiums for up to one year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 the scheduled employment term. The employment agreement with Mr. Arduini does not include any tax gross-up provisions. The above severance benefits are conditioned on Mr. Arduini and the Company executing a mutual release of claims.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October 2010, we amended the employment agreement with Mr. Henneman, including extending the term thereof through January 4, 2013. In addition, the amendment to his agreement deleted all gross-up provisions and provided for automatic one-year extensions unless either party provides at least six months advance notice of nonrenewal.</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October 2010 amendment to the employment agreement with Mr. Henneman provides that he will receive (i) a base salary of $525,000 for 2010 and $550,000 for 2011 and (ii) restricted stock with a value of $3,000,000 granted on December 15, 2010. His annual bonus opportunity targeted at 50% of base salary remains unchanged. The restricted stock grant, which is subject to his continued service with the Company, will vest in two equal annual installments on the first two anniversaries of the grant date and is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 or (iv) the executive’s death. If the employment agreement terminates as a result of the Company’s nonrenewal of the term, the nonrenewal would be treated the same as a termination without “Cause” and severance and certain benefits would be payable following the end of the term of the agreement.</w:t>
      </w:r>
    </w:p>
    <w:p>
      <w:pPr>
        <w:spacing w:after="0" w:line="3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Prior to approving the terms of the employment agreement for Mr. Arduini and the amendment to Mr. Henneman’s employment agreement, as well as the December 2010 compensation matters for Mr. Essig (i.e., his 2011 salary and 2010 bonus and annual equity grant), the Committee engaged Towers Watson to provide consulting services in connection with the terms of these agreements and the December 2010 compensation matters for Mr. Essig, including compiling market data on compensation of chief executive officers, chief operating officers and chief financial officers at peer groups approved in advance by the Committee. One group, consisting of similar-sized peers, included Alere Inc. (formerly known as Inverness Medical Innovations, Inc.), American Medical Systems Holdings, Inc., Arthrocare Corporation, CONMED Corporation, Edwards Lifesciences Corp., Haemonetics Corporation, Hill-Rom Holdings, Inc., Hologic, Inc., NuVasive Inc., ResMed, Inc., STERIS Corporation, The Cooper Companies, Inc. and Wright Medical Group, Inc. The second group, consisting of large company peers, included Baxter International Inc., Becton, Dickinson &amp; Co., Boston Scientific Corporation, C.R. Bard, Inc., CareFusion Corporation, Covidien Public Limited Company, Hospira, Inc., Medtronic, Inc., St. Jude Medical, Inc., Stryker Corporation and Zimmer Holdings, Inc. The review included data on larger medical device companies because Integra is more complex, diversified, and international than the small company peers, and accordingly needs to recruit executives from larger peers.</w:t>
      </w:r>
    </w:p>
    <w:p>
      <w:pPr>
        <w:spacing w:after="0" w:line="4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Committee used a similar process in reviewing and determining the terms of the employment agreement for Mr. Arduini and the amendment to extend the term of the employment agreement for Mr. Henneman and the December 2010 compensation matters for Mr. Essig as it had used in 2008 when reviewing and determining the terms of the amendments to extend the terms of the employment agreements with Messrs. Essig and Henneman. Prior to approving the 2010 agreements for Messrs. Arduini and Henneman and the December 2010 compensation matters for Mr. Essig, the Committee reviewed the market data analysis that Towers Watson developed, the proposed size, form and rationale for salaries, bonuses, equity-based awards, tax and accounting considerations, unique circumstances, succession planning considerations and process for developing the terms of the amendments. In the case of Mr. Arduini, the Committee also considered the amount of his compensation at his former employer and the fact that he would be forfeiting a substantial amount of such compensation.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“Post-Employment Arrangements” below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Employment Agreement and Severance Agreement Matters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January 2011, we entered into a new one-year severance agreement with Ms. O’Grady following the expiration of her prior agreement. Ms. O’Grady’s severance agreement provides for a payment of one times base salary if, following a change in control, we terminate her employment other than for cause or she terminates her employment with us for “Good Reason” (as defined in her agreement).</w:t>
      </w:r>
    </w:p>
    <w:p>
      <w:pPr>
        <w:spacing w:after="0" w:line="5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a letter from Mr. Essig to the Company, in December 2011, Mr. Essig agreed that, effective as of January 3, 2012, his new position and title would be Executive Chairman of the Company’s Board of Directors. In addition, he agreed that, notwithstanding the terms of his employment agreement, he would not receive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salary increase for 2012 and, unless otherwise determined by the Compensation Committee of the Board of Directors in its sole discretion, would not be eligible for an annual performance bonus or annual equity award for 2012 or thereafter. Mr. Essig also agreed that the annual equity award that the Company determines to grant him for 2011 may be granted in the first quarter of 2012. Further, he agreed that neither these changes nor any related action taken by the Company (including the appointment of a new Chief Executive Officer) would constitute a breach of, or “Good Reason” (as defined in his agreement) for purposes of, his employment agreement or any other agreement between him and the Company.</w:t>
      </w:r>
    </w:p>
    <w:p>
      <w:pPr>
        <w:spacing w:after="0" w:line="3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December 2011, we entered into an amended and restated employment agreement, effective January 3, 2012, with Mr. Arduini in connection with his appointment as President and Chief Executive Officer. The amended agreement provides that he would receive (i) an annual base salary of $725,000, with increases subject to the Compensation Committee’s discretion, with annual increases targeted at $30,000, (ii) a promotional award on January 3, 2012 of RSUs covering 118,363 shares of common stock and vesting annually over three years, (iii) a promotional award on March 1, 2012 of nonqualified options covering 206,719 shares of common stock with an eight-year term, (iv) a target bonus opportunity for 2012 and future years of 110% of base salary, based on achievement of performance objectives determined by the Compensation Committee with a range from 50% of base salary (if threshold performance goals are achieved) to a maximum of 150% of base salary, (v) reimbursement of up to $15,000 in legal fees incurred in connection with the negotiation of the amended employment agreement and (vi) discretionary annual equity awards commencing in 2012 with an aggregate target value of at least $1,250,000, allocated 70% in RSUs, which are subject to his continued employment, with annual vesting over three years and 30% in non-qualified stock options with an eight-year term. Once vested, the shares underlying the RSU grants will be deferred and delivered to Mr. Arduini within the 30-day period immediately following the six-month anniversary of his separation from service. The unvested RSUs are subject to accelerated vesting upon death or disability or upon a “Change in Control” of the Company (as defined in the agreement). Subject to Mr. Arduini’s continued service with the Company, the options will vest as follows: one-third of the shares vest on the first anniversary of the option grant date and the remaining shares vest monthly thereafter over the subsequent 24 months, except that the vesting schedule for the promotional option grant uses the January 3, 2012 promotion date instead of the grant date. In addition, the options will vest in full upon his death or disability or upon a “Change in Control” of the Company.</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Arduini’s employment with the Company is terminated by the Company for a reason other than death, “Disability” or “Cause” or Mr. Arduini terminates his employment with the Company for “Good Reason” (each as defined in the employment agreement), the Company will pay to him a lump sum cash severance amount equal to 1.5 times the sum of his annual base salary and target bonus, each as of his last day of active employment. In addition, in general, the Company will pay him monthly cash payments equal to the Company’s cost of COBRA and life insurance premiums for up to eighteen months following the termination date. If within 18 months of a Change in Control of the Company, Mr. Arduini’s employment with the Company is terminated by the Company for a reason other than death, Disability or Cause or he terminates employment with the Company for Good Reason, the Company will pay to him a lump sum cash payment equal to 2.99 times the sum of his annual base salary and target bonus, each as of his last day of active employment. In addition, in general, the Company will pay him monthly cash payments equal to the Company’s cost of COBRA and life insurance premiums during the period ending not later than the last day of the scheduled employment term.</w:t>
      </w:r>
    </w:p>
    <w:p>
      <w:pPr>
        <w:spacing w:after="0" w:line="3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Committee used a similar process in reviewing and determining the terms of the 2011 amended employment agreement for Mr. Arduini, the May 2011 special equity grant for Mr. Essig in connection with the extension of his employment agreement and the February 2012 compensation decisions for Messrs. Essig, Arduini and Henneman as it had used in 2010 when reviewing and determining the terms of Mr. Arduini’s 2010 employment agreement, the terms of an amendment to extend Mr. Henneman’s employment agreement and the December 2010 compensation matters for Mr. Essig. Prior to approving these matters, the Committee engaged Towers Watson to provide consulting services, including compiling market data on compensation of chief executive officers, chief operating officers and chief financial officers at peer groups approved in advance by the Committee. Prior to approving the amended and restated employment agreement for Mr. Arduini, the May 2011 equity grant for Mr. Essig and the February 2012 compensation decisions for Messrs. Essig, Arduini and Henneman, the Committee reviewed the market data analysis that Towers Watson developed, the proposed size,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form and rationale for salaries, bonuses, equity-based awards, tax and accounting considerations, unique circumstances, succession planning considerations and process for developing the terms of the applicable compensation.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“Post-Employment Arrangements” below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Employment Agreement and Severance Agreement Matters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Pursuant to a letter from Mr. Henneman to the Company, in February 2012, Mr. Henneman requested and the Company agreed that, effective as of March 17, 2012, his 2012 annual base salary rate would be reduced to his 2011 annual base salary rate. He also agreed that neither this change nor any related action taken by the Company would constitute a breach of, or “Good Reason” (as defined in his employment agreement) for purposes of, his employment agreement or any other agreement between him and the Company.</w:t>
      </w:r>
    </w:p>
    <w:p>
      <w:pPr>
        <w:spacing w:after="0" w:line="62"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January 2012, we entered into a new one-year severance agreement with Ms. O’Grady following the expiration of her prior agreement. Ms. O’Grady’s severance agreement provides for a payment of one times base salary if, following a change in control, we terminate her employment other than for cause or she terminates her employment with us for “Good Reason” (as defined in her agreement). The agreement also eliminated a tax gross-up provision relating to health care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have entered into employment agreements with our Executive Chairman, our President and Chief Executive Officer and our Chief Financial Officer. The employment agreements provide for payments if we were to terminate them other than for cause and if the executive were to terminate his employment for good reason, and provide for additional payments if the executive’s employment is terminated under these circumstances following a change in control.</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of 2010, 2011 and 2012, we entered into a new one-year severance agreement with Ms. O’Grady following the expiration of her prior agreement. Ms. O’Grady’s severance agreement provides for a payment if, following a change in control, we terminate her employment other than for cause or she terminates her employment with us for “good reason” (as defined in her agreement). The 2012 agreement eliminated a gross-up provision relating to health care payments. The only named executive officers who currently have employment agreements that provide for termination payments outside a change in control are our Executive Chairman, our President and Chief Executive Officer and our Chief Financial Officer. Only a limited number of other U.S.-based employees are parties to agreements that provide for such payments.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severance agreement with Mr. Corbin.</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unvested RSUs would vest and be distributed on the date of the change in control. Mr. Essig’s employment agreement also provided for a full gross-up payment to cover excise taxes under Section 280G of the Internal Revenue Code. We had included change-in-control benefits in the employment agreement that we entered into with our Executive Vice Presidents in late 2005 and early 2006, and our Compensation Committee determined that it was appropriate to amend Mr. Essig’s employment agreement to provide similar benefits.</w:t>
      </w:r>
    </w:p>
    <w:p>
      <w:pPr>
        <w:spacing w:after="0" w:line="63"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The 2006 amendment provides Mr. Essig with change-in-control benefits that are in addition to the benefits that were provided in the initial agreement. Specifically, if within 18 months following a change in control (i) we terminate Mr. Essig’s employment for a reason other than death, disability or cause,</w:t>
      </w:r>
    </w:p>
    <w:p>
      <w:pPr>
        <w:ind w:right="80" w:firstLine="8"/>
        <w:spacing w:after="0" w:line="261" w:lineRule="auto"/>
        <w:tabs>
          <w:tab w:leader="none" w:pos="2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Essig terminates his employment for good reason or (iii) we do not extend Mr. Essig’s employment agreement after a change in control, Mr. Essig will be entitled to additional severance benefits.</w:t>
      </w:r>
    </w:p>
    <w:p>
      <w:pPr>
        <w:spacing w:after="0" w:line="5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August 2008, we amended the employment agreement with Mr. Essig, including extending the term thereof. In addition, in December 2008, we amended the employment agreement with Mr. Henneman, including extending the term thereof. In addition, the amendment to the agreement with Mr. Henneman deleted the prior provision for cash severance and certain other benefits upon a nonrenewal of the employment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October 2010, we amended the employment agreement with Mr. Henneman, including extending the term thereof. In addition, the amendment to his agreement eliminated all gross-up provisions, provided for automatic one-year extensions unless either party provides at least six months advance notice of nonrenewal and included a provision for cash severance and certain other benefits upon the termination of the agreement as a result of a nonrenewal by the Company.</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October 2010, we entered into an employment agreement with Mr. Arduini which included a provision for cash severance and certain other benefits upon termination of the agreement for certain reasons.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December 2011, we entered into an amended and restated employment agreement, effective as of January 3, 2012, with Mr. Arduini which, among other things, increased the amount of cash severance and certain other benefits upon the termination of his employment by the Company other than for “Cause” or by him for “Good Reason” (as defined in the agreement).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“2010 Employment Agreement Matters,” “2011 Employment Agreement and Severance Agreement Matters” and “2012 Employment Agreement and Severance Agreement Matters” above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Named Executive Officer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(i) December 2010 for Messrs. Essig and Henneman, (ii) February 2011 for Ms. O’Grady and Mr. Corbin and (iii) October 2010 for Mr. Arduini, the Compensation Committee approved their respective base salaries shown in column (a)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4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4"/>
              </w:rPr>
              <w:t>2011 Base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Increase from</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20" w:type="dxa"/>
            <w:vAlign w:val="bottom"/>
          </w:tcPr>
          <w:p>
            <w:pPr>
              <w:spacing w:after="0"/>
              <w:rPr>
                <w:sz w:val="12"/>
                <w:szCs w:val="12"/>
                <w:color w:val="auto"/>
              </w:rPr>
            </w:pPr>
          </w:p>
        </w:tc>
        <w:tc>
          <w:tcPr>
            <w:tcW w:w="214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0"/>
              </w:rPr>
              <w:t>Salary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20" w:type="dxa"/>
            <w:vAlign w:val="bottom"/>
            <w:gridSpan w:val="3"/>
            <w:vMerge w:val="continue"/>
          </w:tcPr>
          <w:p>
            <w:pPr>
              <w:spacing w:after="0"/>
              <w:rPr>
                <w:sz w:val="13"/>
                <w:szCs w:val="13"/>
                <w:color w:val="auto"/>
              </w:rPr>
            </w:pPr>
          </w:p>
        </w:tc>
        <w:tc>
          <w:tcPr>
            <w:tcW w:w="3320" w:type="dxa"/>
            <w:vAlign w:val="bottom"/>
          </w:tcPr>
          <w:p>
            <w:pPr>
              <w:spacing w:after="0"/>
              <w:rPr>
                <w:sz w:val="13"/>
                <w:szCs w:val="13"/>
                <w:color w:val="auto"/>
              </w:rPr>
            </w:pPr>
          </w:p>
        </w:tc>
        <w:tc>
          <w:tcPr>
            <w:tcW w:w="2140" w:type="dxa"/>
            <w:vAlign w:val="bottom"/>
            <w:gridSpan w:val="2"/>
          </w:tcPr>
          <w:p>
            <w:pPr>
              <w:jc w:val="center"/>
              <w:ind w:right="1460"/>
              <w:spacing w:after="0" w:line="148" w:lineRule="exact"/>
              <w:rPr>
                <w:sz w:val="20"/>
                <w:szCs w:val="20"/>
                <w:color w:val="auto"/>
              </w:rPr>
            </w:pPr>
            <w:r>
              <w:rPr>
                <w:rFonts w:ascii="Arial" w:cs="Arial" w:eastAsia="Arial" w:hAnsi="Arial"/>
                <w:sz w:val="14"/>
                <w:szCs w:val="14"/>
                <w:b w:val="1"/>
                <w:bCs w:val="1"/>
                <w:color w:val="auto"/>
                <w:w w:val="93"/>
              </w:rPr>
              <w:t>(a)</w:t>
            </w: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400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90"/>
              </w:rPr>
              <w:t>$750,000</w:t>
            </w: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4000" w:type="dxa"/>
            <w:vAlign w:val="bottom"/>
            <w:gridSpan w:val="2"/>
          </w:tcPr>
          <w:p>
            <w:pPr>
              <w:jc w:val="center"/>
              <w:ind w:left="3232"/>
              <w:spacing w:after="0"/>
              <w:rPr>
                <w:sz w:val="20"/>
                <w:szCs w:val="20"/>
                <w:color w:val="auto"/>
              </w:rPr>
            </w:pPr>
            <w:r>
              <w:rPr>
                <w:rFonts w:ascii="Arial" w:cs="Arial" w:eastAsia="Arial" w:hAnsi="Arial"/>
                <w:sz w:val="18"/>
                <w:szCs w:val="18"/>
                <w:color w:val="auto"/>
                <w:w w:val="90"/>
              </w:rPr>
              <w:t>$600,000</w:t>
            </w:r>
          </w:p>
        </w:tc>
        <w:tc>
          <w:tcPr>
            <w:tcW w:w="14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400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90"/>
              </w:rPr>
              <w:t>$525,000</w:t>
            </w: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4000" w:type="dxa"/>
            <w:vAlign w:val="bottom"/>
            <w:gridSpan w:val="2"/>
          </w:tcPr>
          <w:p>
            <w:pPr>
              <w:jc w:val="center"/>
              <w:ind w:left="3232"/>
              <w:spacing w:after="0"/>
              <w:rPr>
                <w:sz w:val="20"/>
                <w:szCs w:val="20"/>
                <w:color w:val="auto"/>
              </w:rPr>
            </w:pPr>
            <w:r>
              <w:rPr>
                <w:rFonts w:ascii="Arial" w:cs="Arial" w:eastAsia="Arial" w:hAnsi="Arial"/>
                <w:sz w:val="18"/>
                <w:szCs w:val="18"/>
                <w:color w:val="auto"/>
                <w:w w:val="90"/>
              </w:rPr>
              <w:t>$275,000</w:t>
            </w:r>
          </w:p>
        </w:tc>
        <w:tc>
          <w:tcPr>
            <w:tcW w:w="14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E. Corbin</w:t>
            </w:r>
          </w:p>
        </w:tc>
        <w:tc>
          <w:tcPr>
            <w:tcW w:w="400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90"/>
              </w:rPr>
              <w:t>$257,500</w:t>
            </w:r>
          </w:p>
        </w:tc>
        <w:tc>
          <w:tcPr>
            <w:tcW w:w="1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salary amounts shown in column (a) above for Messrs. Essig and Henneman were effective January 1, 2011. The salary amount shown in column</w:t>
      </w:r>
    </w:p>
    <w:p>
      <w:pPr>
        <w:spacing w:after="0" w:line="38" w:lineRule="exact"/>
        <w:rPr>
          <w:sz w:val="20"/>
          <w:szCs w:val="20"/>
          <w:color w:val="auto"/>
        </w:rPr>
      </w:pPr>
    </w:p>
    <w:p>
      <w:pPr>
        <w:ind w:right="40" w:firstLine="8"/>
        <w:spacing w:after="0" w:line="295"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above for Mr. Arduini was effective November 1, 2010, the date he commenced employment with the Company. The increases for the other named executive officers were effective March 18, 2011. The increase in Mr. Essig’s salary from $700,000 to $750,000 was the minimum required under his employment agreement. In addition, the salary increase for Mr. Henneman was required by his employment agreement. Further, the increases for Ms. O’Grady and Mr. Corbin were determined by the Committee based on a review of their individual performance in 2010. See “Elements of Compensation — Base Salaries” above.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Bonus Payments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Mr. Essig’s employment agreement provides that he shall be eligible for a cash bonus that shall not be less than 100% of his base salary. Prior to 2006, the Committee determined not to award Mr. Essig a cash bonus because of our limited cash flow. For 2008 and 2009, the Committee determined not to award a cash bonus to Mr. Essig because of economic conditions. For 2011, the Committee determined not to award him a cash bonus because of the Company’s performance. For 2010, the Committee determined to pay him a bonus equal to $700,038 (approximately equal to the target amount), based on Company and individual performance. The Committee determined to pay the bonus partly in cash ($300,000) and partly in RSUs (with a value of $400,038) with annual vesting over three years.</w:t>
      </w:r>
    </w:p>
    <w:p>
      <w:pPr>
        <w:spacing w:after="0" w:line="6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target bonus of 90% of base salary for 2011 is provided in Mr. Arduini’s employment agreement. For 2011, the Committee determined to pay him $540,000, the minimum amount required under his agreement,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which $400,000 was paid in cash and $140,000 was paid in RSUs (with 100% vesting on the first anniversary of the grant date). Mr. Arduini, whom we hired in November 2010, was not eligible for a bonus for 2010 performance. The Company paid him a cash signing bonus of $500,000 in 2010, as provided in his employment agreement. See “2011 Employment Agreement and Severance Agreement Matters” and “2010 Employment Agreement Matters.”</w:t>
      </w:r>
    </w:p>
    <w:p>
      <w:pPr>
        <w:spacing w:after="0" w:line="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target bonus of 50% of base salary for 2011 is provided in Mr. Henneman’s employment agreement. Because of economic conditions, the Compensation Committee determined not to pay a cash bonus to him for 2008 and 2009. For 2011, the Committee determined not to award a cash bonus to him because of the Company’s performance.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see “Annual Review of Compensation” above.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Discretionary Bonuses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Compensation Committee determined to pay discretionary cash bonuses for 2011 to Mr. Corbin and Ms. O’Grady based on Company and individual performance. See “Annual Review of Compensation” and “Annual Cash Incentives” above.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Mr. Essig’s employment agreement, as amended in August 2008, provides that we shall award him an annual equity-based award in the form of RSUs or performance stock ranging from 75,000 to 100,000 shares of our common stock. In February 2012, we granted 75,000 fully vested RSUs to Mr. Essig for 2011. Because the Company treated this grant as having been made in December 2011 in accordance with FASB ASC Topic 718, it is shown in the Summary Compensation Table for 2011. In addition, in May 2011, we granted Mr. Essig 165,000 fully vested RSUs in connection with the extension of his employment agreement.</w:t>
      </w:r>
    </w:p>
    <w:p>
      <w:pPr>
        <w:spacing w:after="0" w:line="6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January and March 2012, we granted to Mr. Arduini 118,363 RSUs (with annual vesting over three years) and options covering 206,719 shares (with an eight-year term and vesting over a three-year period) in connection with his promotion to Chief Executive Officer. In February and March 2012, we granted to Mr. Arduini 22,684 RSUs (with annual vesting over three years) as an annual equity award for 2011 and 4,537 RSUs (with 100% vesting on the first anniversary of the grant date) as part of his bonus for 2011 performance. In March 2012, we granted to him 25,997 options (with an eight-year term and vesting over three years) for his 2011 performance. The underlying shares for the RSU grants will be deferred and will be delivered to Mr. Arduini within the 30-day period immediately following the six-month anniversary of his separation from service. Because these awards were made in 2012, they will be shown in the Summary Compensation Table for 2012. In November 2010, we granted to Mr. Arduini 34,868 fully vested RSUs (with a value at the time of grant equal to $1,500,021) in connection with his employment agreement. The underlying shares (less 738 shares withheld for employment taxes at the time of the grant) are deferred and will be delivered to Mr. Arduini within the 30-day period immediately following the six-month anniversary of his separation from service. See “2011 Employment Agreement and Severance Agreement Matters” and “2010 Employment Agreement Matters” above.</w:t>
      </w:r>
    </w:p>
    <w:p>
      <w:pPr>
        <w:spacing w:after="0" w:line="4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February 2012, we granted 6,380 shares of restricted stock having a grant date value equal to $196,886 to Mr. Henneman for his 2011 performance. The grant will vest annually over three years. Because this grant was made in 2012, it will be shown in the Summary Compensation Table for 2012. These amounts reflect the Committee’s intent to maintain his overall compensation package generally consistent with that of prior years and takes into consideration the lack of a cash bonus for 2009 and 2011. See “Annual Review of Compensation” above. Because no cash bonuses were paid to Mr. Henneman for 2009, as described above, the Committee did not follow its prior practice of paying him half of his bonus in cash and half in equity-based compensation. The Committee made this change because of then-current economic conditions.</w:t>
      </w:r>
    </w:p>
    <w:p>
      <w:pPr>
        <w:spacing w:after="0" w:line="39"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December 2010, we granted to Mr. Henneman 62,710 shares of restricted stock (with a value at the time of grant equal to $3,000,046) in connection with the extension of his employment agreement. The grant will vest in two annual equal installments on each of the first and second anniversaries of the grant date.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April 2012, we granted 3,303 shares of restricted stock having a grant date value equal to $115,506 to Ms. O’Grady and 4,345 shares of restricted stock having a grant date value equal to $151,945 to Mr. Corbin for their respective 2011 performance. These amounts reflect the Committee’s intent to maintain their overall compensation package (excluding the special retention award for Mr. Corbin in 2011) generally consistent with that of prior years and takes into consideration the amount of a discretionary cash bonus paid to them for 2011. See “Annual Review of Compensation” above. Because these grants were made in 2012, they will be shown in the Summary Compensation Table for 2012 in our 2013 proxy statement. The grants will vest annually over a three-year period.</w:t>
      </w:r>
    </w:p>
    <w:p>
      <w:pPr>
        <w:spacing w:after="0" w:line="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2011, we granted 2,106 shares of restricted stock having a grant date value equal to $100,035 to Ms. O’Grady and 2,106 shares of restricted stock having a grant date value equal to $100,035 to Mr. Corbin for their respective 2010 performance. These amounts reflect the Committee’s intent to maintain their overall compensation package consistent with that of prior years and takes into consideration the amount of a discretionary cash bonus paid to them for 2010. See “Annual Review of Compensation” above. The grants will vest annually over a three-year period. In addition, in July 2011, we granted restricted stock having a grant date value of $95,880 to Mr. Corbin as a special retention award. The grant will vest annually over a five-year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Section 162(m) of the Internal Revenue Code limits the deductibility of compensation paid to certain executive officers to $1,000,000 per year unless the compensation qualifies as performance-based. The Compensation Committee’s policy is to take into account Section 162(m) in establishing compensation of our executives.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the amount that is deductible under Section 162(m) of the Code. Nevertheless, the Committee determined to pay Mr. Essig’s bonus for 2010 partly in cash and partly in RSUs in order to preserve the deduction for the full bonus amount. (See “Annual Bonus Payments” above.) Similarly, the employment agreement with</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Arduini provides that the Committee may determine to pay his bonus for 2012 and future years partly in cash and partly in fully vested RSUs in order to preserve the Company’s deduction for the bonus. In addition, for this reason, his employment agreement provided for his bonus for 2011 to be paid partly in cash and partly in RSUs. The terms of the RSUs referred to above provide for deferral of the payout of the underlying shares until six months following the executive’s separation of service.</w:t>
      </w:r>
    </w:p>
    <w:p>
      <w:pPr>
        <w:spacing w:after="0" w:line="6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Compensation Committee also endeavors to structure executive officers’ compensation in a manner that is either compliant with, or exempt from, the application of Code Section 409A, the provisions of which may impose additional taxes to employees on non-conforming, nonqualified deferred compensation (including certain equity awards, severance, incentive compensation, traditional deferred compensation and other payments).</w:t>
      </w:r>
    </w:p>
    <w:p>
      <w:pPr>
        <w:spacing w:after="0" w:line="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account for stock-based compensation in accordance with FASB ASC Topic 718, which requires us to recognize compensation expense for share-based payments (including stock options, restricted stock, RSUs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2011 Annual Report on Form 10-K.</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THOMAS J. BALTIMORE,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NEAL MOSZKOWSKI</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information regarding compensation paid to our former Chief Executive Officer, our current President and Chief Executive Officer, our Chief Financial Officer and two other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Change in</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Pension</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Salary</w:t>
            </w: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1"/>
              </w:rPr>
              <w:t>Bonus</w:t>
            </w:r>
          </w:p>
        </w:tc>
        <w:tc>
          <w:tcPr>
            <w:tcW w:w="11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Awards(1)</w:t>
            </w:r>
          </w:p>
        </w:tc>
        <w:tc>
          <w:tcPr>
            <w:tcW w:w="8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5"/>
              </w:rPr>
              <w:t>Compensation(2)</w:t>
            </w:r>
          </w:p>
        </w:tc>
        <w:tc>
          <w:tcPr>
            <w:tcW w:w="11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3"/>
              </w:rPr>
              <w:t>Compensation(3)</w:t>
            </w: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Position</w:t>
            </w:r>
          </w:p>
        </w:tc>
        <w:tc>
          <w:tcPr>
            <w:tcW w:w="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6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t>
            </w:r>
          </w:p>
        </w:tc>
        <w:tc>
          <w:tcPr>
            <w:tcW w:w="5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(b)</w:t>
            </w: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1"/>
              </w:rPr>
              <w:t>(c)</w:t>
            </w:r>
          </w:p>
        </w:tc>
        <w:tc>
          <w:tcPr>
            <w:tcW w:w="98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(d)</w:t>
            </w:r>
          </w:p>
        </w:tc>
        <w:tc>
          <w:tcPr>
            <w:tcW w:w="114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(e)</w:t>
            </w:r>
          </w:p>
        </w:tc>
        <w:tc>
          <w:tcPr>
            <w:tcW w:w="8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9"/>
              </w:rPr>
              <w:t>(f)</w:t>
            </w: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w:t>
            </w:r>
          </w:p>
        </w:tc>
        <w:tc>
          <w:tcPr>
            <w:tcW w:w="11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(h)</w:t>
            </w:r>
          </w:p>
        </w:tc>
        <w:tc>
          <w:tcPr>
            <w:tcW w:w="13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rPr>
              <w:t>(i)</w:t>
            </w:r>
          </w:p>
        </w:tc>
        <w:tc>
          <w:tcPr>
            <w:tcW w:w="72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Stuart M. Essig</w:t>
            </w:r>
          </w:p>
        </w:tc>
        <w:tc>
          <w:tcPr>
            <w:tcW w:w="5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w w:val="96"/>
              </w:rPr>
              <w:t>2011</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749,038</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w w:val="89"/>
              </w:rPr>
              <w:t>10,723,200(5)</w:t>
            </w:r>
          </w:p>
        </w:tc>
        <w:tc>
          <w:tcPr>
            <w:tcW w:w="8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2,861</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11,475,099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Chairman and Former Chief</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698,462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5,184,038</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2,942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6,185,442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Executive Officer(4)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2009</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614,808</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4,195,011</w:t>
            </w:r>
          </w:p>
        </w:tc>
        <w:tc>
          <w:tcPr>
            <w:tcW w:w="5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3,648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4,813,467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80" w:type="dxa"/>
            <w:vAlign w:val="bottom"/>
            <w:gridSpan w:val="3"/>
          </w:tcPr>
          <w:p>
            <w:pPr>
              <w:spacing w:after="0"/>
              <w:rPr>
                <w:sz w:val="20"/>
                <w:szCs w:val="20"/>
                <w:color w:val="auto"/>
              </w:rPr>
            </w:pPr>
            <w:r>
              <w:rPr>
                <w:rFonts w:ascii="Arial" w:cs="Arial" w:eastAsia="Arial" w:hAnsi="Arial"/>
                <w:sz w:val="14"/>
                <w:szCs w:val="14"/>
                <w:color w:val="auto"/>
              </w:rPr>
              <w:t>Peter J. Arduini</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2011</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600,000</w:t>
            </w:r>
          </w:p>
        </w:tc>
        <w:tc>
          <w:tcPr>
            <w:tcW w:w="2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400,000(7)</w:t>
            </w:r>
          </w:p>
        </w:tc>
        <w:tc>
          <w:tcPr>
            <w:tcW w:w="1140" w:type="dxa"/>
            <w:vAlign w:val="bottom"/>
            <w:gridSpan w:val="2"/>
          </w:tcPr>
          <w:p>
            <w:pPr>
              <w:ind w:left="520"/>
              <w:spacing w:after="0"/>
              <w:rPr>
                <w:sz w:val="20"/>
                <w:szCs w:val="20"/>
                <w:color w:val="auto"/>
              </w:rPr>
            </w:pPr>
            <w:r>
              <w:rPr>
                <w:rFonts w:ascii="Arial" w:cs="Arial" w:eastAsia="Arial" w:hAnsi="Arial"/>
                <w:sz w:val="14"/>
                <w:szCs w:val="14"/>
                <w:color w:val="auto"/>
              </w:rPr>
              <w:t>—(8)</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—(8)</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157,213(9)</w:t>
            </w:r>
          </w:p>
        </w:tc>
        <w:tc>
          <w:tcPr>
            <w:tcW w:w="660" w:type="dxa"/>
            <w:vAlign w:val="bottom"/>
          </w:tcPr>
          <w:p>
            <w:pPr>
              <w:jc w:val="right"/>
              <w:spacing w:after="0"/>
              <w:rPr>
                <w:sz w:val="20"/>
                <w:szCs w:val="20"/>
                <w:color w:val="auto"/>
              </w:rPr>
            </w:pPr>
            <w:r>
              <w:rPr>
                <w:rFonts w:ascii="Arial" w:cs="Arial" w:eastAsia="Arial" w:hAnsi="Arial"/>
                <w:sz w:val="14"/>
                <w:szCs w:val="14"/>
                <w:color w:val="auto"/>
              </w:rPr>
              <w:t>1,157,213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President and Chief Executive Officer(6)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92,308</w:t>
            </w:r>
          </w:p>
        </w:tc>
        <w:tc>
          <w:tcPr>
            <w:tcW w:w="2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500,000(10)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1,500,021</w:t>
            </w:r>
          </w:p>
        </w:tc>
        <w:tc>
          <w:tcPr>
            <w:tcW w:w="500" w:type="dxa"/>
            <w:vAlign w:val="bottom"/>
          </w:tcPr>
          <w:p>
            <w:pPr>
              <w:spacing w:after="0"/>
              <w:rPr>
                <w:sz w:val="12"/>
                <w:szCs w:val="12"/>
                <w:color w:val="auto"/>
              </w:rPr>
            </w:pP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2,092,329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2009</w:t>
            </w: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B. Henneman, III</w:t>
            </w:r>
          </w:p>
        </w:tc>
        <w:tc>
          <w:tcPr>
            <w:tcW w:w="5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w w:val="96"/>
              </w:rPr>
              <w:t>2011</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524,519</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520"/>
              <w:spacing w:after="0" w:line="138" w:lineRule="exact"/>
              <w:rPr>
                <w:sz w:val="20"/>
                <w:szCs w:val="20"/>
                <w:color w:val="auto"/>
              </w:rPr>
            </w:pPr>
            <w:r>
              <w:rPr>
                <w:rFonts w:ascii="Arial" w:cs="Arial" w:eastAsia="Arial" w:hAnsi="Arial"/>
                <w:sz w:val="14"/>
                <w:szCs w:val="14"/>
                <w:color w:val="auto"/>
              </w:rPr>
              <w:t>—(12)</w:t>
            </w:r>
          </w:p>
        </w:tc>
        <w:tc>
          <w:tcPr>
            <w:tcW w:w="8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4,125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528,644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Finance and</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499,231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3,000,046</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2,865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3,752,142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Administration, and Chief Financial</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457,404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417,527</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3,648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878,579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Officer(11)</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80" w:type="dxa"/>
            <w:vAlign w:val="bottom"/>
            <w:gridSpan w:val="3"/>
          </w:tcPr>
          <w:p>
            <w:pPr>
              <w:spacing w:after="0"/>
              <w:rPr>
                <w:sz w:val="20"/>
                <w:szCs w:val="20"/>
                <w:color w:val="auto"/>
              </w:rPr>
            </w:pPr>
            <w:r>
              <w:rPr>
                <w:rFonts w:ascii="Arial" w:cs="Arial" w:eastAsia="Arial" w:hAnsi="Arial"/>
                <w:sz w:val="14"/>
                <w:szCs w:val="14"/>
                <w:color w:val="auto"/>
              </w:rPr>
              <w:t>Judith E. O’Grady</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2011</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269,231</w:t>
            </w:r>
          </w:p>
        </w:tc>
        <w:tc>
          <w:tcPr>
            <w:tcW w:w="26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100,035(13)</w:t>
            </w:r>
          </w:p>
        </w:tc>
        <w:tc>
          <w:tcPr>
            <w:tcW w:w="8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30,800</w:t>
            </w:r>
          </w:p>
        </w:tc>
        <w:tc>
          <w:tcPr>
            <w:tcW w:w="2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color w:val="auto"/>
              </w:rPr>
              <w:t>3,300</w:t>
            </w:r>
          </w:p>
        </w:tc>
        <w:tc>
          <w:tcPr>
            <w:tcW w:w="660" w:type="dxa"/>
            <w:vAlign w:val="bottom"/>
          </w:tcPr>
          <w:p>
            <w:pPr>
              <w:jc w:val="right"/>
              <w:spacing w:after="0"/>
              <w:rPr>
                <w:sz w:val="20"/>
                <w:szCs w:val="20"/>
                <w:color w:val="auto"/>
              </w:rPr>
            </w:pPr>
            <w:r>
              <w:rPr>
                <w:rFonts w:ascii="Arial" w:cs="Arial" w:eastAsia="Arial" w:hAnsi="Arial"/>
                <w:sz w:val="14"/>
                <w:szCs w:val="14"/>
                <w:color w:val="auto"/>
              </w:rPr>
              <w:t>403,366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Senior Vice President, Regulatory Affairs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248,708</w:t>
            </w:r>
          </w:p>
        </w:tc>
        <w:tc>
          <w:tcPr>
            <w:tcW w:w="26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58,671</w:t>
            </w:r>
          </w:p>
        </w:tc>
        <w:tc>
          <w:tcPr>
            <w:tcW w:w="500" w:type="dxa"/>
            <w:vAlign w:val="bottom"/>
          </w:tcPr>
          <w:p>
            <w:pPr>
              <w:spacing w:after="0"/>
              <w:rPr>
                <w:sz w:val="12"/>
                <w:szCs w:val="12"/>
                <w:color w:val="auto"/>
              </w:rPr>
            </w:pP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63,750</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3,850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374,979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and Quality Systems, and Corporate</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244,400</w:t>
            </w:r>
          </w:p>
        </w:tc>
        <w:tc>
          <w:tcPr>
            <w:tcW w:w="26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146,657</w:t>
            </w:r>
          </w:p>
        </w:tc>
        <w:tc>
          <w:tcPr>
            <w:tcW w:w="500" w:type="dxa"/>
            <w:vAlign w:val="bottom"/>
          </w:tcPr>
          <w:p>
            <w:pPr>
              <w:spacing w:after="0"/>
              <w:rPr>
                <w:sz w:val="12"/>
                <w:szCs w:val="12"/>
                <w:color w:val="auto"/>
              </w:rPr>
            </w:pP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87,984</w:t>
            </w:r>
          </w:p>
        </w:tc>
        <w:tc>
          <w:tcPr>
            <w:tcW w:w="2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3,648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482,689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Arial" w:cs="Arial" w:eastAsia="Arial" w:hAnsi="Arial"/>
                <w:sz w:val="14"/>
                <w:szCs w:val="14"/>
                <w:color w:val="auto"/>
              </w:rPr>
              <w:t>Compliance Officer</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Jerry E. Corbin</w:t>
            </w:r>
          </w:p>
        </w:tc>
        <w:tc>
          <w:tcPr>
            <w:tcW w:w="5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w w:val="96"/>
              </w:rPr>
              <w:t>2011</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255,769</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195,915(13)</w:t>
            </w:r>
          </w:p>
        </w:tc>
        <w:tc>
          <w:tcPr>
            <w:tcW w:w="8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28,840</w:t>
            </w:r>
          </w:p>
        </w:tc>
        <w:tc>
          <w:tcPr>
            <w:tcW w:w="2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4,125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484,649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Vice President, Corporate Controller and</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245,615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61,018</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4,125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Principal Accounting Officer</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2009</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231,000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150,168</w:t>
            </w:r>
          </w:p>
        </w:tc>
        <w:tc>
          <w:tcPr>
            <w:tcW w:w="5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91,476</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3,648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476,292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column (g) reflect cash awards earned as a discretionary bonus or pursuant to employment agreements. See “— Compensation Discussion and Analysis — Elements of Compensation — Annual Cash Incentives” for more information.</w:t>
      </w:r>
    </w:p>
    <w:p>
      <w:pPr>
        <w:spacing w:after="0" w:line="50" w:lineRule="exact"/>
        <w:rPr>
          <w:rFonts w:ascii="Arial" w:cs="Arial" w:eastAsia="Arial" w:hAnsi="Arial"/>
          <w:sz w:val="18"/>
          <w:szCs w:val="18"/>
          <w:color w:val="auto"/>
        </w:rPr>
      </w:pPr>
    </w:p>
    <w:p>
      <w:pPr>
        <w:ind w:left="460" w:right="30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otherwise indicated, the amounts in this column consist of matching contributions made by the Company under the Company’s 401(k) plan. The aggregate amount of perquisites and other personal benefits for each named executive officer except Mr. Arduini was less than $10,000.</w:t>
      </w:r>
    </w:p>
    <w:p>
      <w:pPr>
        <w:spacing w:after="0" w:line="4"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Essig was appointed Executive Chairman of the Board of Directors, effective as of January 3, 2012. He served as our Chief Executive Officer until January 3, 2012 and as President until November 10, 2010.</w:t>
      </w:r>
    </w:p>
    <w:p>
      <w:pPr>
        <w:spacing w:after="0" w:line="50"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(i) an award of fully vested contract stock/units granted in May 2011 in connection with the extension of Mr. Essig’s employment agreement and (ii) an award of fully vested contract stock/units granted in February 2012 for performance in 2011, but which the Company treated as granted in 2011 in accordance with FASB ASC Topic 718. See notes (4) and (5) to the Grants of Plan-Based Awards table for additional information on these awards.</w:t>
      </w:r>
    </w:p>
    <w:p>
      <w:pPr>
        <w:spacing w:after="0" w:line="62"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Arduini was appointed President and Chief Executive Officer, effective as of January 3, 2012. He served as President and Chief Operating Officer until January 3,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paid Mr. Arduini this amount as the minimum cash bonus required for 2011 pursuant to the terms of his employment agreement.</w:t>
      </w:r>
    </w:p>
    <w:p>
      <w:pPr>
        <w:spacing w:after="0" w:line="113"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Arduini’s February 2012 contract stock/restricted units grant and March 2012 grant of stock options for 2011 performance are not reflected in the table because the Company granted these awards in 2012. See “— Compensation Discussion and Analysis — 2011 Named Executive Officer Compensation — Equity Awards” for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amount consists of (i) $3,329 of Company matching contributions made to the Company’s 401(k) plan and (ii) $153,884 for moving and relocation expenses. Of these expenses, $31,424 was for moving, $38,486 was for travel and $65,322 was for closing costs (but no home buyout). The Company did not pay any tax gross ups in connection with the reimbursement of these expenses.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paid Mr. Arduini this amount as a hiring bonus pursuant to the terms of his employment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Henneman was appointed Chief Financial Officer on May 13, 2008.</w:t>
      </w:r>
    </w:p>
    <w:p>
      <w:pPr>
        <w:spacing w:after="0" w:line="90"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Henneman’s February 2012 restricted stock grant for 2011 performance is not reflected in the table because the Company granted the award in 2012. See “— Compensation Discussion and Analysis — 2011 Named Executive Officer Compensation — Equity Awards” for more information.</w:t>
      </w:r>
    </w:p>
    <w:p>
      <w:pPr>
        <w:spacing w:after="0" w:line="4" w:lineRule="exact"/>
        <w:rPr>
          <w:rFonts w:ascii="Arial" w:cs="Arial" w:eastAsia="Arial" w:hAnsi="Arial"/>
          <w:sz w:val="16"/>
          <w:szCs w:val="16"/>
          <w:color w:val="auto"/>
        </w:rPr>
      </w:pPr>
    </w:p>
    <w:p>
      <w:pPr>
        <w:ind w:left="460" w:right="2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executive’s April 2012 restricted stock grant for 2011 performance is not reflected in the table because the Company granted the award in 2012. See “— Compensation Discussion and Analysis — 2011 Named Executive Officer Compensation — Equity Awards” for more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 Plan.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1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6"/>
              </w:rPr>
              <w:t>Estimated Future Payouts</w:t>
            </w:r>
          </w:p>
        </w:tc>
        <w:tc>
          <w:tcPr>
            <w:tcW w:w="1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20" w:type="dxa"/>
            <w:vAlign w:val="bottom"/>
            <w:gridSpan w:val="6"/>
            <w:vMerge w:val="continue"/>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20" w:type="dxa"/>
            <w:vAlign w:val="bottom"/>
            <w:gridSpan w:val="6"/>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9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20" w:type="dxa"/>
            <w:vAlign w:val="bottom"/>
            <w:gridSpan w:val="6"/>
            <w:vMerge w:val="continue"/>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or Base</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8"/>
              </w:rPr>
              <w:t>Incentive Plan Awards(1)</w:t>
            </w:r>
          </w:p>
        </w:tc>
        <w:tc>
          <w:tcPr>
            <w:tcW w:w="1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20" w:type="dxa"/>
            <w:vAlign w:val="bottom"/>
            <w:gridSpan w:val="6"/>
            <w:vMerge w:val="continue"/>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Shares of</w:t>
            </w: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Price of</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2"/>
        </w:trPr>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Date of</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Threshold</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Maximum</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Threshold</w:t>
            </w: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Units(2)</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Awards(3)</w:t>
            </w:r>
          </w:p>
        </w:tc>
        <w:tc>
          <w:tcPr>
            <w:tcW w:w="0" w:type="dxa"/>
            <w:vAlign w:val="bottom"/>
          </w:tcPr>
          <w:p>
            <w:pPr>
              <w:spacing w:after="0"/>
              <w:rPr>
                <w:sz w:val="1"/>
                <w:szCs w:val="1"/>
                <w:color w:val="auto"/>
              </w:rPr>
            </w:pPr>
          </w:p>
        </w:tc>
      </w:tr>
      <w:tr>
        <w:trPr>
          <w:trHeight w:val="149"/>
        </w:trPr>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Date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Committee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Action</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0" w:type="dxa"/>
            <w:vAlign w:val="bottom"/>
          </w:tcPr>
          <w:p>
            <w:pPr>
              <w:spacing w:after="0"/>
              <w:rPr>
                <w:sz w:val="1"/>
                <w:szCs w:val="1"/>
                <w:color w:val="auto"/>
              </w:rPr>
            </w:pPr>
          </w:p>
        </w:tc>
      </w:tr>
    </w:tbl>
    <w:p>
      <w:pPr>
        <w:spacing w:after="0" w:line="42" w:lineRule="exact"/>
        <w:rPr>
          <w:sz w:val="20"/>
          <w:szCs w:val="20"/>
          <w:color w:val="auto"/>
        </w:rPr>
      </w:pPr>
    </w:p>
    <w:p>
      <w:pPr>
        <w:sectPr>
          <w:pgSz w:w="11900" w:h="16838" w:orient="portrait"/>
          <w:cols w:equalWidth="0" w:num="2">
            <w:col w:w="1440" w:space="720"/>
            <w:col w:w="9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Stuart M. Essig</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05/17/11</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99"/>
              </w:rPr>
              <w:t>05/17/2011</w:t>
            </w:r>
          </w:p>
        </w:tc>
        <w:tc>
          <w:tcPr>
            <w:tcW w:w="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165,000(4)</w:t>
            </w:r>
          </w:p>
        </w:tc>
        <w:tc>
          <w:tcPr>
            <w:tcW w:w="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8,378,700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12/20/11(5)</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02/21/2012</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75,000(5)</w:t>
            </w:r>
          </w:p>
        </w:tc>
        <w:tc>
          <w:tcPr>
            <w:tcW w:w="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2,344,500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01/03/11</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07/21/2004</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750,000</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4"/>
                <w:szCs w:val="14"/>
                <w:color w:val="auto"/>
              </w:rPr>
              <w:t>Peter J. Arduini</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01/03/11</w:t>
            </w:r>
          </w:p>
        </w:tc>
        <w:tc>
          <w:tcPr>
            <w:tcW w:w="1040" w:type="dxa"/>
            <w:vAlign w:val="bottom"/>
          </w:tcPr>
          <w:p>
            <w:pPr>
              <w:jc w:val="right"/>
              <w:ind w:right="252"/>
              <w:spacing w:after="0"/>
              <w:rPr>
                <w:sz w:val="20"/>
                <w:szCs w:val="20"/>
                <w:color w:val="auto"/>
              </w:rPr>
            </w:pPr>
            <w:r>
              <w:rPr>
                <w:rFonts w:ascii="Arial" w:cs="Arial" w:eastAsia="Arial" w:hAnsi="Arial"/>
                <w:sz w:val="14"/>
                <w:szCs w:val="14"/>
                <w:color w:val="auto"/>
                <w:w w:val="99"/>
              </w:rPr>
              <w:t>10/12/2010</w:t>
            </w:r>
          </w:p>
        </w:tc>
        <w:tc>
          <w:tcPr>
            <w:tcW w:w="58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540,000</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ind w:left="220"/>
              <w:spacing w:after="0"/>
              <w:rPr>
                <w:sz w:val="20"/>
                <w:szCs w:val="20"/>
                <w:color w:val="auto"/>
              </w:rPr>
            </w:pPr>
            <w:r>
              <w:rPr>
                <w:rFonts w:ascii="Arial" w:cs="Arial" w:eastAsia="Arial" w:hAnsi="Arial"/>
                <w:sz w:val="14"/>
                <w:szCs w:val="14"/>
                <w:color w:val="auto"/>
              </w:rPr>
              <w:t>—</w:t>
            </w:r>
          </w:p>
        </w:tc>
        <w:tc>
          <w:tcPr>
            <w:tcW w:w="640" w:type="dxa"/>
            <w:vAlign w:val="bottom"/>
          </w:tcPr>
          <w:p>
            <w:pPr>
              <w:ind w:left="3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52"/>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B. Henneman, III</w:t>
            </w:r>
          </w:p>
        </w:tc>
        <w:tc>
          <w:tcPr>
            <w:tcW w:w="9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01/03/11</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12/18/2008</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262,500</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4"/>
                <w:szCs w:val="14"/>
                <w:color w:val="auto"/>
              </w:rPr>
              <w:t>Judith E. O’Grady</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04/1/2011</w:t>
            </w:r>
          </w:p>
        </w:tc>
        <w:tc>
          <w:tcPr>
            <w:tcW w:w="1040" w:type="dxa"/>
            <w:vAlign w:val="bottom"/>
          </w:tcPr>
          <w:p>
            <w:pPr>
              <w:jc w:val="right"/>
              <w:ind w:right="252"/>
              <w:spacing w:after="0"/>
              <w:rPr>
                <w:sz w:val="20"/>
                <w:szCs w:val="20"/>
                <w:color w:val="auto"/>
              </w:rPr>
            </w:pPr>
            <w:r>
              <w:rPr>
                <w:rFonts w:ascii="Arial" w:cs="Arial" w:eastAsia="Arial" w:hAnsi="Arial"/>
                <w:sz w:val="14"/>
                <w:szCs w:val="14"/>
                <w:color w:val="auto"/>
                <w:w w:val="99"/>
              </w:rPr>
              <w:t>02/22/2011</w:t>
            </w:r>
          </w:p>
        </w:tc>
        <w:tc>
          <w:tcPr>
            <w:tcW w:w="58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ind w:left="220"/>
              <w:spacing w:after="0"/>
              <w:rPr>
                <w:sz w:val="20"/>
                <w:szCs w:val="20"/>
                <w:color w:val="auto"/>
              </w:rPr>
            </w:pPr>
            <w:r>
              <w:rPr>
                <w:rFonts w:ascii="Arial" w:cs="Arial" w:eastAsia="Arial" w:hAnsi="Arial"/>
                <w:sz w:val="14"/>
                <w:szCs w:val="14"/>
                <w:color w:val="auto"/>
              </w:rPr>
              <w:t>—</w:t>
            </w:r>
          </w:p>
        </w:tc>
        <w:tc>
          <w:tcPr>
            <w:tcW w:w="640" w:type="dxa"/>
            <w:vAlign w:val="bottom"/>
          </w:tcPr>
          <w:p>
            <w:pPr>
              <w:ind w:left="3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2"/>
              <w:spacing w:after="0"/>
              <w:rPr>
                <w:sz w:val="20"/>
                <w:szCs w:val="20"/>
                <w:color w:val="auto"/>
              </w:rPr>
            </w:pPr>
            <w:r>
              <w:rPr>
                <w:rFonts w:ascii="Arial" w:cs="Arial" w:eastAsia="Arial" w:hAnsi="Arial"/>
                <w:sz w:val="14"/>
                <w:szCs w:val="14"/>
                <w:color w:val="auto"/>
              </w:rPr>
              <w:t>2,106(6)</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100,035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Jerry E. Corbin</w:t>
            </w:r>
          </w:p>
        </w:tc>
        <w:tc>
          <w:tcPr>
            <w:tcW w:w="9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04/1/2011</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02/22/2011</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2,106(6)</w:t>
            </w:r>
          </w:p>
        </w:tc>
        <w:tc>
          <w:tcPr>
            <w:tcW w:w="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07/1/2011</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04/07/2011</w:t>
            </w: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2,000(7)</w:t>
            </w:r>
          </w:p>
        </w:tc>
        <w:tc>
          <w:tcPr>
            <w:tcW w:w="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8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“Target” is calculated by multiplying the officer’s base salary by the executive’s target award percentages provided in the applicable employment agreement for Messrs. Essig, Arduini and Henneman. Although the amounts shown represent annual incentive opportunities for 2011 for the named executive officers, the Compensation Committee determined not to award cash bonuses to Messrs. Essig and Henneman. Although the Compensation Committee determined to award Mr. Arduini the minimum (target) amount shown above that was required under his employment agreement for 2011 performance, the Committee determined to pay a total of $400,000 of the award in cash (of which $270,000 was paid on August 5, 2011 in connection with a mid-year review and $130,000 was paid on March 2, 2012) and the rest of the award in restricted stock units that vest 100% on the first anniversary of the grant date (which units were awarded on February 21, 2012 and will be shown in the table in our 2012 Proxy Statement). The Compensation Committee did not establish performance targets for Mr. Corbin or Ms. O’Grady for 2011. See “— Compensation Discussion and Analysis — Elements of Compensation — Annual Cash Incentives” for more information. See column (l) and notes (6) and (7) for more information on the restricted stock awards for Mr. Corbin and column (l) and note (6) for more information on the restricted stock award for Ms. O’Grady. See column (1) and note (5) for more information on the contract stock/units awards for Mr. Essig.</w:t>
      </w:r>
    </w:p>
    <w:p>
      <w:pPr>
        <w:spacing w:after="0" w:line="46"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restricted stock units or stock units granted under the Company’s 2003 Equity Incentive Plan. See “— Compensation Discussion and Analysis — Elements of Compensation — Long-Term Equity-Based Incentives” for a description of the material terms of these restricted stock and restricted stock unit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This column reflects the full grant date fair value of the restricted stock, restricted stock units and stock units granted to each named executive officer in 2011. For restricted stock and restricted stock units, fair value is calculated using the closing price of the Company’s common stock on the grant date noted.</w:t>
      </w:r>
    </w:p>
    <w:p>
      <w:pPr>
        <w:jc w:val="both"/>
        <w:ind w:left="460" w:right="3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grant of fully vested contract stock/units was made to Mr. Essig in connection with the extension of his employment agreement. Subject to certain conditions, the shares will be delivered within three days following the first business day immediately following the six-month period after the date of Mr. Essig’s separation of service.</w:t>
      </w:r>
    </w:p>
    <w:p>
      <w:pPr>
        <w:spacing w:after="0" w:line="59"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grant of fully vested contract stock/units represents the annual equity-based award for Mr. Essig for 2011 performance. Subject to certain conditions, the shares will be delivered within three days following the first business day immediately following the six-month period after the date of Mr. Essig’s separation of service. Pursuant to a letter dated December 20, 2011 from Mr. Essig to the Company, Mr. Essig agreed that the Company could make the grant in the first quarter of 2012 (instead of in December 2011 as required by his employment agreement). On February 21, 2012, the Compensation Committee approved this award, which was the minimum amount required by Mr. Essig’s employment agreement, to be granted on February 21, 2012. We show the grant date in the table as December 20, 2011 (instead of February 21, 2012) because the Company treated the grant as if it was made on December 20, 2011 in accordance with FASB ASC Topic 718.</w:t>
      </w:r>
    </w:p>
    <w:p>
      <w:pPr>
        <w:spacing w:after="0" w:line="37"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grant of restricted stock was made to the executive for 2010 performance. This grant vests in three equal annual installments, beginning on the first anniversary of the date of grant.</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grant of restricted stock was made to Mr. Corbin as a special retention award. This grant vests in five equal annual installments, beginning on the first anniversary of the date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Option Awards(1)</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Incentive</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Market</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Value of</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Unearned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Units of</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2"/>
              </w:rPr>
              <w:t>Shares, Units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or Units</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Stock</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or 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That Have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Rights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Options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Have Not</w:t>
            </w: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Not</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That Have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Price(2)</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Vested</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Vested(3)</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Not Vested</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Not Vested(4)</w:t>
            </w:r>
          </w:p>
        </w:tc>
        <w:tc>
          <w:tcPr>
            <w:tcW w:w="0" w:type="dxa"/>
            <w:vAlign w:val="bottom"/>
          </w:tcPr>
          <w:p>
            <w:pPr>
              <w:spacing w:after="0"/>
              <w:rPr>
                <w:sz w:val="1"/>
                <w:szCs w:val="1"/>
                <w:color w:val="auto"/>
              </w:rPr>
            </w:pPr>
          </w:p>
        </w:tc>
      </w:tr>
      <w:tr>
        <w:trPr>
          <w:trHeight w:val="135"/>
        </w:trPr>
        <w:tc>
          <w:tcPr>
            <w:tcW w:w="2640" w:type="dxa"/>
            <w:vAlign w:val="bottom"/>
            <w:gridSpan w:val="2"/>
            <w:vMerge w:val="continue"/>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48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1"/>
                <w:szCs w:val="11"/>
                <w:color w:val="auto"/>
              </w:rPr>
            </w:pPr>
          </w:p>
        </w:tc>
        <w:tc>
          <w:tcPr>
            <w:tcW w:w="64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23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(c)</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(f)</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(g)</w:t>
            </w: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(h)</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Stuart M. Essig</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31.38</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7/27/2014</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w w:val="88"/>
              </w:rPr>
              <w:t>—</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34.49</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12/17/2014</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12/19/2015</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42.53</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12/19/2016</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12/18/2017</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125,000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48.82</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8/14/2018</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—(8)</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7/1/2018</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16,822(10)</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518,622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5,530(11)</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170,490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Jerry E. Corbin</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7,632(12)</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235,295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options issued to Mr. Essig and the option issued to Mr. Henneman in 2008 have a term of 10 years.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option exercise price is equal to the closing price of our common stock as reported by the NASDAQ Global Select Market on the date of grant.</w:t>
      </w:r>
    </w:p>
    <w:p>
      <w:pPr>
        <w:spacing w:after="0" w:line="113"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(g) by $30.83, the closing price of the Company’s common stock as reported by the NASDAQ Global Select Market on December 31, 2011.</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(i) by $30.83, the closing price of the Company’s common stock as reported by the NASDAQ Global Select Market on December 31, 2011.</w:t>
      </w:r>
    </w:p>
    <w:p>
      <w:pPr>
        <w:spacing w:after="0" w:line="50" w:lineRule="exact"/>
        <w:rPr>
          <w:rFonts w:ascii="Arial" w:cs="Arial" w:eastAsia="Arial" w:hAnsi="Arial"/>
          <w:sz w:val="18"/>
          <w:szCs w:val="18"/>
          <w:color w:val="auto"/>
        </w:rPr>
      </w:pPr>
    </w:p>
    <w:p>
      <w:pPr>
        <w:ind w:left="460" w:right="18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750,000 shares and 375,000 shares of common stock underlying restricted stock units granted to Mr. Essig in 2004 and 2008, respectively, were vested as of the grant date. In addition, 33,334 shares, 33,333 shares and 33,333 shares of common stock underlying restricted stock units granted to Mr. Essig in 2008 vested in 2009, 2010 and 2011, respectively. An additional 33,334 shares, 33,333 shares and 33,333 shares of common stock underlying restricted stock units granted to Mr. Essig in 2009 vested in 2010, 2011 and 2011, respectively. However, Mr. Essig is not entitled to receive such underlying shares until after December 31, 2011. Therefore, they are shown in the Nonqualified Deferred Compensation Table.</w:t>
      </w:r>
    </w:p>
    <w:p>
      <w:pPr>
        <w:spacing w:after="0" w:line="34"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165,000 shares of common stock underlying restricted stock units granted to Mr. Essig in 2011 were vested as of the grant date. However, Mr. Essig is not entitled to receive such underlying shares (less 3,487 shares withheld for taxes) until after December 31, 2011. Therefore, they are shown in the Nonqualified Deferred Compensation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108,362 shares of common stock underlying restricted stock units granted to Mr. Essig in 2010 were vested in 2011. However, Mr. Essig is not entitled to receive such underlying shares (less 2,292 shares withheld for taxes) until after December 31, 2011. Therefore, they are shown in the Nonqualified Deferred Compensation Table.</w:t>
      </w:r>
    </w:p>
    <w:p>
      <w:pPr>
        <w:spacing w:after="0" w:line="59"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34,868 shares of common stock underlying restricted stock units granted to Mr. Arduini in 2010 were vested as of the date of grant. However, Mr. Arduini is not entitled to receive such underlying shares (less 738 shares withheld to pay taxes) until after December 31, 2011. Therefore, they are shown in the Nonqualified Deferred Compensation Table.</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44,439 shares and 44,438 shares of common stock underlying restricted stock units granted to Mr. Henneman in December 2008 were vested in 2009 and 2010, respectively. However, Mr. Henneman is not entitled to receive such underlying shares until after December 31, 2011. Therefore, they are shown in the Nonqualified Deferred Compensation Table.</w:t>
      </w:r>
    </w:p>
    <w:p>
      <w:pPr>
        <w:spacing w:after="0" w:line="59"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16,822 shares of common stock remaining from an initial restricted stock grant of 62,710 shares (of which 29,067 shares were withheld to pay taxes following an election to be taxed at grant and 16,821 were vested in December 2011) made to Mr. Henneman on December 15, 2010. These remaining shares will vest on the second anniversary of the date of grant.</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2,768 shares of restricted stock that vested on April 1, 2012 and, subject to continued employment, 2,045 shares of restricted stock that will vest on April 1, 2013 and 717 shares of restricted stock that will vest on April 1, 2014.</w:t>
      </w:r>
    </w:p>
    <w:p>
      <w:pPr>
        <w:spacing w:after="0" w:line="5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2,816 shares of restricted stock that vested on April 1, 2012 and, subject to continued employment, 2,099 shares of restricted stock that will vest on April 1, 2013, 717 shares of restricted stock that will vest on April 1, 2014 and 2,000 shares of restricted stock granted on July 1, 2011 that will vest in five installments of 400 shares each on the first, second, third, fourth and fifth anniversary of the date of grant.</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2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320" w:type="dxa"/>
            <w:vAlign w:val="bottom"/>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80" w:type="dxa"/>
            <w:vAlign w:val="bottom"/>
          </w:tcPr>
          <w:p>
            <w:pPr>
              <w:spacing w:after="0"/>
              <w:rPr>
                <w:sz w:val="11"/>
                <w:szCs w:val="11"/>
                <w:color w:val="auto"/>
              </w:rPr>
            </w:pPr>
          </w:p>
        </w:tc>
        <w:tc>
          <w:tcPr>
            <w:tcW w:w="2260" w:type="dxa"/>
            <w:vAlign w:val="bottom"/>
            <w:gridSpan w:val="2"/>
          </w:tcPr>
          <w:p>
            <w:pPr>
              <w:jc w:val="center"/>
              <w:ind w:right="10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9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on Exercise(1)</w:t>
            </w:r>
          </w:p>
        </w:tc>
        <w:tc>
          <w:tcPr>
            <w:tcW w:w="22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4"/>
        </w:trPr>
        <w:tc>
          <w:tcPr>
            <w:tcW w:w="394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8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2320" w:type="dxa"/>
            <w:vAlign w:val="bottom"/>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89"/>
              </w:rPr>
              <w:t>(b)</w:t>
            </w:r>
          </w:p>
        </w:tc>
        <w:tc>
          <w:tcPr>
            <w:tcW w:w="1940" w:type="dxa"/>
            <w:vAlign w:val="bottom"/>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81"/>
              </w:rPr>
              <w:t>(c)</w:t>
            </w:r>
          </w:p>
        </w:tc>
        <w:tc>
          <w:tcPr>
            <w:tcW w:w="2260" w:type="dxa"/>
            <w:vAlign w:val="bottom"/>
            <w:gridSpan w:val="2"/>
          </w:tcPr>
          <w:p>
            <w:pPr>
              <w:jc w:val="center"/>
              <w:ind w:right="1060"/>
              <w:spacing w:after="0" w:line="129" w:lineRule="exact"/>
              <w:rPr>
                <w:sz w:val="20"/>
                <w:szCs w:val="20"/>
                <w:color w:val="auto"/>
              </w:rPr>
            </w:pPr>
            <w:r>
              <w:rPr>
                <w:rFonts w:ascii="Arial" w:cs="Arial" w:eastAsia="Arial" w:hAnsi="Arial"/>
                <w:sz w:val="14"/>
                <w:szCs w:val="14"/>
                <w:b w:val="1"/>
                <w:bCs w:val="1"/>
                <w:color w:val="auto"/>
                <w:w w:val="89"/>
              </w:rPr>
              <w:t>(d)</w:t>
            </w: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Stuart M. Essig</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7,500</w:t>
            </w:r>
          </w:p>
        </w:tc>
        <w:tc>
          <w:tcPr>
            <w:tcW w:w="860" w:type="dxa"/>
            <w:vAlign w:val="bottom"/>
          </w:tcPr>
          <w:p>
            <w:pPr>
              <w:jc w:val="right"/>
              <w:spacing w:after="0"/>
              <w:rPr>
                <w:sz w:val="20"/>
                <w:szCs w:val="20"/>
                <w:color w:val="auto"/>
              </w:rPr>
            </w:pPr>
            <w:r>
              <w:rPr>
                <w:rFonts w:ascii="Arial" w:cs="Arial" w:eastAsia="Arial" w:hAnsi="Arial"/>
                <w:sz w:val="18"/>
                <w:szCs w:val="18"/>
                <w:color w:val="auto"/>
              </w:rPr>
              <w:t>102,375</w:t>
            </w:r>
          </w:p>
        </w:tc>
        <w:tc>
          <w:tcPr>
            <w:tcW w:w="10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4,307</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E. Corbin</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340" w:right="46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Executive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Registrant</w:t>
            </w:r>
          </w:p>
        </w:tc>
        <w:tc>
          <w:tcPr>
            <w:tcW w:w="186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6"/>
              </w:rPr>
              <w:t>Aggregate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Aggregate</w:t>
            </w: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86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1860" w:type="dxa"/>
            <w:vAlign w:val="bottom"/>
            <w:gridSpan w:val="2"/>
          </w:tcPr>
          <w:p>
            <w:pPr>
              <w:jc w:val="center"/>
              <w:ind w:right="692"/>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6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34"/>
        </w:trPr>
        <w:tc>
          <w:tcPr>
            <w:tcW w:w="3060" w:type="dxa"/>
            <w:vAlign w:val="bottom"/>
            <w:gridSpan w:val="2"/>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6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(b)</w:t>
            </w:r>
          </w:p>
        </w:tc>
        <w:tc>
          <w:tcPr>
            <w:tcW w:w="182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1"/>
              </w:rPr>
              <w:t>(c)</w:t>
            </w:r>
          </w:p>
        </w:tc>
        <w:tc>
          <w:tcPr>
            <w:tcW w:w="1860" w:type="dxa"/>
            <w:vAlign w:val="bottom"/>
            <w:gridSpan w:val="2"/>
          </w:tcPr>
          <w:p>
            <w:pPr>
              <w:jc w:val="center"/>
              <w:ind w:right="692"/>
              <w:spacing w:after="0" w:line="129" w:lineRule="exact"/>
              <w:rPr>
                <w:sz w:val="20"/>
                <w:szCs w:val="20"/>
                <w:color w:val="auto"/>
              </w:rPr>
            </w:pPr>
            <w:r>
              <w:rPr>
                <w:rFonts w:ascii="Arial" w:cs="Arial" w:eastAsia="Arial" w:hAnsi="Arial"/>
                <w:sz w:val="14"/>
                <w:szCs w:val="14"/>
                <w:b w:val="1"/>
                <w:bCs w:val="1"/>
                <w:color w:val="auto"/>
                <w:w w:val="89"/>
              </w:rPr>
              <w:t>(d)</w:t>
            </w:r>
          </w:p>
        </w:tc>
        <w:tc>
          <w:tcPr>
            <w:tcW w:w="13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3"/>
              </w:rPr>
              <w:t>(e)</w:t>
            </w:r>
          </w:p>
        </w:tc>
        <w:tc>
          <w:tcPr>
            <w:tcW w:w="16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Stuart M. Essig</w:t>
            </w:r>
          </w:p>
        </w:tc>
        <w:tc>
          <w:tcPr>
            <w:tcW w:w="108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14,593,720(1)</w:t>
            </w: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(23,436,934)</w:t>
            </w:r>
          </w:p>
        </w:tc>
        <w:tc>
          <w:tcPr>
            <w:tcW w:w="78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49,099,334(3)</w:t>
            </w: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32"/>
              <w:spacing w:after="0"/>
              <w:rPr>
                <w:sz w:val="20"/>
                <w:szCs w:val="20"/>
                <w:color w:val="auto"/>
              </w:rPr>
            </w:pPr>
            <w:r>
              <w:rPr>
                <w:rFonts w:ascii="Arial" w:cs="Arial" w:eastAsia="Arial" w:hAnsi="Arial"/>
                <w:sz w:val="18"/>
                <w:szCs w:val="18"/>
                <w:color w:val="auto"/>
              </w:rPr>
              <w:t>(562,121)(4)</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1,052,228(5)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(1,463,804)(6)</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2,740,078(7)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340" w:right="20" w:hanging="332"/>
        <w:spacing w:after="0" w:line="301"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This represents the fair market value of (i) 33,333 shares of common stock underlying restricted stock units (representing a portion from an initial grant in December 2008) that vested on December 18, 2011, based on the $30.68 closing price of our common stock on the trading day immediately preceding the vesting date, (ii) 33,333 shares of common stock underlying restricted stock units (representing a portion from an initial grant in December 2009) that vested on December 17, 2011, based on the $30.68 closing price of our common stock on the vesting date, (iii) 33,333 shares of common stock underlying restricted stock units (representing a portion from an initial grant in December 2009) that vested on December 20, 2011, based on the $31.26 closing price of our common stock on the vesting date, (iv) 35,357 shares of common stock underlying restricted stock units (representing a portion from an initial grant in December 2010 of which 764 shares were withheld to pay taxes) that vested on December 15, 2011, based on the $30.95 closing price of our common stock on the vesting date, (v) 35,357 shares of common stock underlying restricted stock units (representing a portion from an initial grant in December 2010 of which 764 shares were withheld to pay taxes) that vested on December 20, 2011, based on the $31.26 closing price of our common stock on the vesting date,</w:t>
      </w:r>
    </w:p>
    <w:p>
      <w:pPr>
        <w:spacing w:after="0" w:line="4" w:lineRule="exact"/>
        <w:rPr>
          <w:rFonts w:ascii="Arial" w:cs="Arial" w:eastAsia="Arial" w:hAnsi="Arial"/>
          <w:sz w:val="15"/>
          <w:szCs w:val="15"/>
          <w:color w:val="auto"/>
        </w:rPr>
      </w:pPr>
    </w:p>
    <w:p>
      <w:pPr>
        <w:ind w:left="340" w:right="100" w:firstLine="6"/>
        <w:spacing w:after="0" w:line="295" w:lineRule="auto"/>
        <w:tabs>
          <w:tab w:leader="none" w:pos="637" w:val="left"/>
        </w:tabs>
        <w:numPr>
          <w:ilvl w:val="1"/>
          <w:numId w:val="28"/>
        </w:numPr>
        <w:rPr>
          <w:rFonts w:ascii="Arial" w:cs="Arial" w:eastAsia="Arial" w:hAnsi="Arial"/>
          <w:sz w:val="16"/>
          <w:szCs w:val="16"/>
          <w:color w:val="auto"/>
        </w:rPr>
      </w:pPr>
      <w:r>
        <w:rPr>
          <w:rFonts w:ascii="Arial" w:cs="Arial" w:eastAsia="Arial" w:hAnsi="Arial"/>
          <w:sz w:val="16"/>
          <w:szCs w:val="16"/>
          <w:color w:val="auto"/>
        </w:rPr>
        <w:t>35,356 shares of common stock underlying restricted stock units (representing a portion from an initial grant in December 2010 of which 764 shares were withheld to pay taxes) that vested on December 20, 2011, based on the $31.26 closing price of our common stock on the vesting date and (vii) 161,513 shares of common stock underlying restricted stock units from an initial grant in May 2011 of 165,000 units (of which 3,487 units were withheld to pay taxes) which grant was fully vested as of the grant date, based on the $50.78 closing price of our common stock on the vesting date.</w:t>
      </w:r>
    </w:p>
    <w:p>
      <w:pPr>
        <w:spacing w:after="0" w:line="34" w:lineRule="exact"/>
        <w:rPr>
          <w:rFonts w:ascii="Arial" w:cs="Arial" w:eastAsia="Arial" w:hAnsi="Arial"/>
          <w:sz w:val="16"/>
          <w:szCs w:val="16"/>
          <w:color w:val="auto"/>
        </w:rPr>
      </w:pPr>
    </w:p>
    <w:p>
      <w:pPr>
        <w:ind w:left="340" w:right="20" w:hanging="332"/>
        <w:spacing w:after="0" w:line="28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amount represents the sum of the gain/loss in the value of (i) 33,333 shares of common stock underlying restricted stock units (from an initial grant in December 2008 of 100,000 units) from December 31, 2010 through December 31, 2011, (ii) 33,334 shares of common stock underlying restricted stock units (from an initial grant in December 2008 of 100,000 units) from December 31, 2010 through December 31, 2011, (iii) 33,334 shares of common stock underlying restricted stock units (from an initial grant in December 2009 of 100,000 units) from December 31, 2010 through December 31, 2011,</w:t>
      </w:r>
    </w:p>
    <w:p>
      <w:pPr>
        <w:spacing w:after="0" w:line="2" w:lineRule="exact"/>
        <w:rPr>
          <w:rFonts w:ascii="Arial" w:cs="Arial" w:eastAsia="Arial" w:hAnsi="Arial"/>
          <w:sz w:val="16"/>
          <w:szCs w:val="16"/>
          <w:color w:val="auto"/>
        </w:rPr>
      </w:pPr>
    </w:p>
    <w:p>
      <w:pPr>
        <w:ind w:left="640" w:hanging="294"/>
        <w:spacing w:after="0"/>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750,000 shares of common stock underlying the 2004 grant of restricted stock units from December 31, 2010 through December 31, 2011,</w:t>
      </w:r>
    </w:p>
    <w:p>
      <w:pPr>
        <w:spacing w:after="0" w:line="32" w:lineRule="exact"/>
        <w:rPr>
          <w:rFonts w:ascii="Arial" w:cs="Arial" w:eastAsia="Arial" w:hAnsi="Arial"/>
          <w:sz w:val="16"/>
          <w:szCs w:val="16"/>
          <w:color w:val="auto"/>
        </w:rPr>
      </w:pPr>
    </w:p>
    <w:p>
      <w:pPr>
        <w:ind w:left="600" w:hanging="254"/>
        <w:spacing w:after="0"/>
        <w:tabs>
          <w:tab w:leader="none" w:pos="6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375,000 shares of common stock underlying the August 2008 grant of restricted stock units from December 31, 2010 through December 31, 2011,</w:t>
      </w:r>
    </w:p>
    <w:p>
      <w:pPr>
        <w:spacing w:after="0" w:line="32" w:lineRule="exact"/>
        <w:rPr>
          <w:rFonts w:ascii="Arial" w:cs="Arial" w:eastAsia="Arial" w:hAnsi="Arial"/>
          <w:sz w:val="16"/>
          <w:szCs w:val="16"/>
          <w:color w:val="auto"/>
        </w:rPr>
      </w:pPr>
    </w:p>
    <w:p>
      <w:pPr>
        <w:ind w:left="340" w:firstLine="6"/>
        <w:spacing w:after="0" w:line="287" w:lineRule="auto"/>
        <w:tabs>
          <w:tab w:leader="none" w:pos="637" w:val="left"/>
        </w:tabs>
        <w:numPr>
          <w:ilvl w:val="1"/>
          <w:numId w:val="29"/>
        </w:numPr>
        <w:rPr>
          <w:rFonts w:ascii="Arial" w:cs="Arial" w:eastAsia="Arial" w:hAnsi="Arial"/>
          <w:sz w:val="16"/>
          <w:szCs w:val="16"/>
          <w:color w:val="auto"/>
        </w:rPr>
      </w:pPr>
      <w:r>
        <w:rPr>
          <w:rFonts w:ascii="Arial" w:cs="Arial" w:eastAsia="Arial" w:hAnsi="Arial"/>
          <w:sz w:val="16"/>
          <w:szCs w:val="16"/>
          <w:color w:val="auto"/>
        </w:rPr>
        <w:t>33,333 shares of common stock underlying restricted stock units (from an initial grant in December 2008 of 100,000 units) from December 18, 2011, the vesting date, through December 31, 2011, (vii) 33,333 shares of common stock underlying restricted stock units (from an initial grant in December 2009 of 100,000 units) from December 17, 2011, the vesting date, through December 31, 2011, (viii) 33,333 shares of common stock underlying restricted stock units (from an initial grant in December 2009 of 100,000 units) from December 20, 2011, the vesting date, through December 31, 2011, (ix) 35,357 shares of common stock underlying restricted stock units (from an initial grant in December 2010 of 108,362 units) from December 15, 2011, the vesting date, through December 31, 2011, (x) 35,357 shares of common stock underlying restricted stock units (from an initial grant in December 2010 of 108,362 units) from December 20, 2011, the vesting date, through December 31, 2011, (xi) 35,356 shares of common stock underlying restricted stock units (from an initial grant in December 2010 of 108,362 units) from December 20, 2011, the vesting date, through December 31, 2011 and (xii) 161,513 shares of common stock underlying restricted stock units (from an initial grant in May 2011 of 165,000 units) from May 17, 2011, the vesting date, through December 31,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line="288"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represents the year-end value of (i) 750,000 shares of common stock underlying restricted stock units granted in 2004, (ii) 375,000 shares of common stock underlying restricted stock units granted in August 2008, both of which grants were vested as of the grant date, (iii) 33,334 shares 33,333 shares and 33,333 shares of common stock underlying restricted stock units that vested in December 2009, December 2010 and December 2011, respectively (from a December 2008 grant), (iv) 33,334 shares, 33,333 shares and 33,333 shares of common stock underlying restricted stock units that vested in December 2010, December 2011 and December 2011, respectively (from a December 2009 grant), (v) 35,357 shares, 35,357 shares and 35,356 shares of common stock underlying restricted stock units that vested in December 2011 (from a December 2010 grant) and (vi) 161,513 shares of common stock underlying restricted stock units from an initial grant in May 2011 of 165,000 units (of which 3,487 were withheld to pay taxes). All of these shares are deliverable within three business days following the first business day that occurs immediately following the six-month period after the date of Mr. Essig’s separation from service from the Company. The aggregate balance shown is based on the $30.83 closing price of our common stock on December 31, 2011.</w:t>
      </w:r>
    </w:p>
    <w:p>
      <w:pPr>
        <w:spacing w:after="0" w:line="38" w:lineRule="exact"/>
        <w:rPr>
          <w:rFonts w:ascii="Arial" w:cs="Arial" w:eastAsia="Arial" w:hAnsi="Arial"/>
          <w:sz w:val="16"/>
          <w:szCs w:val="16"/>
          <w:color w:val="auto"/>
        </w:rPr>
      </w:pPr>
    </w:p>
    <w:p>
      <w:pPr>
        <w:ind w:left="340" w:right="260" w:hanging="332"/>
        <w:spacing w:after="0" w:line="26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represents the loss in the value of 34,130 shares of common stock underlying restricted stock units from an initial grant in November 2010 of 34,868 units (of which 738 were withheld to pay taxes) from December 31, 2010 through December 31, 2011.</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represents the year-end value of 34,130 shares of common stock underlying restricted stock units from an initial grant in November 2010 of</w:t>
      </w:r>
    </w:p>
    <w:p>
      <w:pPr>
        <w:spacing w:after="0" w:line="38" w:lineRule="exact"/>
        <w:rPr>
          <w:rFonts w:ascii="Arial" w:cs="Arial" w:eastAsia="Arial" w:hAnsi="Arial"/>
          <w:sz w:val="16"/>
          <w:szCs w:val="16"/>
          <w:color w:val="auto"/>
        </w:rPr>
      </w:pPr>
    </w:p>
    <w:p>
      <w:pPr>
        <w:ind w:left="340" w:right="420"/>
        <w:spacing w:after="0" w:line="255" w:lineRule="auto"/>
        <w:rPr>
          <w:rFonts w:ascii="Arial" w:cs="Arial" w:eastAsia="Arial" w:hAnsi="Arial"/>
          <w:sz w:val="16"/>
          <w:szCs w:val="16"/>
          <w:color w:val="auto"/>
        </w:rPr>
      </w:pPr>
      <w:r>
        <w:rPr>
          <w:rFonts w:ascii="Arial" w:cs="Arial" w:eastAsia="Arial" w:hAnsi="Arial"/>
          <w:sz w:val="18"/>
          <w:szCs w:val="18"/>
          <w:color w:val="auto"/>
        </w:rPr>
        <w:t>34,868 units (of which 738 were withheld to pay taxes). All of these shares are deliverable within 30 days following the first business day that occurs immediately following the six-month period after the date of Mr. Arduini’s separation from service from the Company. The aggregate balance shown is based on the $30.83 closing price of our common stock on December 31, 2011.</w:t>
      </w:r>
    </w:p>
    <w:p>
      <w:pPr>
        <w:spacing w:after="0" w:line="63" w:lineRule="exact"/>
        <w:rPr>
          <w:rFonts w:ascii="Arial" w:cs="Arial" w:eastAsia="Arial" w:hAnsi="Arial"/>
          <w:sz w:val="16"/>
          <w:szCs w:val="16"/>
          <w:color w:val="auto"/>
        </w:rPr>
      </w:pPr>
    </w:p>
    <w:p>
      <w:pPr>
        <w:ind w:left="340" w:right="300" w:hanging="332"/>
        <w:spacing w:after="0" w:line="26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amount represents the loss in the value of 88,877 shares of common stock underlying restricted stock units (from an initial grant in December 2008) from December 31, 2010 through December 31, 2011.</w:t>
      </w:r>
    </w:p>
    <w:p>
      <w:pPr>
        <w:spacing w:after="0" w:line="50"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represents the year-end value of 88,877 shares of common stock underlying restricted stock units (from an initial grant in December 2008). All of these shares are deliverable within 30 days following the first business day that occurs immediately following the six-month period after the date of</w:t>
      </w:r>
    </w:p>
    <w:p>
      <w:pPr>
        <w:ind w:left="340" w:right="340"/>
        <w:spacing w:after="0" w:line="261" w:lineRule="auto"/>
        <w:rPr>
          <w:rFonts w:ascii="Arial" w:cs="Arial" w:eastAsia="Arial" w:hAnsi="Arial"/>
          <w:sz w:val="16"/>
          <w:szCs w:val="16"/>
          <w:color w:val="auto"/>
        </w:rPr>
      </w:pPr>
      <w:r>
        <w:rPr>
          <w:rFonts w:ascii="Arial" w:cs="Arial" w:eastAsia="Arial" w:hAnsi="Arial"/>
          <w:sz w:val="18"/>
          <w:szCs w:val="18"/>
          <w:color w:val="auto"/>
        </w:rPr>
        <w:t>Mr. Henneman’s separation from service from the Company. The aggregate balance shown is based on the $30.83 closing price of our common stock on December 31,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agreements with each of its named executive officers other than Mr. Corbin which provide certain payments and benefits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upon any of several events of termination of employment, including termination of employment in connection with a change in control. This section describes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payments and benefits, with amounts calculated based on the assumption that a named executive officer’s termination of employment with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occurred on December 30, 2011. On December 30, 2011, the Company’s common stock had a closing sale price on the NASDAQ Global Select Market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$30.83. Actual amounts payable would vary based on the date of the named executive officer’s termination of employment and can only be finally determined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time.</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Unless specified otherwise, the information in this section is based upon the terms of (i) the Second Amended and Restated Employment Agreement between the Company and Stuart M. Essig, dated as of July 27, 2004 and subsequently amended on December 19, 2006, March 6, 2008, August 6, 2008 and April 13, 2009 (the “Essig Agreement”); (ii) the Employment Agreement between the Company and Peter J. Arduini, dated as of October 12, 2010 (the “Arduini Agreement”); (iii) the Amended and Restated Employment Agreement, between the Company and John B. Henneman, III, dated December 19, 2005 and subsequently amended on January 2, 2008, December 18, 2008, April 13, 2009, and October 12, 2010 (the “Henneman Agreement); and (iv) the Severance Agreement, dated as of January 3, 2011, between the Company and Judith O’Grady (the “O’Grady Agreement”) (the Essig Agreement, the Arduini Agreement, the Henneman Agreement and the O’Grady Agreement are collectively referred to in this section as the “Agreements”).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By The Company Without Cause Or By The Executive For Good Reason Prior to a Change in Control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Agreements provide each of the applicable named executive officers (except Ms. O’Grady) with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Arduini and Henneman, the Company will pay them a lump sum cash severance payment equal to the sum of their annual base salary as of their last day of active employment and their target bonus for the year of termination.</w:t>
      </w:r>
    </w:p>
    <w:p>
      <w:pPr>
        <w:spacing w:after="0" w:line="3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the Agreements provide that the Company will pay to each of the applicable named executive officers (other than Ms. O’Grady), for a specified period of time, the monthly premium for COBRA family coverage under the Company’s group health plan, a related gross-up payment (for Mr. Essig only) based on a 45% tax rate and the monthly premium cost that the Company would have paid to cover the executive under the Company’s group life insurance had the executive’s employment not terminated. Specifically, Mr. Essig generally will receive payments until the end of the then-current term (currently December 31, 2012), and the other applicable executives generally will receive payments for a maximum of one year following their date of termination. In addition, the Company will pay Messrs. Arduini and Henneman the monthly premium cost for disability insurance under the Company’s plan for a maximum of one year following termination.</w:t>
      </w:r>
    </w:p>
    <w:p>
      <w:pPr>
        <w:spacing w:after="0" w:line="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Agreements also provide the applicable named executive officers (except Ms. O’Grady) with accelerated vesting of their equity awards upon such termination of employment. In addition, for Mr. Essig, all of his stock options will remain exercisable through their original expiration dates and he will receive the shares of common stock underlying the 750,000 restricted stock units granted to him on July 27, 2004 (the “2004 RSUs”) and the 375,000 restricted stock units and 100,000 restricted stock units granted to him on August 6, 2008, December 19, 2008, December 17, 2009 and December 15, 2010, respectively, (collectively, the “2008, 2009 and 2010 RSUs”), as well as the 165,000 restricted stock units granted to him on May 17, 2011 (the “2011 RSUs”). In addition, Mr. Henneman will receive payment of common stock underlying the 88,877 restricted stock units granted to him in December 2008, and Mr. Arduini will receive payment of common stock underlying the 34,868 restricted stock units granted to him in November 2010. In all cases, the number of shares distributed will be net of applicable shares withheld for employment or income taxes at the time of grant, vesting or distribution. Further, Mr. Henneman’s 2008 stock option grant will remain exercisable through its original expiration date.</w:t>
      </w:r>
    </w:p>
    <w:p>
      <w:pPr>
        <w:spacing w:after="0" w:line="3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O’Grady Agreement provides that upon termination of her employment prior to a change in control, the Company’s standard employment policies and practices that are applicable to her at the time of her termination would be applicable, unless a written employment agreement between the Company and</w:t>
      </w:r>
    </w:p>
    <w:p>
      <w:pPr>
        <w:ind w:right="300"/>
        <w:spacing w:after="0" w:line="255" w:lineRule="auto"/>
        <w:rPr>
          <w:sz w:val="20"/>
          <w:szCs w:val="20"/>
          <w:color w:val="auto"/>
        </w:rPr>
      </w:pPr>
      <w:r>
        <w:rPr>
          <w:rFonts w:ascii="Arial" w:cs="Arial" w:eastAsia="Arial" w:hAnsi="Arial"/>
          <w:sz w:val="18"/>
          <w:szCs w:val="18"/>
          <w:color w:val="auto"/>
        </w:rPr>
        <w:t>Ms. O’Grady is in effect at the time of such termination. The Company currently does not have a written severance plan for employees generally or a separate employment agreement with Ms. O’Grady. Accordingly, Ms. O’Grady will not be entitled to any payments or benefits upon termination of her employment without cause prior to a change in control.</w:t>
      </w:r>
    </w:p>
    <w:p>
      <w:pPr>
        <w:spacing w:after="0" w:line="6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Company fails to obtain the assumption of the executive’s Agreement by any successor company. 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 (v) if the Company fails to indemnify him in all material respects in accordance with the Company’s Bylaws and terms of any directors and officers liability insurance policy; or (vi) if the Company fails to initiate the procedures, as soon as practicable, to establish and maintain registration statements with respect to stock options and restricted stock units granted to him prior to July 27, 2004. Mr. Essig consented to the November 1, 2010 change in his title to Chief Executive Officer and acknowledged that the change would not constitute a “good reason” termination of his employment.</w:t>
      </w:r>
    </w:p>
    <w:p>
      <w:pPr>
        <w:spacing w:after="0" w:line="33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w:t>
      </w:r>
    </w:p>
    <w:p>
      <w:pPr>
        <w:spacing w:after="0" w:line="3" w:lineRule="exact"/>
        <w:rPr>
          <w:sz w:val="20"/>
          <w:szCs w:val="20"/>
          <w:color w:val="auto"/>
        </w:rPr>
      </w:pPr>
    </w:p>
    <w:p>
      <w:pPr>
        <w:ind w:right="160"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Non-Renewal of Employment Agreement</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Essig Agreement provides that, upon nonrenewal of the term of such Agreement, all of his outstanding stock options granted after July 27, 2004 will remain exercisable through their original expiration dates. In addition, he will receive the shares underlying his 2004 RSUs and the shares underlying his 2008, 2009, 2010 and 2011 RSUs.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Henneman Agreement provides that the Company will pay him the same payments and benefits as those payments and benefits described above under “Payments Upon Termination By The Company Without Cause Or By The Executive For Good Reason Before A Change In Control” in the event of termination of his employment by reason of the Company’s election not to extend the term of the Henneman Agreement. In addition, the July 2008 stock option grant agreement with Mr. Henneman provides that, upon nonrenewal of the term of his employment agreement, his July 2008 stock option grant will remain exercisable through its original expiration date. Further, he will receive the shares underlying his 2008 grant of restricted stock units.</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Except as described above, no other Agreement with any executive officer provides for payments or benefits upon nonrenewal of the respective term of the Agreement.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Only the Essig, Arduini and Henneman Agreements provide severance payments and benefits upon death. Specifically, if Messrs. Essig, Arduini and Henneman die during the term of their employment, then the Company will pay to their estate a lump sum payment equal to one times their annual base salary. In addition, the Company generally will pay their eligible beneficiaries the monthly premium for COBRA family coverage under the Company’s group health plan and, for Mr. Essig only, a related gross-up payment based on a 45% tax rate for a period of one year from the date of their death.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Essig, Arduini and Henneman Agreements also provide for acceleration of their respective equity compensation awards. In addition, all of Mr. Essig’s stock options will remain exercisable until one year following his death, but in no event beyond their respective original expiration dates (except as described below with respect to his 2008 option grant). The options covered by Mr. Essig’s 2008 option grant will remain exercisable until the later of (i) December 31, 2011 or any extended expiration date of the employment agreement or (ii) one year following his death, but in no event beyond the option’s expiration date. Moreover, as promptly as practicable following his death, Mr. Essig’s estate will receive the shares underlying his 2004 RSUs and the shares underlying his 2008, 2009, 2010 and 2011 RSUs. The options covered by Mr. Henneman’s 2008 option grant will remain exercisable until one year following his death, but in no event beyond the option’s expiration date. In addition, the estate of Mr. Henneman will receive the shares underlying his 2008 grant of restricted stock units, and the estate of Mr. Arduini will receive the shares underlying his 2010 grant of restricted stock units.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2011. The Company generally will pay to Mr. Essig for a period of one year the monthly premium for COBRA family coverage under the Company’s group health plan, a related gross-up payment based on a 45% tax rate and the monthly premium cost that the Company would have paid to cover him under the Company’s group life insurance had his employment not terminated. Following December 31, 2011, Mr. Essig will continue to be entitled to receive long-term disability benefits under the Company’s long-term disability program in effect at such time to the extent he is eligible to receive such benefits.</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(except as described below with respect to his 2008 option grant). The options covered by Mr. Essig’s 2008 option grant that are vested at the time of his termination for disability will remain exercisable until the later of (i) December 31, 2011 or any extended expiration date of the employment agreement or (ii) one year following his termination for disability, but in no event beyond the option’s expiration date. In addition, as promptly as practicable following such termination, all shares underlying his outstanding 2004 RSUs and 2008, 2009, 2010 and 2011 RSUs will be paid to him.</w:t>
      </w:r>
    </w:p>
    <w:p>
      <w:pPr>
        <w:spacing w:after="0" w:line="3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options covered by Mr. Henneman’s 2008 option grant will remain exercisable until one year following termination on account of disability, but in no event beyond the options’ expiration date. In addition, as promptly as practicable following such termination, Mr. Henneman will receive the shares underlying his 2008 grant of restricted stock units, and Mr. Arduini will receive the shares underlying his 2010 grant of restricted stock units.</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Although no cash severance payments will be made to Messrs. Arduini and Henneman upon their termination of employment on account of their disability, all of their equity awards will accelerate and become fully vested on the date of their termination of employment for disability.</w:t>
      </w:r>
    </w:p>
    <w:p>
      <w:pPr>
        <w:spacing w:after="0" w:line="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6"/>
          <w:szCs w:val="16"/>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w:t>
      </w:r>
    </w:p>
    <w:p>
      <w:pPr>
        <w:ind w:right="340" w:firstLine="8"/>
        <w:spacing w:after="0" w:line="302" w:lineRule="auto"/>
        <w:tabs>
          <w:tab w:leader="none" w:pos="2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Essig terminates his employment for good reason, or (iii) the Company fails to renew the Essig Agreement, in each case, within eighteen months following a change in control, he will be entitled to a severance payment equal to the sum of (a) 2.99 times the sum of his base salary and target bonus for the fiscal year of his termination and (b) a pro rata portion of his target bonus in the year of termination. In addition, the Company will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generally pay him until the later of the expiration of the then-current term of his employment agreement or for one year after termination the monthly premium for COBRA family coverage under the Company’s group health plan, a related gross-up payment based on a 45% tax rate and the monthly premium cost that the Company would have paid to cover him under the Company’s group life insurance had his employment not terminated.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35"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The Agreements with the other applicable named executive officers provide that, if within twelve months (or eighteen months for Mr. Arduini) of a change in control, their employment with the Company is terminated by the Company for a reason other than death, disability or cause, or they terminate employment with the Company for good reason, (or for Mr. Henneman, if his employment terminates as a result of the Company’s election not to extend the term of the Henneman Agreement), the Company will pay a lump sum cash payment equal to a multiple (2.99 times for Messrs. Arduini and Henneman) of the sum of their annual base salary and target bonus (or for Ms. O’Grady, one times base salary). In addition, the Company will generally pay to such executives (other than Ms. O’Grady), the monthly premium for COBRA family coverage under the Company’s group health plan and the monthly premium cost that the Company would have paid to cover the executive under the Company’s group life and disability insurance had the executive’s employment not terminated for a period generally ending on the earlier to occur of (i) their date of death or (ii) December 31, 2013 for Mr. Arduini and the later of December 19, 2014 or December 19 of the year following the year in which termination occurs for Mr. Henneman. The O’Grady Agreement provides that, for a period ending on the earlier to occur of</w:t>
      </w:r>
    </w:p>
    <w:p>
      <w:pPr>
        <w:spacing w:after="0" w:line="5" w:lineRule="exact"/>
        <w:rPr>
          <w:sz w:val="20"/>
          <w:szCs w:val="20"/>
          <w:color w:val="auto"/>
        </w:rPr>
      </w:pPr>
    </w:p>
    <w:p>
      <w:pPr>
        <w:ind w:firstLine="8"/>
        <w:spacing w:after="0" w:line="253"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year after termination of employment or (ii) her date of death, the Company will generally provide health coverage in the Company’s health insurance program (if continuation of coverage is not prohibited) and reimburse her for the cost of the monthly healthcare premiums, less the amount she was required to pay for monthly coverage immediately before termination, on an after-tax basis. In addition, the Company will pay her a lump sum payment equal to the premium cost of continuing the life and disability insurance in effect on the date of termination (if continuation of coverage is not prohibited) until the earlier of (i) one year after termination or (ii) her date of death.</w:t>
      </w:r>
    </w:p>
    <w:p>
      <w:pPr>
        <w:spacing w:after="0" w:line="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Essig, Henneman and O’Grady Agreements also provide that the Company will pay all reasonable legal fees and expenses incurred by the executives as a result of their termination of employment.</w:t>
      </w:r>
    </w:p>
    <w:p>
      <w:pPr>
        <w:spacing w:after="0" w:line="5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Mr. Essig’s Agreement provides that if any payment, coverage or benefit provided to him is subject to the excise tax under section 4999 of the Code, he will be grossed-up so that he would be in the same net after-tax position he would have been in had sections 280G and 4999 of the Code not applied. The O’Grady Agreement provides that if any payment or benefit provided to her would be subject to the excise tax under section 4999 of the Code, the amounts payable to her and benefits she will receive will be reduced so that no amounts she would receive would be subject to the excise tax under section 4999 of the Code if such reduction would result in her receiving a greater amount on an after-tax basis than if no reduction has occurred.</w:t>
      </w:r>
    </w:p>
    <w:p>
      <w:pPr>
        <w:spacing w:after="0" w:line="35"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w:t>
      </w:r>
    </w:p>
    <w:p>
      <w:pPr>
        <w:ind w:right="60"/>
        <w:spacing w:after="0" w:line="253" w:lineRule="auto"/>
        <w:rPr>
          <w:sz w:val="20"/>
          <w:szCs w:val="20"/>
          <w:color w:val="auto"/>
        </w:rPr>
      </w:pPr>
      <w:r>
        <w:rPr>
          <w:rFonts w:ascii="Arial" w:cs="Arial" w:eastAsia="Arial" w:hAnsi="Arial"/>
          <w:sz w:val="18"/>
          <w:szCs w:val="18"/>
          <w:color w:val="auto"/>
        </w:rPr>
        <w:t>Mr. Essig will remain exercisable through their original expiration dates, and he will generally receive payment of all outstanding restricted stock units (including the shares underlying his 2004 RSUs and his 2008, 2009, 2010 and 2011 RSUs) on the date of the change in control. In addition, Mr. Henneman will receive payment of common stock underlying the restricted stock units granted to him in December 2008, and Mr. Arduini will receive payment of common stock underlying the restricted stock units granted to him in November 2010. Further, Mr. Henneman’s 2008 stock option grant will remain exercisable through its original expiration date.</w:t>
      </w:r>
    </w:p>
    <w:p>
      <w:pPr>
        <w:spacing w:after="0" w:line="6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(for the Arduini, Henneman and O’Grady Agreements, during any period of at least twenty-four months) to constitute at least a majority of the Board of Directors; (iii) upon consummation of a reorganization, merger or consolidation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 sale or other disposition of all or substantially all of assets of the Company or the acquisition of assets or stock of another entity; or (iv) upon approval by the stockholders of a complete liquidation or dissolution of the Company.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foregoing severance benefits payable upon termination of employment prior to or after a change in control to the applicable named executive officers (except Ms. O’Grady) are conditioned on, for Messrs. Essig, Arduini and Henneman, their execution of a mutual release.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for all of the applicable named executive officers, such benefits are consideration for the restrictive covenants set forth in their respective Agreements; provided, however, that the noncompetition and nonsolicitation covenants would not apply to Mr. Essig if he is terminated by the Company without cause or he terminates his employment for good reason prior to a change in control. Specifically, during the term of their employment with the Company and the one-year period thereafter (or for Mr. Essig, the two-year period thereafter), all of the named executive officers generally may not compete against the Company or solicit employees and customers of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30, 2011 or a change in control of the Company occurred on December 30, 2011, as applicable: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Termination</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Upon a Change</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or With Good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in Control</w:t>
            </w: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Without Cause or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Reason (Before a</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(With or</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With Good Reason</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9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Change In</w:t>
            </w:r>
          </w:p>
        </w:tc>
        <w:tc>
          <w:tcPr>
            <w:tcW w:w="3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Non-Renewal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Without</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(After a Change in</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1"/>
              </w:rPr>
              <w:t>Control)</w:t>
            </w:r>
          </w:p>
        </w:tc>
        <w:tc>
          <w:tcPr>
            <w:tcW w:w="38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of Agreement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Death</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Disability</w:t>
            </w:r>
          </w:p>
        </w:tc>
        <w:tc>
          <w:tcPr>
            <w:tcW w:w="60" w:type="dxa"/>
            <w:vAlign w:val="bottom"/>
          </w:tcPr>
          <w:p>
            <w:pPr>
              <w:spacing w:after="0"/>
              <w:rPr>
                <w:sz w:val="14"/>
                <w:szCs w:val="14"/>
                <w:color w:val="auto"/>
              </w:rPr>
            </w:pPr>
          </w:p>
        </w:tc>
        <w:tc>
          <w:tcPr>
            <w:tcW w:w="12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0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1"/>
              </w:rPr>
              <w:t>Control)</w:t>
            </w:r>
          </w:p>
        </w:tc>
        <w:tc>
          <w:tcPr>
            <w:tcW w:w="0" w:type="dxa"/>
            <w:vAlign w:val="bottom"/>
          </w:tcPr>
          <w:p>
            <w:pPr>
              <w:spacing w:after="0"/>
              <w:rPr>
                <w:sz w:val="1"/>
                <w:szCs w:val="1"/>
                <w:color w:val="auto"/>
              </w:rPr>
            </w:pPr>
          </w:p>
        </w:tc>
      </w:tr>
      <w:tr>
        <w:trPr>
          <w:trHeight w:val="122"/>
        </w:trPr>
        <w:tc>
          <w:tcPr>
            <w:tcW w:w="45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Stuart M. Essig</w:t>
            </w: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750,000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750,000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5,235,000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29,964</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29,964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29,964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1,869</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11,857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280G Gross-up Amount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831,833</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779,964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779,964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5,276,821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1,140,000</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600,000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3,408,600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16,596</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16,596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2,605</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280G Gross-up Amount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1,159,201</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616,596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3,449,543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John B. Henneman, III</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787,500</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787,500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525,000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2,354,625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16,596</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16,596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16,596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518,622</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518,622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518,622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518,622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2,979</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6,583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280G Gross-up Amount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1,325,697</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804,096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3"/>
              </w:rPr>
              <w:t>1,060,218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518,622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518,622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2,929,618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Judith E. O’Grady</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170,490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280G Gross-up Amount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170,490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458,364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Jerry E. Corbin</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Continued Health &amp; Other Benefits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235,295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Fees/Interest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280G Gross-up Amount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52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235,295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943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0" w:lineRule="exact"/>
        <w:rPr>
          <w:sz w:val="20"/>
          <w:szCs w:val="20"/>
          <w:color w:val="auto"/>
        </w:rPr>
      </w:pPr>
    </w:p>
    <w:p>
      <w:pPr>
        <w:ind w:left="340" w:right="100" w:hanging="332"/>
        <w:spacing w:after="0" w:line="294"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Mr. Essig, the premium cost for health, life and disability insurance is assumed to be $2,497 per month, which includes $1,115 for a gross-up for taxes (based on an assumed 45% tax rate) on the health insurance premium cost. For Messrs. Arduini and Henneman, the premium cost for health, life and disability insurance is assumed to be $1,383 per month with no gross-up. For Ms. O’Grady, the premium cost for health, life and disability insurance (less that amount she would have been required to pay for such coverage immediately before termination) is assumed to be $987 per month, which includes $435 for a gross-up for taxes (based on an assumed 45% tax rate) on the health insurance premium cost.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80" w:hanging="332"/>
        <w:spacing w:after="0" w:line="26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340" w:right="20" w:hanging="332"/>
        <w:spacing w:after="0" w:line="29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Essig, Henneman and O’Grady Agreements provide for reasonable legal fees and expenses that may be incurred by the executive as a result of the executive’s termination of employment related to a change in control. However, the table does not include a value for these fees and expenses because they would be incurred only if there is a dispute under these Agreements. Thus, these amounts are undeterminable. For Messrs. Arduini, Essig and Henneman and Ms. O’Grady, the amount shown represents the interest on the executive’s respective cash severance payment (cash severance plus premium cost for health and other insurance benefits) if it is required to be delayed for six months because of the application of section 409A of the Code, with such interest applied at the rate of 0.45% compounded monthly.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2011 included the compensation payable during the period beginning with the Company’s 2010</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19, 2010 and ending with the Company’s 2011 Annual Meeting of Stockholders on May 17, 2011.</w:t>
      </w:r>
    </w:p>
    <w:p>
      <w:pPr>
        <w:spacing w:after="0" w:line="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2010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$60,000,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7,500 options.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effective as of the 2011 Annual Meeting of Stockholders, the annual retainer for non-employee directors was increased from $60,000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$75,000, payable in the four ways described above, except that if options are selected, the number of options will be determined by valuing the options at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(previously at one-quarter) of the fair market value of the common stock underlying the options. In addition, the number of shares of restricted stock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will receive if they elect to receive the annual equity grant in restricted stock was increased from 1,875 to 2,500 (and from 2,500 to 3,325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Chairman). The number of options that non-employee directors will receive if they elect to receive the annual equity grant in options remains unchanged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7,500 options (or 10,000 for the Chairman).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2012 Annual Meeting of Stockholders, any presiding director will receive an annual presiding director fee of $25,000 payable in cash.</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the total compensation earned by non-employee directors in 2011.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Fees Earned or</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9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Stock Awards(2)(3)</w:t>
            </w:r>
          </w:p>
        </w:tc>
        <w:tc>
          <w:tcPr>
            <w:tcW w:w="20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9"/>
              </w:rPr>
              <w:t>Option Awards(4)(5)</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5100" w:type="dxa"/>
            <w:vAlign w:val="bottom"/>
            <w:gridSpan w:val="3"/>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1"/>
                <w:szCs w:val="11"/>
                <w:color w:val="auto"/>
              </w:rPr>
            </w:pPr>
          </w:p>
        </w:tc>
        <w:tc>
          <w:tcPr>
            <w:tcW w:w="1140" w:type="dxa"/>
            <w:vAlign w:val="bottom"/>
          </w:tcPr>
          <w:p>
            <w:pPr>
              <w:jc w:val="right"/>
              <w:ind w:right="418"/>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1"/>
                <w:szCs w:val="11"/>
                <w:color w:val="auto"/>
              </w:rPr>
            </w:pPr>
          </w:p>
        </w:tc>
        <w:tc>
          <w:tcPr>
            <w:tcW w:w="1220" w:type="dxa"/>
            <w:vAlign w:val="bottom"/>
          </w:tcPr>
          <w:p>
            <w:pPr>
              <w:jc w:val="right"/>
              <w:ind w:right="458"/>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t>
            </w:r>
          </w:p>
        </w:tc>
        <w:tc>
          <w:tcPr>
            <w:tcW w:w="16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rPr>
              <w:t>(b)</w:t>
            </w:r>
          </w:p>
        </w:tc>
        <w:tc>
          <w:tcPr>
            <w:tcW w:w="1920" w:type="dxa"/>
            <w:vAlign w:val="bottom"/>
            <w:gridSpan w:val="2"/>
          </w:tcPr>
          <w:p>
            <w:pPr>
              <w:jc w:val="right"/>
              <w:ind w:right="1280"/>
              <w:spacing w:after="0" w:line="129" w:lineRule="exact"/>
              <w:rPr>
                <w:sz w:val="20"/>
                <w:szCs w:val="20"/>
                <w:color w:val="auto"/>
              </w:rPr>
            </w:pPr>
            <w:r>
              <w:rPr>
                <w:rFonts w:ascii="Arial" w:cs="Arial" w:eastAsia="Arial" w:hAnsi="Arial"/>
                <w:sz w:val="14"/>
                <w:szCs w:val="14"/>
                <w:b w:val="1"/>
                <w:bCs w:val="1"/>
                <w:color w:val="auto"/>
              </w:rPr>
              <w:t>(c)</w:t>
            </w:r>
          </w:p>
        </w:tc>
        <w:tc>
          <w:tcPr>
            <w:tcW w:w="2000" w:type="dxa"/>
            <w:vAlign w:val="bottom"/>
            <w:gridSpan w:val="2"/>
          </w:tcPr>
          <w:p>
            <w:pPr>
              <w:jc w:val="right"/>
              <w:ind w:right="1320"/>
              <w:spacing w:after="0" w:line="129" w:lineRule="exact"/>
              <w:rPr>
                <w:sz w:val="20"/>
                <w:szCs w:val="20"/>
                <w:color w:val="auto"/>
              </w:rPr>
            </w:pPr>
            <w:r>
              <w:rPr>
                <w:rFonts w:ascii="Arial" w:cs="Arial" w:eastAsia="Arial" w:hAnsi="Arial"/>
                <w:sz w:val="14"/>
                <w:szCs w:val="14"/>
                <w:b w:val="1"/>
                <w:bCs w:val="1"/>
                <w:color w:val="auto"/>
              </w:rPr>
              <w:t>(d)</w:t>
            </w: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201,952</w:t>
            </w:r>
          </w:p>
        </w:tc>
        <w:tc>
          <w:tcPr>
            <w:tcW w:w="2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67,500</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126,950</w:t>
            </w:r>
          </w:p>
        </w:tc>
        <w:tc>
          <w:tcPr>
            <w:tcW w:w="2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Neal Moszkowski</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228,932</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201,952</w:t>
            </w:r>
          </w:p>
        </w:tc>
        <w:tc>
          <w:tcPr>
            <w:tcW w:w="2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75,002</w:t>
            </w:r>
          </w:p>
        </w:tc>
        <w:tc>
          <w:tcPr>
            <w:tcW w:w="1220" w:type="dxa"/>
            <w:vAlign w:val="bottom"/>
          </w:tcPr>
          <w:p>
            <w:pPr>
              <w:jc w:val="right"/>
              <w:spacing w:after="0"/>
              <w:rPr>
                <w:sz w:val="20"/>
                <w:szCs w:val="20"/>
                <w:color w:val="auto"/>
              </w:rPr>
            </w:pPr>
            <w:r>
              <w:rPr>
                <w:rFonts w:ascii="Arial" w:cs="Arial" w:eastAsia="Arial" w:hAnsi="Arial"/>
                <w:sz w:val="18"/>
                <w:szCs w:val="18"/>
                <w:color w:val="auto"/>
              </w:rPr>
              <w:t>143,910</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67,500</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126,950</w:t>
            </w:r>
          </w:p>
        </w:tc>
        <w:tc>
          <w:tcPr>
            <w:tcW w:w="2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Anne M. VanLent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67,500</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126,950</w:t>
            </w:r>
          </w:p>
        </w:tc>
        <w:tc>
          <w:tcPr>
            <w:tcW w:w="2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amounts earned for 2011, but not paid until 2012.</w:t>
      </w:r>
    </w:p>
    <w:p>
      <w:pPr>
        <w:spacing w:after="0" w:line="90" w:lineRule="exact"/>
        <w:rPr>
          <w:rFonts w:ascii="Arial" w:cs="Arial" w:eastAsia="Arial" w:hAnsi="Arial"/>
          <w:sz w:val="18"/>
          <w:szCs w:val="18"/>
          <w:color w:val="auto"/>
        </w:rPr>
      </w:pPr>
    </w:p>
    <w:p>
      <w:pPr>
        <w:ind w:left="340" w:right="280" w:hanging="332"/>
        <w:spacing w:after="0" w:line="26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 awards outstanding as of December 31, 2011 for each director consisted of restricted shares of common stock, as follows: Thomas J. Baltimore, Jr. — 1,988; Keith Bradley — 1,250; Richard E. Caruso — 0; Neal Moszkowski — 0; Raymond G. Murphy — 1,988; Christian S. Schade — 738; James M. Sullivan — 1,250 and Anne M. VanLent — 1,250.</w:t>
      </w:r>
    </w:p>
    <w:p>
      <w:pPr>
        <w:spacing w:after="0" w:line="59"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2011.</w:t>
      </w:r>
    </w:p>
    <w:p>
      <w:pPr>
        <w:spacing w:after="0" w:line="25" w:lineRule="exact"/>
        <w:rPr>
          <w:rFonts w:ascii="Arial" w:cs="Arial" w:eastAsia="Arial" w:hAnsi="Arial"/>
          <w:sz w:val="16"/>
          <w:szCs w:val="16"/>
          <w:color w:val="auto"/>
        </w:rPr>
      </w:pPr>
    </w:p>
    <w:p>
      <w:pPr>
        <w:ind w:left="340" w:right="20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options held by each director as of December 31, 2011 was as follows: Thomas J. Baltimore, Jr. — 0; Keith Bradley — 7,500; Richard E. Caruso — 45,219; Neal Moszkowski — 77,179; Raymond G. Murphy — 7,500; Christian Schade — 45,000; James M. Sullivan — 20,039 and Anne M. VanLent — 54,460.</w:t>
      </w:r>
    </w:p>
    <w:p>
      <w:pPr>
        <w:spacing w:after="0" w:line="5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Stuart Essig, the Company’s former Chief Executive Officer is not included in this table because during the last fiscal year, Mr. Essig was an employee of the Company and did not receive compensation for his services as a director. The compensation received by Mr. Essig as an employee of the Company is shown above in the Summary Compensation Table.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regarding existing compensation plans (including individual compensation arrangements) under which equity securities of the Company are authorized for issuance: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5"/>
              </w:rPr>
              <w:t>Number of Securities to be</w:t>
            </w:r>
          </w:p>
        </w:tc>
        <w:tc>
          <w:tcPr>
            <w:tcW w:w="80" w:type="dxa"/>
            <w:vAlign w:val="bottom"/>
          </w:tcPr>
          <w:p>
            <w:pPr>
              <w:spacing w:after="0"/>
              <w:rPr>
                <w:sz w:val="14"/>
                <w:szCs w:val="14"/>
                <w:color w:val="auto"/>
              </w:rPr>
            </w:pPr>
          </w:p>
        </w:tc>
        <w:tc>
          <w:tcPr>
            <w:tcW w:w="254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w w:val="86"/>
              </w:rPr>
              <w:t>Weighted-Average</w:t>
            </w: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90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80" w:type="dxa"/>
            <w:vAlign w:val="bottom"/>
          </w:tcPr>
          <w:p>
            <w:pPr>
              <w:spacing w:after="0"/>
              <w:rPr>
                <w:sz w:val="12"/>
                <w:szCs w:val="12"/>
                <w:color w:val="auto"/>
              </w:rPr>
            </w:pPr>
          </w:p>
        </w:tc>
        <w:tc>
          <w:tcPr>
            <w:tcW w:w="254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00" w:type="dxa"/>
            <w:vAlign w:val="bottom"/>
            <w:vMerge w:val="restart"/>
          </w:tcPr>
          <w:p>
            <w:pPr>
              <w:spacing w:after="0"/>
              <w:rPr>
                <w:sz w:val="12"/>
                <w:szCs w:val="12"/>
                <w:color w:val="auto"/>
              </w:rPr>
            </w:pPr>
          </w:p>
        </w:tc>
        <w:tc>
          <w:tcPr>
            <w:tcW w:w="290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90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26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181"/>
        </w:trPr>
        <w:tc>
          <w:tcPr>
            <w:tcW w:w="38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5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by stockholders</w:t>
            </w:r>
          </w:p>
        </w:tc>
        <w:tc>
          <w:tcPr>
            <w:tcW w:w="29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3,210,432(2)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5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38.68(3)</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3,074,002(4)</w:t>
            </w:r>
          </w:p>
        </w:tc>
        <w:tc>
          <w:tcPr>
            <w:tcW w:w="0" w:type="dxa"/>
            <w:vAlign w:val="bottom"/>
          </w:tcPr>
          <w:p>
            <w:pPr>
              <w:spacing w:after="0"/>
              <w:rPr>
                <w:sz w:val="1"/>
                <w:szCs w:val="1"/>
                <w:color w:val="auto"/>
              </w:rPr>
            </w:pPr>
          </w:p>
        </w:tc>
      </w:tr>
      <w:tr>
        <w:trPr>
          <w:trHeight w:val="208"/>
        </w:trPr>
        <w:tc>
          <w:tcPr>
            <w:tcW w:w="38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approved by stockholders</w:t>
            </w:r>
          </w:p>
        </w:tc>
        <w:tc>
          <w:tcPr>
            <w:tcW w:w="290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54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3,210,432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54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38.68</w:t>
            </w: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3,074,002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5620" w:right="4480" w:hanging="5612"/>
        <w:spacing w:after="0" w:line="525" w:lineRule="auto"/>
        <w:tabs>
          <w:tab w:leader="none" w:pos="3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Excludes securities to be issued upon the exercise of outstanding options, warrants and rights. 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40" w:hanging="332"/>
        <w:spacing w:after="0" w:line="29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(a) 2,585 shares of common stock underlying unvested Restricted Stock Units, (b) 9,322 shares of common stock underlying outstanding unvested contract stock, (c) 16,930 shares of common stock underlying outstanding unvested options, (d) 750,000 shares underlying vested and deferred Restricted Stock Units, (e) 966,328 shares underlying vested and deferred contract stock and (f) 1,465,267 shares of common stock underlying outstanding vested options. Of these amounts, the following securities are issuable under the 2003 Plan: (a) 752,585 shares of common stock underlying Restricted Stock Units, (b) 975,650 shares of common underlying contract stock and (c) 1,410,399 shares of common stock underlying outstanding options.</w:t>
      </w:r>
    </w:p>
    <w:p>
      <w:pPr>
        <w:spacing w:after="0" w:line="34"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$38.68.</w:t>
      </w:r>
    </w:p>
    <w:p>
      <w:pPr>
        <w:spacing w:after="0" w:line="90" w:lineRule="exact"/>
        <w:rPr>
          <w:rFonts w:ascii="Arial" w:cs="Arial" w:eastAsia="Arial" w:hAnsi="Arial"/>
          <w:sz w:val="18"/>
          <w:szCs w:val="18"/>
          <w:color w:val="auto"/>
        </w:rPr>
      </w:pPr>
    </w:p>
    <w:p>
      <w:pPr>
        <w:ind w:left="340" w:right="300" w:hanging="332"/>
        <w:spacing w:after="0" w:line="33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1,060,269 shares of common stock which remain available for issuance under the Employee Stock Purchase Plan and 2,013,733 shares which remain available for issuance under the other Approved Plans, including 1,915,720 shares under the 2003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Mr. Baltimore, Dr. Bradley and Mr. Moszkowski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88" w:lineRule="exact"/>
        <w:rPr>
          <w:sz w:val="20"/>
          <w:szCs w:val="20"/>
          <w:color w:val="auto"/>
        </w:rPr>
      </w:pPr>
    </w:p>
    <w:p>
      <w:pPr>
        <w:ind w:right="3200" w:firstLine="3202"/>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26" w:lineRule="exact"/>
        <w:rPr>
          <w:sz w:val="20"/>
          <w:szCs w:val="20"/>
          <w:color w:val="auto"/>
        </w:rPr>
      </w:pPr>
    </w:p>
    <w:p>
      <w:pPr>
        <w:ind w:left="460" w:right="220" w:firstLine="443"/>
        <w:spacing w:after="0" w:line="268"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$250,830 in rent for this facility during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26, 2011, a copy of which is available on the Company’s website.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2011.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2011 be included in the Company’s Annual Report on Form 10-K for such fiscal year, as filed with the Securities and Exchange Commission on February 27, 2012.</w:t>
      </w:r>
    </w:p>
    <w:p>
      <w:pPr>
        <w:spacing w:after="0" w:line="5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ANNE M. VANLENT (CHAIR)</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RAYMOND G. MURPHY</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JAMES M. SULLIVAN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29, 2012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5"/>
          </w:tcPr>
          <w:p>
            <w:pPr>
              <w:jc w:val="right"/>
              <w:ind w:right="136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300" w:type="dxa"/>
            <w:vAlign w:val="bottom"/>
            <w:vMerge w:val="restart"/>
          </w:tcPr>
          <w:p>
            <w:pPr>
              <w:spacing w:after="0"/>
              <w:rPr>
                <w:sz w:val="11"/>
                <w:szCs w:val="11"/>
                <w:color w:val="auto"/>
              </w:rPr>
            </w:pPr>
          </w:p>
        </w:tc>
        <w:tc>
          <w:tcPr>
            <w:tcW w:w="162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2300" w:type="dxa"/>
            <w:vAlign w:val="bottom"/>
            <w:vMerge w:val="continue"/>
          </w:tcPr>
          <w:p>
            <w:pPr>
              <w:spacing w:after="0"/>
              <w:rPr>
                <w:sz w:val="12"/>
                <w:szCs w:val="12"/>
                <w:color w:val="auto"/>
              </w:rPr>
            </w:pPr>
          </w:p>
        </w:tc>
        <w:tc>
          <w:tcPr>
            <w:tcW w:w="162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5"/>
              </w:rPr>
              <w:t>Shares Owned(1)</w:t>
            </w:r>
          </w:p>
        </w:tc>
        <w:tc>
          <w:tcPr>
            <w:tcW w:w="380" w:type="dxa"/>
            <w:vAlign w:val="bottom"/>
          </w:tcPr>
          <w:p>
            <w:pPr>
              <w:spacing w:after="0"/>
              <w:rPr>
                <w:sz w:val="12"/>
                <w:szCs w:val="12"/>
                <w:color w:val="auto"/>
              </w:rPr>
            </w:pPr>
          </w:p>
        </w:tc>
        <w:tc>
          <w:tcPr>
            <w:tcW w:w="2140" w:type="dxa"/>
            <w:vAlign w:val="bottom"/>
            <w:gridSpan w:val="2"/>
          </w:tcPr>
          <w:p>
            <w:pPr>
              <w:jc w:val="right"/>
              <w:ind w:right="1020"/>
              <w:spacing w:after="0" w:line="148" w:lineRule="exact"/>
              <w:rPr>
                <w:sz w:val="20"/>
                <w:szCs w:val="20"/>
                <w:color w:val="auto"/>
              </w:rPr>
            </w:pPr>
            <w:r>
              <w:rPr>
                <w:rFonts w:ascii="Arial" w:cs="Arial" w:eastAsia="Arial" w:hAnsi="Arial"/>
                <w:sz w:val="14"/>
                <w:szCs w:val="14"/>
                <w:b w:val="1"/>
                <w:bCs w:val="1"/>
                <w:color w:val="auto"/>
                <w:w w:val="87"/>
              </w:rPr>
              <w:t>Right to Acquire(2)</w:t>
            </w:r>
          </w:p>
        </w:tc>
        <w:tc>
          <w:tcPr>
            <w:tcW w:w="1760" w:type="dxa"/>
            <w:vAlign w:val="bottom"/>
            <w:gridSpan w:val="2"/>
          </w:tcPr>
          <w:p>
            <w:pPr>
              <w:jc w:val="right"/>
              <w:ind w:right="1240"/>
              <w:spacing w:after="0" w:line="148"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4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line="20" w:lineRule="exact"/>
              <w:rPr>
                <w:sz w:val="1"/>
                <w:szCs w:val="1"/>
                <w:color w:val="auto"/>
              </w:rPr>
            </w:pPr>
          </w:p>
        </w:tc>
      </w:tr>
      <w:tr>
        <w:trPr>
          <w:trHeight w:val="203"/>
        </w:trPr>
        <w:tc>
          <w:tcPr>
            <w:tcW w:w="472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214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Thomas J. Baltimore, Jr.</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18,011</w:t>
            </w:r>
          </w:p>
        </w:tc>
        <w:tc>
          <w:tcPr>
            <w:tcW w:w="380" w:type="dxa"/>
            <w:vAlign w:val="bottom"/>
          </w:tcPr>
          <w:p>
            <w:pPr>
              <w:spacing w:after="0"/>
              <w:rPr>
                <w:sz w:val="18"/>
                <w:szCs w:val="18"/>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18,011</w:t>
            </w:r>
          </w:p>
        </w:tc>
        <w:tc>
          <w:tcPr>
            <w:tcW w:w="10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Bradley, Ph.D.</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2,862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Richard E. Caruso, Ph.D.</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6,661,614(5)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41,612</w:t>
            </w:r>
          </w:p>
        </w:tc>
        <w:tc>
          <w:tcPr>
            <w:tcW w:w="1020" w:type="dxa"/>
            <w:vAlign w:val="bottom"/>
          </w:tcPr>
          <w:p>
            <w:pPr>
              <w:spacing w:after="0"/>
              <w:rPr>
                <w:sz w:val="18"/>
                <w:szCs w:val="18"/>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w w:val="92"/>
              </w:rPr>
              <w:t>6,703,226(5)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640,312(6)</w:t>
            </w:r>
          </w:p>
        </w:tc>
        <w:tc>
          <w:tcPr>
            <w:tcW w:w="25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1,175,000(7)</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1,815,312(6)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Neal Moszkowski</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3,511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74,197</w:t>
            </w: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77,708</w:t>
            </w:r>
          </w:p>
        </w:tc>
        <w:tc>
          <w:tcPr>
            <w:tcW w:w="10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5,977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43,125</w:t>
            </w: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49,102</w:t>
            </w:r>
          </w:p>
        </w:tc>
        <w:tc>
          <w:tcPr>
            <w:tcW w:w="10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11,171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31,210</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Anne M. VanLent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5,978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54,460</w:t>
            </w:r>
          </w:p>
        </w:tc>
        <w:tc>
          <w:tcPr>
            <w:tcW w:w="10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60,438</w:t>
            </w:r>
          </w:p>
        </w:tc>
        <w:tc>
          <w:tcPr>
            <w:tcW w:w="10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72,542</w:t>
            </w:r>
          </w:p>
        </w:tc>
        <w:tc>
          <w:tcPr>
            <w:tcW w:w="25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50,000(8)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122,542</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Jerry E. Corbin</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12,457</w:t>
            </w:r>
          </w:p>
        </w:tc>
        <w:tc>
          <w:tcPr>
            <w:tcW w:w="380" w:type="dxa"/>
            <w:vAlign w:val="bottom"/>
          </w:tcPr>
          <w:p>
            <w:pPr>
              <w:spacing w:after="0"/>
              <w:rPr>
                <w:sz w:val="18"/>
                <w:szCs w:val="18"/>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12,457</w:t>
            </w:r>
          </w:p>
        </w:tc>
        <w:tc>
          <w:tcPr>
            <w:tcW w:w="10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E. O’Grady</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31,286</w:t>
            </w:r>
          </w:p>
        </w:tc>
        <w:tc>
          <w:tcPr>
            <w:tcW w:w="3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31,286</w:t>
            </w:r>
          </w:p>
        </w:tc>
        <w:tc>
          <w:tcPr>
            <w:tcW w:w="1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20" w:type="dxa"/>
            <w:vAlign w:val="bottom"/>
            <w:gridSpan w:val="2"/>
          </w:tcPr>
          <w:p>
            <w:pPr>
              <w:spacing w:after="0"/>
              <w:rPr>
                <w:sz w:val="20"/>
                <w:szCs w:val="20"/>
                <w:color w:val="auto"/>
              </w:rPr>
            </w:pPr>
            <w:r>
              <w:rPr>
                <w:rFonts w:ascii="Arial" w:cs="Arial" w:eastAsia="Arial" w:hAnsi="Arial"/>
                <w:sz w:val="18"/>
                <w:szCs w:val="18"/>
                <w:color w:val="auto"/>
              </w:rPr>
              <w:t>All directors, nominees for director and executive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officers as a group (13 persons)</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7,475,429(9)</w:t>
            </w:r>
          </w:p>
        </w:tc>
        <w:tc>
          <w:tcPr>
            <w:tcW w:w="2520" w:type="dxa"/>
            <w:vAlign w:val="bottom"/>
            <w:gridSpan w:val="3"/>
          </w:tcPr>
          <w:p>
            <w:pPr>
              <w:jc w:val="right"/>
              <w:ind w:right="720"/>
              <w:spacing w:after="0"/>
              <w:rPr>
                <w:sz w:val="20"/>
                <w:szCs w:val="20"/>
                <w:color w:val="auto"/>
              </w:rPr>
            </w:pPr>
            <w:r>
              <w:rPr>
                <w:rFonts w:ascii="Arial" w:cs="Arial" w:eastAsia="Arial" w:hAnsi="Arial"/>
                <w:sz w:val="18"/>
                <w:szCs w:val="18"/>
                <w:color w:val="auto"/>
              </w:rPr>
              <w:t>1,473,433(10)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w w:val="92"/>
              </w:rPr>
              <w:t>8,948,862(9)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Provco Leasing Corporation 1105 N. Market Street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602</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Wilmington, DE 19801</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6,614,543(11)</w:t>
            </w:r>
          </w:p>
        </w:tc>
        <w:tc>
          <w:tcPr>
            <w:tcW w:w="3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6,614,543(11)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8"/>
        </w:trPr>
        <w:tc>
          <w:tcPr>
            <w:tcW w:w="4720" w:type="dxa"/>
            <w:vAlign w:val="bottom"/>
            <w:gridSpan w:val="2"/>
          </w:tcPr>
          <w:p>
            <w:pPr>
              <w:spacing w:after="0"/>
              <w:rPr>
                <w:sz w:val="20"/>
                <w:szCs w:val="20"/>
                <w:color w:val="auto"/>
              </w:rPr>
            </w:pPr>
            <w:r>
              <w:rPr>
                <w:rFonts w:ascii="Arial" w:cs="Arial" w:eastAsia="Arial" w:hAnsi="Arial"/>
                <w:sz w:val="18"/>
                <w:szCs w:val="18"/>
                <w:color w:val="auto"/>
              </w:rPr>
              <w:t>Tru St Partnership, L.P.</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795 East Lancaster Avenue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Suite 200</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Villanova, PA 19085</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6,591,205(12)</w:t>
            </w:r>
          </w:p>
        </w:tc>
        <w:tc>
          <w:tcPr>
            <w:tcW w:w="380" w:type="dxa"/>
            <w:vAlign w:val="bottom"/>
          </w:tcPr>
          <w:p>
            <w:pPr>
              <w:spacing w:after="0"/>
              <w:rPr>
                <w:sz w:val="19"/>
                <w:szCs w:val="19"/>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6,591,205(12)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 and Edward C. Johnson 3d 82 Devonshire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Street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Boston, MA 02109</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2,206,553(13)</w:t>
            </w:r>
          </w:p>
        </w:tc>
        <w:tc>
          <w:tcPr>
            <w:tcW w:w="3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2,206,553(13)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8"/>
        </w:trPr>
        <w:tc>
          <w:tcPr>
            <w:tcW w:w="4720" w:type="dxa"/>
            <w:vAlign w:val="bottom"/>
            <w:gridSpan w:val="2"/>
          </w:tcPr>
          <w:p>
            <w:pPr>
              <w:spacing w:after="0"/>
              <w:rPr>
                <w:sz w:val="20"/>
                <w:szCs w:val="20"/>
                <w:color w:val="auto"/>
              </w:rPr>
            </w:pPr>
            <w:r>
              <w:rPr>
                <w:rFonts w:ascii="Arial" w:cs="Arial" w:eastAsia="Arial" w:hAnsi="Arial"/>
                <w:sz w:val="18"/>
                <w:szCs w:val="18"/>
                <w:color w:val="auto"/>
              </w:rPr>
              <w:t>Tremblant Capital Group</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767 Fifth Avenue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New York, NY 10153</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1,682,081(14)</w:t>
            </w:r>
          </w:p>
        </w:tc>
        <w:tc>
          <w:tcPr>
            <w:tcW w:w="380" w:type="dxa"/>
            <w:vAlign w:val="bottom"/>
          </w:tcPr>
          <w:p>
            <w:pPr>
              <w:spacing w:after="0"/>
              <w:rPr>
                <w:sz w:val="19"/>
                <w:szCs w:val="19"/>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1,682,081(14)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1,589,686(15)</w:t>
            </w:r>
          </w:p>
        </w:tc>
        <w:tc>
          <w:tcPr>
            <w:tcW w:w="3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1,589,686(15)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8"/>
        </w:trPr>
        <w:tc>
          <w:tcPr>
            <w:tcW w:w="4720" w:type="dxa"/>
            <w:vAlign w:val="bottom"/>
            <w:gridSpan w:val="2"/>
          </w:tcPr>
          <w:p>
            <w:pPr>
              <w:spacing w:after="0"/>
              <w:rPr>
                <w:sz w:val="20"/>
                <w:szCs w:val="20"/>
                <w:color w:val="auto"/>
              </w:rPr>
            </w:pPr>
            <w:r>
              <w:rPr>
                <w:rFonts w:ascii="Arial" w:cs="Arial" w:eastAsia="Arial" w:hAnsi="Arial"/>
                <w:sz w:val="18"/>
                <w:szCs w:val="18"/>
                <w:color w:val="auto"/>
              </w:rPr>
              <w:t>Capital Research Global Investors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333 South Hope Street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Los Angeles, CA 90071</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1,356,083(16)</w:t>
            </w:r>
          </w:p>
        </w:tc>
        <w:tc>
          <w:tcPr>
            <w:tcW w:w="380" w:type="dxa"/>
            <w:vAlign w:val="bottom"/>
          </w:tcPr>
          <w:p>
            <w:pPr>
              <w:spacing w:after="0"/>
              <w:rPr>
                <w:sz w:val="19"/>
                <w:szCs w:val="19"/>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1,356,083(16)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943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9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not outstanding but deemed beneficially owned by virtue of the right of an individual to acquire them within 60 days of February 29, 2012 upon the exercise of an option or other convertible security are treated as outstanding for purposes of determining beneficial ownership and the percentage beneficially owned by such individual.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February 29, 2012, we had 26,884,071 shares of common stock outstanding.</w:t>
      </w:r>
    </w:p>
    <w:p>
      <w:pPr>
        <w:spacing w:after="0" w:line="9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outstanding Restricted Stock Units awarded to Mr. Arduini in November 2010 which entitle him to an aggregate of 34,130 shares of common stock. These Restricted Stock Units vested on the grant date, but are not yet deliverable and do not give Mr. Arduini the right to acquire any shares within 60 days of February 29, 2012.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6,591,205 shares held by Tru St Partnership, L.P., a Pennsylvania limited partnership (“Tru St”) (also see footnote 11 below). Also includes</w:t>
      </w:r>
    </w:p>
    <w:p>
      <w:pPr>
        <w:spacing w:after="0" w:line="38" w:lineRule="exact"/>
        <w:rPr>
          <w:rFonts w:ascii="Arial" w:cs="Arial" w:eastAsia="Arial" w:hAnsi="Arial"/>
          <w:sz w:val="16"/>
          <w:szCs w:val="16"/>
          <w:color w:val="auto"/>
        </w:rPr>
      </w:pPr>
    </w:p>
    <w:p>
      <w:pPr>
        <w:ind w:left="460"/>
        <w:spacing w:after="0" w:line="292" w:lineRule="auto"/>
        <w:rPr>
          <w:rFonts w:ascii="Arial" w:cs="Arial" w:eastAsia="Arial" w:hAnsi="Arial"/>
          <w:sz w:val="16"/>
          <w:szCs w:val="16"/>
          <w:color w:val="auto"/>
        </w:rPr>
      </w:pPr>
      <w:r>
        <w:rPr>
          <w:rFonts w:ascii="Arial" w:cs="Arial" w:eastAsia="Arial" w:hAnsi="Arial"/>
          <w:sz w:val="16"/>
          <w:szCs w:val="16"/>
          <w:color w:val="auto"/>
        </w:rPr>
        <w:t>23,338 shares held by Provco Leasing Corporation (“Provco”), of which Dr. Caruso is President and sole director and 9,000 shares held by The Uncommon Individual Foundation, of which Dr. Caruso is the Chief Executive Officer. Provco is the corporate general partner of Tru St. Dr. Caruso may be deemed to have shared voting and dispositive power over the shares held by Tru St and Provco. Also includes 38,071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35" w:lineRule="exact"/>
        <w:rPr>
          <w:rFonts w:ascii="Arial" w:cs="Arial" w:eastAsia="Arial" w:hAnsi="Arial"/>
          <w:sz w:val="16"/>
          <w:szCs w:val="16"/>
          <w:color w:val="auto"/>
        </w:rPr>
      </w:pPr>
    </w:p>
    <w:p>
      <w:pPr>
        <w:ind w:left="460" w:right="140" w:hanging="452"/>
        <w:spacing w:after="0" w:line="28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w:t>
      </w:r>
    </w:p>
    <w:p>
      <w:pPr>
        <w:ind w:left="460"/>
        <w:spacing w:after="0"/>
        <w:rPr>
          <w:rFonts w:ascii="Arial" w:cs="Arial" w:eastAsia="Arial" w:hAnsi="Arial"/>
          <w:sz w:val="16"/>
          <w:szCs w:val="16"/>
          <w:color w:val="auto"/>
        </w:rPr>
      </w:pPr>
      <w:r>
        <w:rPr>
          <w:rFonts w:ascii="Arial" w:cs="Arial" w:eastAsia="Arial" w:hAnsi="Arial"/>
          <w:sz w:val="16"/>
          <w:szCs w:val="16"/>
          <w:color w:val="auto"/>
        </w:rPr>
        <w:t>Mr. Essig, the cash equivalent of such shares). Mr. Essig retains voting power over these shares pending the settlement of the forward sale contract.</w:t>
      </w:r>
    </w:p>
    <w:p>
      <w:pPr>
        <w:spacing w:after="0" w:line="106" w:lineRule="exact"/>
        <w:rPr>
          <w:rFonts w:ascii="Arial" w:cs="Arial" w:eastAsia="Arial" w:hAnsi="Arial"/>
          <w:sz w:val="16"/>
          <w:szCs w:val="16"/>
          <w:color w:val="auto"/>
        </w:rPr>
      </w:pPr>
    </w:p>
    <w:p>
      <w:pPr>
        <w:ind w:left="460" w:right="20" w:hanging="452"/>
        <w:spacing w:after="0" w:line="28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Essig in 2004, which entitle him to receive an aggregate of 750,000 shares of common stock. These 750,000 Restricted Stock Units held by Mr. Essig vested on the grant date, but are not yet deliverable and do not give him the right to acquire any shares within 60 days of February 29, 2012. Also excludes outstanding Restricted Stock Units awarded to Mr. Essig in August 2008, which entitle him to receive an aggregate of 375,000 shares of common stock. These 375,000 Restricted Stock Units held by Mr. Essig vested on the grant date, but are not yet deliverable and do not give him the right to acquire any shares within 60 days of February 29, 2012. Also excludes outstanding Restricted Stock Units awarded to Mr. Essig in December 2008 and December 2009, of which 33,334 units vested in December 2009, 66,667 units vested in December 2010 and 99,999 units vested in December 2011. These vested Restricted Stock Units are not yet deliverable and do not give Mr. Essig the right to acquire any shares within 60 days of February 29, 2012. Also excludes outstanding Restricted Stock Units awarded to Mr. Essig in December 2010, of which 35,357 units vested on December 15, 2011, and 70,713 units vested on December 20, 2011. These vested Restricted Stock Units held by Mr. Essig are not yet deliverable and do not give him the right to acquire any shares within 60 days of February 29, 2012. Also excludes outstanding Restricted Stock Units awarded to Mr. Essig in May 2011, which entitle him to receive an aggregate of 161,513 shares of common stock. These 161,513 Restricted Stock Units held by Mr. Essig vested on the grant date, but are not yet deliverable and do not give him the right to acquire any shares within 60 days of February 29, 2012. Also excludes outstanding Restricted Stock Units awarded to Mr. Essig in February 2012, which entitle him to receive an aggregate of 73,415 shares of common stock. These 73,415 Restricted Stock Units held by Mr. Essig vested on the grant date, but are not yet deliverable and do not give him the right to acquire any shares within 60 days of February 29, 2012.</w:t>
      </w:r>
    </w:p>
    <w:p>
      <w:pPr>
        <w:spacing w:after="0" w:line="45"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Henneman in December 2008 of which 44,439 units vested in December 2009 and</w:t>
      </w:r>
    </w:p>
    <w:p>
      <w:pPr>
        <w:spacing w:after="0" w:line="38" w:lineRule="exact"/>
        <w:rPr>
          <w:rFonts w:ascii="Arial" w:cs="Arial" w:eastAsia="Arial" w:hAnsi="Arial"/>
          <w:sz w:val="16"/>
          <w:szCs w:val="16"/>
          <w:color w:val="auto"/>
        </w:rPr>
      </w:pPr>
    </w:p>
    <w:p>
      <w:pPr>
        <w:ind w:left="460" w:right="240"/>
        <w:spacing w:after="0" w:line="261" w:lineRule="auto"/>
        <w:rPr>
          <w:rFonts w:ascii="Arial" w:cs="Arial" w:eastAsia="Arial" w:hAnsi="Arial"/>
          <w:sz w:val="16"/>
          <w:szCs w:val="16"/>
          <w:color w:val="auto"/>
        </w:rPr>
      </w:pPr>
      <w:r>
        <w:rPr>
          <w:rFonts w:ascii="Arial" w:cs="Arial" w:eastAsia="Arial" w:hAnsi="Arial"/>
          <w:sz w:val="18"/>
          <w:szCs w:val="18"/>
          <w:color w:val="auto"/>
        </w:rPr>
        <w:t>44,438 units vested in December 2010. These vested Restricted Stock Units are not yet deliverable and do not give the executive the right to acquire any shares within 60 days of February 29, 2012.</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footnotes 5 and 6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footnotes 4, 7 and 8 above.</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6,591,205 shares held by Tru St (see footnote 12 below), of which Provco is the general corporate partner. Provco may be deemed to have shared voting and dispositive power over these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25" w:lineRule="exact"/>
        <w:rPr>
          <w:rFonts w:ascii="Arial" w:cs="Arial" w:eastAsia="Arial" w:hAnsi="Arial"/>
          <w:sz w:val="16"/>
          <w:szCs w:val="16"/>
          <w:color w:val="auto"/>
        </w:rPr>
      </w:pPr>
    </w:p>
    <w:p>
      <w:pPr>
        <w:ind w:left="460" w:right="20" w:hanging="452"/>
        <w:spacing w:after="0" w:line="28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Edward C. Johnson 3d each report beneficially owning and having sole dispositive power over 2,206,553 shares of which FMC LLC has sole voting power over 3,040 shares. Of the 2,206,553 shares, Fidelity Management &amp; Research Company (“Fidelity”), a wholly-owned subsidiary of FMR LLC and an investment adviser registered under Section 203 of the Investment Advisers Act of 1940 (the “1940 Act”), is the beneficial owner of 2,203,843 shares as a result of acting as an investment adviser to various investment companies registered under the 1940 Act. Edward C. Johnson 3d and FMR LLC, through its control of Fidelity, and the funds each has sole dispositive power over 2,203,843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Strategic Advisers, Inc.,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FMR LLC and an investment adviser registered under the 1940 Act, is the beneficial owner of</w:t>
      </w:r>
    </w:p>
    <w:p>
      <w:pPr>
        <w:spacing w:after="0" w:line="5" w:lineRule="exact"/>
        <w:rPr>
          <w:rFonts w:ascii="Arial" w:cs="Arial" w:eastAsia="Arial" w:hAnsi="Arial"/>
          <w:sz w:val="16"/>
          <w:szCs w:val="16"/>
          <w:color w:val="auto"/>
        </w:rPr>
      </w:pP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2,580 shares as a result of its serving as an investment adviser. Pyramis Global Advisors Trust Company, an indirect wholly-owned subsidiary of FMR LLC ares as a result of its serving as investment manager of institutional accounts owning such shares. The foregoing information has been included solely in reliance upon, and without independent investigation of, the disclosures contained in the Schedule 13G/A filed by FMR LLC with the Securities and Exchange Commission on February 14, 2012.</w:t>
      </w:r>
    </w:p>
    <w:p>
      <w:pPr>
        <w:spacing w:after="0" w:line="62"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Tremblant Capital Group has sole voting and dispositive power over all of these shares. The foregoing information has been included solely in reliance upon, and without independent investigation of, the disclosures contained in the Schedule 13G filed by Tremblant Capital Group with the Securities and Exchange Commission on February 14, 2012.</w:t>
      </w:r>
    </w:p>
    <w:p>
      <w:pPr>
        <w:spacing w:after="0" w:line="59"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BlackRock, Inc. has sole voting and dispositive power over all of these shares. The foregoing information has been included solely in reliance upon, and without independent investigation of, the disclosures contained in the Schedule 13G filed by BlackRock, Inc. with the Securities and Exchange Commission on February 13, 2012.</w:t>
      </w:r>
    </w:p>
    <w:p>
      <w:pPr>
        <w:spacing w:after="0" w:line="59"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Capital Research Global Investors, a division of Capital Research and Management Company, has sole voting and sole dispositive power over all of these shares. The foregoing information has been included solely in reliance upon, and without independent investigation of, the disclosures contained in the Schedule 13G filed by Capital Research Global Investors with the Securities and Exchange Commission on February 9, 2012.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2011, except for the following, which resulted from an administrative error: a statement of changes in beneficial ownership of securities on Form 4 for one purchase of common stock on November 2, 2011 was filed late by Dr. Richard Caruso, a director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2013 Annual Meeting of Stockholders is December 21, 2012. Such proposals must be sent to: Integra LifeSciences Holdings Corporation, 311 Enterprise Drive, Plainsboro, New Jersey 08536, Attention: Senior Vice President, General Counsel, Administration and Secretary. The date after which notice of a stockholder proposal submitted outside of the processes of Rule 14a-8 of the Exchange Act is considered untimely is December 21, 2012. If notice of a stockholder proposal submitted outside of the processes of Rule 14a-8 of the Exchange is received by the Company after December 21, 2012, then the Company’s proxy for the 2013 Annual Meeting of Stockholders may confer discretionary authority to vote on such matter without any discussion of such matter in the proxy statement for such annual meeting of stockholders.</w:t>
      </w:r>
    </w:p>
    <w:p>
      <w:pPr>
        <w:spacing w:after="0" w:line="3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2013 Annual Meeting that is not included in the proxy statement if proper written notice is received by our Senior Vice President, General Counsel, Administration and Secretary at our principal executive offices between January 17, 2013 and the close of business on February 18, 2013. The proposal must contain the specific information required by our Bylaws. You may obtain a copy of the Bylaws by writing to our Senior Vice President, General Counsel, Administration and Secretary.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copy of the Company’s 2011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5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2011 as filed with the Securities and Exchange Commission on February 27, 2012.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40"/>
        <w:spacing w:after="0"/>
        <w:tabs>
          <w:tab w:leader="none" w:pos="6960" w:val="left"/>
        </w:tabs>
        <w:rPr>
          <w:sz w:val="20"/>
          <w:szCs w:val="20"/>
          <w:color w:val="auto"/>
        </w:rPr>
      </w:pP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19685</wp:posOffset>
            </wp:positionV>
            <wp:extent cx="3035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Senior Vice President, General Counsel,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13,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ANNUAL MEETING OF STOCKHOLDERS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May 17, 2012</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and proxy card</w:t>
      </w:r>
    </w:p>
    <w:p>
      <w:pPr>
        <w:jc w:val="center"/>
        <w:ind w:right="20"/>
        <w:spacing w:after="0"/>
        <w:rPr>
          <w:sz w:val="20"/>
          <w:szCs w:val="20"/>
          <w:color w:val="auto"/>
        </w:rPr>
      </w:pPr>
      <w:r>
        <w:rPr>
          <w:rFonts w:ascii="Arial" w:cs="Arial" w:eastAsia="Arial" w:hAnsi="Arial"/>
          <w:sz w:val="18"/>
          <w:szCs w:val="18"/>
          <w:color w:val="auto"/>
        </w:rPr>
        <w:t>are available at http://investor.integralife.com/financials.cfm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Your vote is very important to us.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Please sign, date and mail</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your proxy card in the</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envelope provided as soon</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as possible.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0" w:type="dxa"/>
            <w:vAlign w:val="bottom"/>
            <w:gridSpan w:val="7"/>
          </w:tcPr>
          <w:p>
            <w:pPr>
              <w:jc w:val="center"/>
              <w:ind w:right="106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3"/>
                <w:szCs w:val="13"/>
                <w:color w:val="auto"/>
              </w:rPr>
              <w:t>Please detach along perforated line and mail in the envelope provided.</w:t>
            </w:r>
            <w:r>
              <w:rPr>
                <w:rFonts w:ascii="Arial" w:cs="Arial" w:eastAsia="Arial" w:hAnsi="Arial"/>
                <w:sz w:val="22"/>
                <w:szCs w:val="22"/>
                <w:color w:val="auto"/>
              </w:rPr>
              <w:t xml:space="preserve"> i</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220" w:type="dxa"/>
            <w:vAlign w:val="bottom"/>
            <w:gridSpan w:val="3"/>
          </w:tcPr>
          <w:p>
            <w:pPr>
              <w:spacing w:after="0"/>
              <w:rPr>
                <w:sz w:val="20"/>
                <w:szCs w:val="20"/>
                <w:color w:val="auto"/>
              </w:rPr>
            </w:pPr>
            <w:r>
              <w:rPr>
                <w:rFonts w:ascii="Arial" w:cs="Arial" w:eastAsia="Arial" w:hAnsi="Arial"/>
                <w:sz w:val="24"/>
                <w:szCs w:val="24"/>
                <w:color w:val="auto"/>
              </w:rPr>
              <w:t>¢</w:t>
            </w:r>
          </w:p>
        </w:tc>
        <w:tc>
          <w:tcPr>
            <w:tcW w:w="2620" w:type="dxa"/>
            <w:vAlign w:val="bottom"/>
            <w:gridSpan w:val="2"/>
          </w:tcPr>
          <w:p>
            <w:pPr>
              <w:jc w:val="right"/>
              <w:ind w:right="52"/>
              <w:spacing w:after="0"/>
              <w:rPr>
                <w:sz w:val="20"/>
                <w:szCs w:val="20"/>
                <w:color w:val="auto"/>
              </w:rPr>
            </w:pPr>
            <w:r>
              <w:rPr>
                <w:rFonts w:ascii="Arial" w:cs="Arial" w:eastAsia="Arial" w:hAnsi="Arial"/>
                <w:sz w:val="22"/>
                <w:szCs w:val="22"/>
                <w:color w:val="auto"/>
              </w:rPr>
              <w:t>00003333333333330000</w:t>
            </w:r>
          </w:p>
        </w:tc>
        <w:tc>
          <w:tcPr>
            <w:tcW w:w="840" w:type="dxa"/>
            <w:vAlign w:val="bottom"/>
          </w:tcPr>
          <w:p>
            <w:pPr>
              <w:jc w:val="right"/>
              <w:ind w:right="492"/>
              <w:spacing w:after="0"/>
              <w:rPr>
                <w:sz w:val="20"/>
                <w:szCs w:val="20"/>
                <w:color w:val="auto"/>
              </w:rPr>
            </w:pPr>
            <w:r>
              <w:rPr>
                <w:rFonts w:ascii="Arial" w:cs="Arial" w:eastAsia="Arial" w:hAnsi="Arial"/>
                <w:sz w:val="22"/>
                <w:szCs w:val="22"/>
                <w:color w:val="auto"/>
              </w:rPr>
              <w:t>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3"/>
          </w:tcPr>
          <w:p>
            <w:pPr>
              <w:ind w:left="1580"/>
              <w:spacing w:after="0"/>
              <w:rPr>
                <w:sz w:val="20"/>
                <w:szCs w:val="20"/>
                <w:color w:val="auto"/>
              </w:rPr>
            </w:pPr>
            <w:r>
              <w:rPr>
                <w:rFonts w:ascii="Arial" w:cs="Arial" w:eastAsia="Arial" w:hAnsi="Arial"/>
                <w:sz w:val="22"/>
                <w:szCs w:val="22"/>
                <w:color w:val="auto"/>
              </w:rPr>
              <w:t>051712</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100" w:type="dxa"/>
            <w:vAlign w:val="bottom"/>
            <w:gridSpan w:val="10"/>
          </w:tcPr>
          <w:p>
            <w:pPr>
              <w:jc w:val="center"/>
              <w:ind w:right="1020"/>
              <w:spacing w:after="0"/>
              <w:rPr>
                <w:sz w:val="20"/>
                <w:szCs w:val="20"/>
                <w:color w:val="auto"/>
              </w:rPr>
            </w:pPr>
            <w:r>
              <w:rPr>
                <w:rFonts w:ascii="Arial" w:cs="Arial" w:eastAsia="Arial" w:hAnsi="Arial"/>
                <w:sz w:val="14"/>
                <w:szCs w:val="14"/>
                <w:b w:val="1"/>
                <w:bCs w:val="1"/>
                <w:color w:val="auto"/>
                <w:w w:val="96"/>
              </w:rPr>
              <w:t>THE BOARD OF DIRECTORS RECOMMENDS A VOTE “FOR” ALL THE NOMINEES LISTED AND “FOR” PROPOSALS 2 AND 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gridSpan w:val="11"/>
          </w:tcPr>
          <w:p>
            <w:pPr>
              <w:jc w:val="center"/>
              <w:ind w:left="364"/>
              <w:spacing w:after="0" w:line="242" w:lineRule="exact"/>
              <w:rPr>
                <w:sz w:val="20"/>
                <w:szCs w:val="20"/>
                <w:color w:val="auto"/>
              </w:rPr>
            </w:pPr>
            <w:r>
              <w:rPr>
                <w:rFonts w:ascii="Arial" w:cs="Arial" w:eastAsia="Arial" w:hAnsi="Arial"/>
                <w:sz w:val="14"/>
                <w:szCs w:val="14"/>
                <w:b w:val="1"/>
                <w:bCs w:val="1"/>
                <w:color w:val="auto"/>
                <w:w w:val="96"/>
              </w:rPr>
              <w:t xml:space="preserve">PLEASE SIGN, DATE AND RETURN PROMPTLY IN THE ENCLOSED ENVELOPE. PLEASE MARK YOUR VOTE IN BLUE OR BLACK INK AS SHOWN HERE </w:t>
            </w:r>
            <w:r>
              <w:rPr>
                <w:rFonts w:ascii="MS PGothic" w:cs="MS PGothic" w:eastAsia="MS PGothic" w:hAnsi="MS PGothic"/>
                <w:sz w:val="21"/>
                <w:szCs w:val="21"/>
                <w:color w:val="auto"/>
                <w:w w:val="96"/>
              </w:rPr>
              <w:t>☒</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4"/>
                <w:szCs w:val="14"/>
                <w:color w:val="auto"/>
              </w:rPr>
              <w:t>1.  The Election of Directors:</w:t>
            </w: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color w:val="auto"/>
              </w:rPr>
              <w:t>FOR   AGAINST</w:t>
            </w: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Peter J. Arduini</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Thomas J. Baltimore, Jr.</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Keith Bradley</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Richard E. Caruso</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Stuart M. Essig</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Neal Moszkowski</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Raymond G. Murphy</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Christian S. Schade</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4860" w:type="dxa"/>
            <w:vAlign w:val="bottom"/>
            <w:gridSpan w:val="3"/>
            <w:vMerge w:val="restart"/>
          </w:tcPr>
          <w:p>
            <w:pPr>
              <w:ind w:left="620"/>
              <w:spacing w:after="0"/>
              <w:rPr>
                <w:sz w:val="20"/>
                <w:szCs w:val="20"/>
                <w:color w:val="auto"/>
              </w:rPr>
            </w:pPr>
            <w:r>
              <w:rPr>
                <w:rFonts w:ascii="Arial" w:cs="Arial" w:eastAsia="Arial" w:hAnsi="Arial"/>
                <w:sz w:val="14"/>
                <w:szCs w:val="14"/>
                <w:color w:val="auto"/>
              </w:rPr>
              <w:t>James M. Sullivan</w:t>
            </w:r>
          </w:p>
        </w:tc>
        <w:tc>
          <w:tcPr>
            <w:tcW w:w="1140" w:type="dxa"/>
            <w:vAlign w:val="bottom"/>
            <w:gridSpan w:val="2"/>
            <w:vMerge w:val="restart"/>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4860" w:type="dxa"/>
            <w:vAlign w:val="bottom"/>
            <w:gridSpan w:val="3"/>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620"/>
              <w:spacing w:after="0"/>
              <w:rPr>
                <w:sz w:val="20"/>
                <w:szCs w:val="20"/>
                <w:color w:val="auto"/>
              </w:rPr>
            </w:pPr>
            <w:r>
              <w:rPr>
                <w:rFonts w:ascii="Arial" w:cs="Arial" w:eastAsia="Arial" w:hAnsi="Arial"/>
                <w:sz w:val="14"/>
                <w:szCs w:val="14"/>
                <w:color w:val="auto"/>
              </w:rPr>
              <w:t>Anne M. VanLent</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4"/>
                <w:szCs w:val="14"/>
                <w:color w:val="auto"/>
                <w:w w:val="98"/>
              </w:rPr>
              <w:t>2.  The Proposal to ratify the appointment of PricewaterhouseCoopers LLP as</w:t>
            </w:r>
          </w:p>
        </w:tc>
        <w:tc>
          <w:tcPr>
            <w:tcW w:w="1140" w:type="dxa"/>
            <w:vAlign w:val="bottom"/>
            <w:gridSpan w:val="2"/>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8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8"/>
              </w:rPr>
              <w:t>the Company’s independent registered public accounting firm for the fiscal</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860" w:type="dxa"/>
            <w:vAlign w:val="bottom"/>
            <w:gridSpan w:val="3"/>
          </w:tcPr>
          <w:p>
            <w:pPr>
              <w:ind w:left="320"/>
              <w:spacing w:after="0"/>
              <w:rPr>
                <w:sz w:val="20"/>
                <w:szCs w:val="20"/>
                <w:color w:val="auto"/>
              </w:rPr>
            </w:pPr>
            <w:r>
              <w:rPr>
                <w:rFonts w:ascii="Arial" w:cs="Arial" w:eastAsia="Arial" w:hAnsi="Arial"/>
                <w:sz w:val="14"/>
                <w:szCs w:val="14"/>
                <w:color w:val="auto"/>
              </w:rPr>
              <w:t>year 2012; and</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860" w:type="dxa"/>
            <w:vAlign w:val="bottom"/>
            <w:gridSpan w:val="3"/>
          </w:tcPr>
          <w:p>
            <w:pPr>
              <w:ind w:left="100"/>
              <w:spacing w:after="0"/>
              <w:rPr>
                <w:sz w:val="20"/>
                <w:szCs w:val="20"/>
                <w:color w:val="auto"/>
              </w:rPr>
            </w:pPr>
            <w:r>
              <w:rPr>
                <w:rFonts w:ascii="Arial" w:cs="Arial" w:eastAsia="Arial" w:hAnsi="Arial"/>
                <w:sz w:val="14"/>
                <w:szCs w:val="14"/>
                <w:color w:val="auto"/>
              </w:rPr>
              <w:t>3.  A non-binding resolution to approve the compensation of our named</w:t>
            </w:r>
          </w:p>
        </w:tc>
        <w:tc>
          <w:tcPr>
            <w:tcW w:w="1140" w:type="dxa"/>
            <w:vAlign w:val="bottom"/>
            <w:gridSpan w:val="2"/>
            <w:vMerge w:val="restart"/>
          </w:tcPr>
          <w:p>
            <w:pPr>
              <w:ind w:left="80"/>
              <w:spacing w:after="0" w:line="321" w:lineRule="exact"/>
              <w:rPr>
                <w:sz w:val="20"/>
                <w:szCs w:val="20"/>
                <w:color w:val="auto"/>
              </w:rPr>
            </w:pPr>
            <w:r>
              <w:rPr>
                <w:rFonts w:ascii="MS PGothic" w:cs="MS PGothic" w:eastAsia="MS PGothic" w:hAnsi="MS PGothic"/>
                <w:sz w:val="32"/>
                <w:szCs w:val="32"/>
                <w:color w:val="auto"/>
              </w:rPr>
              <w:t>☐ ☐</w:t>
            </w:r>
          </w:p>
        </w:tc>
        <w:tc>
          <w:tcPr>
            <w:tcW w:w="660" w:type="dxa"/>
            <w:vAlign w:val="bottom"/>
            <w:gridSpan w:val="2"/>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4860" w:type="dxa"/>
            <w:vAlign w:val="bottom"/>
            <w:gridSpan w:val="3"/>
          </w:tcPr>
          <w:p>
            <w:pPr>
              <w:ind w:left="320"/>
              <w:spacing w:after="0"/>
              <w:rPr>
                <w:sz w:val="20"/>
                <w:szCs w:val="20"/>
                <w:color w:val="auto"/>
              </w:rPr>
            </w:pPr>
            <w:r>
              <w:rPr>
                <w:rFonts w:ascii="Arial" w:cs="Arial" w:eastAsia="Arial" w:hAnsi="Arial"/>
                <w:sz w:val="14"/>
                <w:szCs w:val="14"/>
                <w:color w:val="auto"/>
              </w:rPr>
              <w:t>executive officers.</w:t>
            </w:r>
          </w:p>
        </w:tc>
        <w:tc>
          <w:tcPr>
            <w:tcW w:w="11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680" w:type="dxa"/>
            <w:vAlign w:val="bottom"/>
            <w:gridSpan w:val="4"/>
          </w:tcPr>
          <w:p>
            <w:pPr>
              <w:spacing w:after="0"/>
              <w:rPr>
                <w:sz w:val="8"/>
                <w:szCs w:val="8"/>
                <w:color w:val="auto"/>
              </w:rPr>
            </w:pPr>
          </w:p>
        </w:tc>
        <w:tc>
          <w:tcPr>
            <w:tcW w:w="20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6660" w:type="dxa"/>
            <w:vAlign w:val="bottom"/>
            <w:gridSpan w:val="7"/>
            <w:vMerge w:val="restart"/>
          </w:tcPr>
          <w:p>
            <w:pPr>
              <w:ind w:left="100"/>
              <w:spacing w:after="0"/>
              <w:rPr>
                <w:sz w:val="20"/>
                <w:szCs w:val="20"/>
                <w:color w:val="auto"/>
              </w:rPr>
            </w:pPr>
            <w:r>
              <w:rPr>
                <w:rFonts w:ascii="Arial" w:cs="Arial" w:eastAsia="Arial" w:hAnsi="Arial"/>
                <w:sz w:val="14"/>
                <w:szCs w:val="14"/>
                <w:color w:val="auto"/>
              </w:rPr>
              <w:t>In their discretion, the Proxies are authorized, to the extent permitted by the rules of the Securities and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Borders>
              <w:top w:val="single" w:sz="8" w:color="auto"/>
            </w:tcBorders>
            <w:gridSpan w:val="7"/>
          </w:tcPr>
          <w:p>
            <w:pPr>
              <w:spacing w:after="0" w:line="128" w:lineRule="exact"/>
              <w:rPr>
                <w:sz w:val="20"/>
                <w:szCs w:val="20"/>
                <w:color w:val="auto"/>
              </w:rPr>
            </w:pPr>
            <w:r>
              <w:rPr>
                <w:rFonts w:ascii="Arial" w:cs="Arial" w:eastAsia="Arial" w:hAnsi="Arial"/>
                <w:sz w:val="14"/>
                <w:szCs w:val="14"/>
                <w:color w:val="auto"/>
              </w:rPr>
              <w:t>To change the address on your account, please check the box at right</w:t>
            </w:r>
          </w:p>
        </w:tc>
        <w:tc>
          <w:tcPr>
            <w:tcW w:w="400" w:type="dxa"/>
            <w:vAlign w:val="bottom"/>
            <w:tcBorders>
              <w:top w:val="single" w:sz="8" w:color="auto"/>
              <w:right w:val="single" w:sz="8" w:color="auto"/>
            </w:tcBorders>
            <w:vMerge w:val="restart"/>
          </w:tcPr>
          <w:p>
            <w:pPr>
              <w:ind w:left="40"/>
              <w:spacing w:after="0" w:line="321" w:lineRule="exact"/>
              <w:rPr>
                <w:sz w:val="20"/>
                <w:szCs w:val="20"/>
                <w:color w:val="auto"/>
              </w:rPr>
            </w:pPr>
            <w:r>
              <w:rPr>
                <w:rFonts w:ascii="MS PGothic" w:cs="MS PGothic" w:eastAsia="MS PGothic" w:hAnsi="MS PGothic"/>
                <w:sz w:val="32"/>
                <w:szCs w:val="32"/>
                <w:color w:val="auto"/>
                <w:w w:val="99"/>
              </w:rPr>
              <w:t>☐</w:t>
            </w:r>
          </w:p>
        </w:tc>
        <w:tc>
          <w:tcPr>
            <w:tcW w:w="6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8"/>
          </w:tcPr>
          <w:p>
            <w:pPr>
              <w:spacing w:after="0" w:line="149" w:lineRule="exact"/>
              <w:rPr>
                <w:sz w:val="20"/>
                <w:szCs w:val="20"/>
                <w:color w:val="auto"/>
              </w:rPr>
            </w:pPr>
            <w:r>
              <w:rPr>
                <w:rFonts w:ascii="Arial" w:cs="Arial" w:eastAsia="Arial" w:hAnsi="Arial"/>
                <w:sz w:val="14"/>
                <w:szCs w:val="14"/>
                <w:color w:val="auto"/>
              </w:rPr>
              <w:t>and indicate your new address in the address space above. Please</w:t>
            </w:r>
          </w:p>
        </w:tc>
        <w:tc>
          <w:tcPr>
            <w:tcW w:w="400" w:type="dxa"/>
            <w:vAlign w:val="bottom"/>
            <w:tcBorders>
              <w:right w:val="single" w:sz="8" w:color="auto"/>
            </w:tcBorders>
            <w:vMerge w:val="continue"/>
          </w:tcPr>
          <w:p>
            <w:pPr>
              <w:spacing w:after="0"/>
              <w:rPr>
                <w:sz w:val="12"/>
                <w:szCs w:val="12"/>
                <w:color w:val="auto"/>
              </w:rPr>
            </w:pPr>
          </w:p>
        </w:tc>
        <w:tc>
          <w:tcPr>
            <w:tcW w:w="6660" w:type="dxa"/>
            <w:vAlign w:val="bottom"/>
            <w:gridSpan w:val="7"/>
          </w:tcPr>
          <w:p>
            <w:pPr>
              <w:ind w:left="100"/>
              <w:spacing w:after="0" w:line="149" w:lineRule="exact"/>
              <w:rPr>
                <w:sz w:val="20"/>
                <w:szCs w:val="20"/>
                <w:color w:val="auto"/>
              </w:rPr>
            </w:pPr>
            <w:r>
              <w:rPr>
                <w:rFonts w:ascii="Arial" w:cs="Arial" w:eastAsia="Arial" w:hAnsi="Arial"/>
                <w:sz w:val="14"/>
                <w:szCs w:val="14"/>
                <w:color w:val="auto"/>
                <w:w w:val="98"/>
              </w:rPr>
              <w:t>Exchange Commission, to vote upon such other business as may properly come before the meeting or any</w:t>
            </w:r>
          </w:p>
        </w:tc>
        <w:tc>
          <w:tcPr>
            <w:tcW w:w="0" w:type="dxa"/>
            <w:vAlign w:val="bottom"/>
          </w:tcPr>
          <w:p>
            <w:pPr>
              <w:spacing w:after="0"/>
              <w:rPr>
                <w:sz w:val="1"/>
                <w:szCs w:val="1"/>
                <w:color w:val="auto"/>
              </w:rPr>
            </w:pPr>
          </w:p>
        </w:tc>
      </w:tr>
      <w:tr>
        <w:trPr>
          <w:trHeight w:val="162"/>
        </w:trPr>
        <w:tc>
          <w:tcPr>
            <w:tcW w:w="4380" w:type="dxa"/>
            <w:vAlign w:val="bottom"/>
            <w:gridSpan w:val="8"/>
          </w:tcPr>
          <w:p>
            <w:pPr>
              <w:spacing w:after="0"/>
              <w:rPr>
                <w:sz w:val="20"/>
                <w:szCs w:val="20"/>
                <w:color w:val="auto"/>
              </w:rPr>
            </w:pPr>
            <w:r>
              <w:rPr>
                <w:rFonts w:ascii="Arial" w:cs="Arial" w:eastAsia="Arial" w:hAnsi="Arial"/>
                <w:sz w:val="14"/>
                <w:szCs w:val="14"/>
                <w:color w:val="auto"/>
                <w:w w:val="98"/>
              </w:rPr>
              <w:t>note that changes to the registered name(s) on the account may not be</w:t>
            </w:r>
          </w:p>
        </w:tc>
        <w:tc>
          <w:tcPr>
            <w:tcW w:w="400" w:type="dxa"/>
            <w:vAlign w:val="bottom"/>
            <w:tcBorders>
              <w:right w:val="single" w:sz="8" w:color="auto"/>
            </w:tcBorders>
            <w:vMerge w:val="continue"/>
          </w:tcPr>
          <w:p>
            <w:pPr>
              <w:spacing w:after="0"/>
              <w:rPr>
                <w:sz w:val="14"/>
                <w:szCs w:val="14"/>
                <w:color w:val="auto"/>
              </w:rPr>
            </w:pPr>
          </w:p>
        </w:tc>
        <w:tc>
          <w:tcPr>
            <w:tcW w:w="4860" w:type="dxa"/>
            <w:vAlign w:val="bottom"/>
            <w:gridSpan w:val="3"/>
          </w:tcPr>
          <w:p>
            <w:pPr>
              <w:ind w:left="100"/>
              <w:spacing w:after="0"/>
              <w:rPr>
                <w:sz w:val="20"/>
                <w:szCs w:val="20"/>
                <w:color w:val="auto"/>
              </w:rPr>
            </w:pPr>
            <w:r>
              <w:rPr>
                <w:rFonts w:ascii="Arial" w:cs="Arial" w:eastAsia="Arial" w:hAnsi="Arial"/>
                <w:sz w:val="14"/>
                <w:szCs w:val="14"/>
                <w:color w:val="auto"/>
              </w:rPr>
              <w:t>adjournment or postponement thereof.</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5"/>
          </w:tcPr>
          <w:p>
            <w:pPr>
              <w:spacing w:after="0" w:line="149" w:lineRule="exact"/>
              <w:rPr>
                <w:sz w:val="20"/>
                <w:szCs w:val="20"/>
                <w:color w:val="auto"/>
              </w:rPr>
            </w:pPr>
            <w:r>
              <w:rPr>
                <w:rFonts w:ascii="Arial" w:cs="Arial" w:eastAsia="Arial" w:hAnsi="Arial"/>
                <w:sz w:val="14"/>
                <w:szCs w:val="14"/>
                <w:color w:val="auto"/>
              </w:rPr>
              <w:t>submitted via this method.</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gridSpan w:val="3"/>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6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Signature of Stockholder</w:t>
            </w:r>
          </w:p>
        </w:tc>
        <w:tc>
          <w:tcPr>
            <w:tcW w:w="1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Signature of Stockholder</w:t>
            </w:r>
          </w:p>
        </w:tc>
        <w:tc>
          <w:tcPr>
            <w:tcW w:w="212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6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20" w:type="dxa"/>
            <w:vAlign w:val="bottom"/>
            <w:gridSpan w:val="3"/>
            <w:vMerge w:val="restart"/>
          </w:tcPr>
          <w:p>
            <w:pPr>
              <w:spacing w:after="0"/>
              <w:rPr>
                <w:sz w:val="20"/>
                <w:szCs w:val="20"/>
                <w:color w:val="auto"/>
              </w:rPr>
            </w:pPr>
            <w:r>
              <w:rPr>
                <w:rFonts w:ascii="Arial" w:cs="Arial" w:eastAsia="Arial" w:hAnsi="Arial"/>
                <w:sz w:val="24"/>
                <w:szCs w:val="24"/>
                <w:color w:val="auto"/>
              </w:rPr>
              <w:t>¢</w:t>
            </w:r>
          </w:p>
        </w:tc>
        <w:tc>
          <w:tcPr>
            <w:tcW w:w="10900" w:type="dxa"/>
            <w:vAlign w:val="bottom"/>
            <w:gridSpan w:val="12"/>
          </w:tcPr>
          <w:p>
            <w:pPr>
              <w:jc w:val="center"/>
              <w:spacing w:after="0" w:line="141" w:lineRule="exact"/>
              <w:rPr>
                <w:sz w:val="20"/>
                <w:szCs w:val="20"/>
                <w:color w:val="auto"/>
              </w:rPr>
            </w:pPr>
            <w:r>
              <w:rPr>
                <w:rFonts w:ascii="Arial" w:cs="Arial" w:eastAsia="Arial" w:hAnsi="Arial"/>
                <w:sz w:val="14"/>
                <w:szCs w:val="14"/>
                <w:b w:val="1"/>
                <w:bCs w:val="1"/>
                <w:color w:val="auto"/>
                <w:w w:val="96"/>
              </w:rPr>
              <w:t xml:space="preserve">Note:  </w:t>
            </w:r>
            <w:r>
              <w:rPr>
                <w:rFonts w:ascii="Arial" w:cs="Arial" w:eastAsia="Arial" w:hAnsi="Arial"/>
                <w:sz w:val="14"/>
                <w:szCs w:val="14"/>
                <w:color w:val="auto"/>
                <w:w w:val="96"/>
              </w:rPr>
              <w:t>Please sign exactly as your name or names appear on this Proxy. When shares are held jointly, each holder should sign. When signing as executor, administrator, attorney,</w:t>
            </w:r>
          </w:p>
        </w:tc>
        <w:tc>
          <w:tcPr>
            <w:tcW w:w="320" w:type="dxa"/>
            <w:vAlign w:val="bottom"/>
            <w:vMerge w:val="restart"/>
          </w:tcPr>
          <w:p>
            <w:pPr>
              <w:jc w:val="right"/>
              <w:spacing w:after="0"/>
              <w:rPr>
                <w:sz w:val="20"/>
                <w:szCs w:val="20"/>
                <w:color w:val="auto"/>
              </w:rPr>
            </w:pP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149"/>
        </w:trPr>
        <w:tc>
          <w:tcPr>
            <w:tcW w:w="220" w:type="dxa"/>
            <w:vAlign w:val="bottom"/>
            <w:gridSpan w:val="3"/>
            <w:vMerge w:val="continue"/>
          </w:tcPr>
          <w:p>
            <w:pPr>
              <w:spacing w:after="0"/>
              <w:rPr>
                <w:sz w:val="12"/>
                <w:szCs w:val="12"/>
                <w:color w:val="auto"/>
              </w:rPr>
            </w:pPr>
          </w:p>
        </w:tc>
        <w:tc>
          <w:tcPr>
            <w:tcW w:w="10900" w:type="dxa"/>
            <w:vAlign w:val="bottom"/>
            <w:gridSpan w:val="12"/>
          </w:tcPr>
          <w:p>
            <w:pPr>
              <w:ind w:left="620"/>
              <w:spacing w:after="0" w:line="149" w:lineRule="exact"/>
              <w:rPr>
                <w:sz w:val="20"/>
                <w:szCs w:val="20"/>
                <w:color w:val="auto"/>
              </w:rPr>
            </w:pPr>
            <w:r>
              <w:rPr>
                <w:rFonts w:ascii="Arial" w:cs="Arial" w:eastAsia="Arial" w:hAnsi="Arial"/>
                <w:sz w:val="14"/>
                <w:szCs w:val="14"/>
                <w:color w:val="auto"/>
                <w:w w:val="97"/>
              </w:rPr>
              <w:t>trustee or guardian, please give full title as such. If the signer is a corporation, please sign full corporate name by duly authorized officer, giving full title as such. If signer is</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 w:type="dxa"/>
            <w:vAlign w:val="bottom"/>
            <w:gridSpan w:val="3"/>
            <w:vMerge w:val="continue"/>
          </w:tcPr>
          <w:p>
            <w:pPr>
              <w:spacing w:after="0"/>
              <w:rPr>
                <w:sz w:val="14"/>
                <w:szCs w:val="14"/>
                <w:color w:val="auto"/>
              </w:rPr>
            </w:pPr>
          </w:p>
        </w:tc>
        <w:tc>
          <w:tcPr>
            <w:tcW w:w="9420" w:type="dxa"/>
            <w:vAlign w:val="bottom"/>
            <w:gridSpan w:val="9"/>
          </w:tcPr>
          <w:p>
            <w:pPr>
              <w:ind w:left="620"/>
              <w:spacing w:after="0"/>
              <w:rPr>
                <w:sz w:val="20"/>
                <w:szCs w:val="20"/>
                <w:color w:val="auto"/>
              </w:rPr>
            </w:pPr>
            <w:r>
              <w:rPr>
                <w:rFonts w:ascii="Arial" w:cs="Arial" w:eastAsia="Arial" w:hAnsi="Arial"/>
                <w:sz w:val="14"/>
                <w:szCs w:val="14"/>
                <w:color w:val="auto"/>
              </w:rPr>
              <w:t>a partnership, please sign in partnership name by authorized person.</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900"/>
        <w:spacing w:after="0"/>
        <w:tabs>
          <w:tab w:leader="none" w:pos="11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CARD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311 ENTERPRISE DRIVE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PLAINSBORO, NEW JERSEY 08536</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 Annual Meeting of Stockholders - Thursday, May 17, 2012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ONBE HALF OF THE 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22"/>
          <w:szCs w:val="22"/>
          <w:color w:val="auto"/>
        </w:rPr>
        <w:t>The undersigned hereby appoints Peter J. Arduini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30, 2012 at the Annual Meeting of Stockholders to be held on Thursday, May 17, 2012 or at any adjournment or post-ponement thereof.</w:t>
      </w:r>
    </w:p>
    <w:p>
      <w:pPr>
        <w:spacing w:after="0" w:line="56" w:lineRule="exact"/>
        <w:rPr>
          <w:sz w:val="20"/>
          <w:szCs w:val="20"/>
          <w:color w:val="auto"/>
        </w:rPr>
      </w:pPr>
    </w:p>
    <w:p>
      <w:pPr>
        <w:jc w:val="both"/>
        <w:ind w:firstLine="456"/>
        <w:spacing w:after="0" w:line="24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AND 3; FOR ALL NOMINEES LISTED FOR ELECTION OF DIRECTORS UNDER PROPOSAL 1; AND IN ACCORDANCE WITH THE PROXIES’ JUDGMENT UPON OTHER MATTERS PROPERLY COMING BEFORE THE MEETING AND ANY ADJOURNMENT OR POSTPONEMENT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360" w:type="dxa"/>
            <w:vAlign w:val="bottom"/>
          </w:tcPr>
          <w:p>
            <w:pPr>
              <w:jc w:val="right"/>
              <w:ind w:right="5118"/>
              <w:spacing w:after="0"/>
              <w:rPr>
                <w:sz w:val="20"/>
                <w:szCs w:val="20"/>
                <w:color w:val="auto"/>
              </w:rPr>
            </w:pPr>
            <w:r>
              <w:rPr>
                <w:rFonts w:ascii="Arial" w:cs="Arial" w:eastAsia="Arial" w:hAnsi="Arial"/>
                <w:sz w:val="24"/>
                <w:szCs w:val="24"/>
                <w:b w:val="1"/>
                <w:bCs w:val="1"/>
                <w:color w:val="auto"/>
                <w:w w:val="74"/>
              </w:rPr>
              <w:t>¢</w:t>
            </w:r>
          </w:p>
        </w:tc>
        <w:tc>
          <w:tcPr>
            <w:tcW w:w="6060" w:type="dxa"/>
            <w:vAlign w:val="bottom"/>
          </w:tcPr>
          <w:p>
            <w:pPr>
              <w:jc w:val="right"/>
              <w:spacing w:after="0"/>
              <w:rPr>
                <w:sz w:val="20"/>
                <w:szCs w:val="20"/>
                <w:color w:val="auto"/>
              </w:rPr>
            </w:pPr>
            <w:r>
              <w:rPr>
                <w:rFonts w:ascii="Arial" w:cs="Arial" w:eastAsia="Arial" w:hAnsi="Arial"/>
                <w:sz w:val="22"/>
                <w:szCs w:val="22"/>
                <w:color w:val="auto"/>
              </w:rPr>
              <w:t xml:space="preserve">14475 </w:t>
            </w:r>
            <w:r>
              <w:rPr>
                <w:rFonts w:ascii="Arial" w:cs="Arial" w:eastAsia="Arial" w:hAnsi="Arial"/>
                <w:sz w:val="24"/>
                <w:szCs w:val="24"/>
                <w:color w:val="auto"/>
              </w:rPr>
              <w:t>¢</w:t>
            </w: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1)"/>
      <w:numFmt w:val="lowerRoman"/>
      <w:start w:val="1"/>
    </w:lvl>
  </w:abstractNum>
  <w:abstractNum w:abstractNumId="4">
    <w:nsid w:val="75A2A8D4"/>
    <w:multiLevelType w:val="hybridMultilevel"/>
    <w:lvl w:ilvl="0">
      <w:lvlJc w:val="left"/>
      <w:lvlText w:val="Ÿ"/>
      <w:numFmt w:val="bullet"/>
      <w:start w:val="1"/>
    </w:lvl>
  </w:abstractNum>
  <w:abstractNum w:abstractNumId="5">
    <w:nsid w:val="8EDBDAB"/>
    <w:multiLevelType w:val="hybridMultilevel"/>
    <w:lvl w:ilvl="0">
      <w:lvlJc w:val="left"/>
      <w:lvlText w:val="Ÿ"/>
      <w:numFmt w:val="bullet"/>
      <w:start w:val="1"/>
    </w:lvl>
  </w:abstractNum>
  <w:abstractNum w:abstractNumId="6">
    <w:nsid w:val="79838CB2"/>
    <w:multiLevelType w:val="hybridMultilevel"/>
    <w:lvl w:ilvl="0">
      <w:lvlJc w:val="left"/>
      <w:lvlText w:val="Ÿ"/>
      <w:numFmt w:val="bullet"/>
      <w:start w:val="1"/>
    </w:lvl>
  </w:abstractNum>
  <w:abstractNum w:abstractNumId="7">
    <w:nsid w:val="4353D0CD"/>
    <w:multiLevelType w:val="hybridMultilevel"/>
    <w:lvl w:ilvl="0">
      <w:lvlJc w:val="left"/>
      <w:lvlText w:val="Ÿ"/>
      <w:numFmt w:val="bullet"/>
      <w:start w:val="1"/>
    </w:lvl>
  </w:abstractNum>
  <w:abstractNum w:abstractNumId="8">
    <w:nsid w:val="B03E0C6"/>
    <w:multiLevelType w:val="hybridMultilevel"/>
    <w:lvl w:ilvl="0">
      <w:lvlJc w:val="left"/>
      <w:lvlText w:val="Ÿ"/>
      <w:numFmt w:val="bullet"/>
      <w:start w:val="1"/>
    </w:lvl>
  </w:abstractNum>
  <w:abstractNum w:abstractNumId="9">
    <w:nsid w:val="189A769B"/>
    <w:multiLevelType w:val="hybridMultilevel"/>
    <w:lvl w:ilvl="0">
      <w:lvlJc w:val="left"/>
      <w:lvlText w:val="Ÿ"/>
      <w:numFmt w:val="bullet"/>
      <w:start w:val="1"/>
    </w:lvl>
  </w:abstractNum>
  <w:abstractNum w:abstractNumId="10">
    <w:nsid w:val="54E49EB4"/>
    <w:multiLevelType w:val="hybridMultilevel"/>
    <w:lvl w:ilvl="0">
      <w:lvlJc w:val="left"/>
      <w:lvlText w:val="Ÿ"/>
      <w:numFmt w:val="bullet"/>
      <w:start w:val="1"/>
    </w:lvl>
  </w:abstractNum>
  <w:abstractNum w:abstractNumId="11">
    <w:nsid w:val="71F32454"/>
    <w:multiLevelType w:val="hybridMultilevel"/>
    <w:lvl w:ilvl="0">
      <w:lvlJc w:val="left"/>
      <w:lvlText w:val="Ÿ"/>
      <w:numFmt w:val="bullet"/>
      <w:start w:val="1"/>
    </w:lvl>
  </w:abstractNum>
  <w:abstractNum w:abstractNumId="12">
    <w:nsid w:val="2CA88611"/>
    <w:multiLevelType w:val="hybridMultilevel"/>
    <w:lvl w:ilvl="0">
      <w:lvlJc w:val="left"/>
      <w:lvlText w:val="Ÿ"/>
      <w:numFmt w:val="bullet"/>
      <w:start w:val="1"/>
    </w:lvl>
  </w:abstractNum>
  <w:abstractNum w:abstractNumId="13">
    <w:nsid w:val="836C40E"/>
    <w:multiLevelType w:val="hybridMultilevel"/>
    <w:lvl w:ilvl="0">
      <w:lvlJc w:val="left"/>
      <w:lvlText w:val="Ÿ"/>
      <w:numFmt w:val="bullet"/>
      <w:start w:val="1"/>
    </w:lvl>
  </w:abstractNum>
  <w:abstractNum w:abstractNumId="14">
    <w:nsid w:val="2901D82"/>
    <w:multiLevelType w:val="hybridMultilevel"/>
    <w:lvl w:ilvl="0">
      <w:lvlJc w:val="left"/>
      <w:lvlText w:val="(%1)"/>
      <w:numFmt w:val="lowerRoman"/>
      <w:start w:val="4"/>
    </w:lvl>
  </w:abstractNum>
  <w:abstractNum w:abstractNumId="15">
    <w:nsid w:val="3A95F874"/>
    <w:multiLevelType w:val="hybridMultilevel"/>
    <w:lvl w:ilvl="0">
      <w:lvlJc w:val="left"/>
      <w:lvlText w:val="Ÿ"/>
      <w:numFmt w:val="bullet"/>
      <w:start w:val="1"/>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1)"/>
      <w:numFmt w:val="lowerRoman"/>
      <w:start w:val="9"/>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9"/>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7"/>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lvl w:ilvl="1">
      <w:lvlJc w:val="left"/>
      <w:lvlText w:val="(%2)"/>
      <w:numFmt w:val="lowerRoman"/>
      <w:start w:val="6"/>
    </w:lvl>
  </w:abstractNum>
  <w:abstractNum w:abstractNumId="28">
    <w:nsid w:val="5072367"/>
    <w:multiLevelType w:val="hybridMultilevel"/>
    <w:lvl w:ilvl="0">
      <w:lvlJc w:val="left"/>
      <w:lvlText w:val="%1"/>
      <w:numFmt w:val="decimal"/>
      <w:start w:val="1"/>
    </w:lvl>
    <w:lvl w:ilvl="1">
      <w:lvlJc w:val="left"/>
      <w:lvlText w:val="(%2)"/>
      <w:numFmt w:val="lowerRoman"/>
      <w:start w:val="4"/>
    </w:lvl>
  </w:abstractNum>
  <w:abstractNum w:abstractNumId="29">
    <w:nsid w:val="3804823E"/>
    <w:multiLevelType w:val="hybridMultilevel"/>
    <w:lvl w:ilvl="0">
      <w:lvlJc w:val="left"/>
      <w:lvlText w:val="(%1)"/>
      <w:numFmt w:val="decimal"/>
      <w:start w:val="3"/>
    </w:lvl>
  </w:abstractNum>
  <w:abstractNum w:abstractNumId="30">
    <w:nsid w:val="77465F01"/>
    <w:multiLevelType w:val="hybridMultilevel"/>
    <w:lvl w:ilvl="0">
      <w:lvlJc w:val="left"/>
      <w:lvlText w:val="(%1)"/>
      <w:numFmt w:val="lowerRoman"/>
      <w:start w:val="5"/>
    </w:lvl>
  </w:abstractNum>
  <w:abstractNum w:abstractNumId="31">
    <w:nsid w:val="7724C67E"/>
    <w:multiLevelType w:val="hybridMultilevel"/>
    <w:lvl w:ilvl="0">
      <w:lvlJc w:val="left"/>
      <w:lvlText w:val="(%1)"/>
      <w:numFmt w:val="lowerRoman"/>
      <w:start w:val="2"/>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2"/>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2"/>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3"/>
    </w:lvl>
  </w:abstractNum>
  <w:abstractNum w:abstractNumId="42">
    <w:nsid w:val="2A487CB0"/>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2019-12-09T11:14:53Z</dcterms:created>
  <dcterms:modified xsi:type="dcterms:W3CDTF">2019-12-09T11:14:53Z</dcterms:modified>
</cp:coreProperties>
</file>