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12 months</w:t>
            </w:r>
          </w:p>
        </w:tc>
        <w:tc>
          <w:tcPr>
            <w:tcW w:w="280" w:type="dxa"/>
            <w:vAlign w:val="bottom"/>
          </w:tcPr>
          <w:p>
            <w:pPr>
              <w:jc w:val="center"/>
              <w:spacing w:after="0"/>
              <w:rPr>
                <w:sz w:val="20"/>
                <w:szCs w:val="20"/>
                <w:color w:val="auto"/>
              </w:rPr>
            </w:pPr>
            <w:r>
              <w:rPr>
                <w:rFonts w:ascii="Arial" w:cs="Arial" w:eastAsia="Arial" w:hAnsi="Arial"/>
                <w:sz w:val="16"/>
                <w:szCs w:val="16"/>
                <w:color w:val="auto"/>
                <w:w w:val="91"/>
              </w:rPr>
              <w:t>(or</w:t>
            </w:r>
          </w:p>
        </w:tc>
        <w:tc>
          <w:tcPr>
            <w:tcW w:w="4560" w:type="dxa"/>
            <w:vAlign w:val="bottom"/>
          </w:tcPr>
          <w:p>
            <w:pPr>
              <w:ind w:left="40"/>
              <w:spacing w:after="0"/>
              <w:rPr>
                <w:sz w:val="20"/>
                <w:szCs w:val="20"/>
                <w:color w:val="auto"/>
              </w:rPr>
            </w:pPr>
            <w:r>
              <w:rPr>
                <w:rFonts w:ascii="Arial" w:cs="Arial" w:eastAsia="Arial" w:hAnsi="Arial"/>
                <w:sz w:val="16"/>
                <w:szCs w:val="16"/>
                <w:color w:val="auto"/>
              </w:rPr>
              <w:t>for such shorter period that the registrant was required to file</w:t>
            </w:r>
          </w:p>
        </w:tc>
        <w:tc>
          <w:tcPr>
            <w:tcW w:w="1680" w:type="dxa"/>
            <w:vAlign w:val="bottom"/>
          </w:tcPr>
          <w:p>
            <w:pPr>
              <w:ind w:left="40"/>
              <w:spacing w:after="0"/>
              <w:rPr>
                <w:sz w:val="20"/>
                <w:szCs w:val="20"/>
                <w:color w:val="auto"/>
              </w:rPr>
            </w:pPr>
            <w:r>
              <w:rPr>
                <w:rFonts w:ascii="Arial" w:cs="Arial" w:eastAsia="Arial" w:hAnsi="Arial"/>
                <w:sz w:val="16"/>
                <w:szCs w:val="16"/>
                <w:color w:val="auto"/>
              </w:rPr>
              <w:t>such reports), and (2)</w:t>
            </w:r>
          </w:p>
        </w:tc>
        <w:tc>
          <w:tcPr>
            <w:tcW w:w="660" w:type="dxa"/>
            <w:vAlign w:val="bottom"/>
          </w:tcPr>
          <w:p>
            <w:pPr>
              <w:spacing w:after="0"/>
              <w:rPr>
                <w:sz w:val="20"/>
                <w:szCs w:val="20"/>
                <w:color w:val="auto"/>
              </w:rPr>
            </w:pPr>
            <w:r>
              <w:rPr>
                <w:rFonts w:ascii="Arial" w:cs="Arial" w:eastAsia="Arial" w:hAnsi="Arial"/>
                <w:sz w:val="16"/>
                <w:szCs w:val="16"/>
                <w:color w:val="auto"/>
                <w:w w:val="97"/>
              </w:rPr>
              <w:t>has been</w:t>
            </w:r>
          </w:p>
        </w:tc>
        <w:tc>
          <w:tcPr>
            <w:tcW w:w="740" w:type="dxa"/>
            <w:vAlign w:val="bottom"/>
          </w:tcPr>
          <w:p>
            <w:pPr>
              <w:ind w:left="60"/>
              <w:spacing w:after="0"/>
              <w:rPr>
                <w:sz w:val="20"/>
                <w:szCs w:val="20"/>
                <w:color w:val="auto"/>
              </w:rPr>
            </w:pPr>
            <w:r>
              <w:rPr>
                <w:rFonts w:ascii="Arial" w:cs="Arial" w:eastAsia="Arial" w:hAnsi="Arial"/>
                <w:sz w:val="16"/>
                <w:szCs w:val="16"/>
                <w:color w:val="auto"/>
                <w:w w:val="96"/>
              </w:rPr>
              <w:t>subject to</w:t>
            </w:r>
          </w:p>
        </w:tc>
        <w:tc>
          <w:tcPr>
            <w:tcW w:w="900" w:type="dxa"/>
            <w:vAlign w:val="bottom"/>
          </w:tcPr>
          <w:p>
            <w:pPr>
              <w:jc w:val="center"/>
              <w:spacing w:after="0"/>
              <w:rPr>
                <w:sz w:val="20"/>
                <w:szCs w:val="20"/>
                <w:color w:val="auto"/>
              </w:rPr>
            </w:pPr>
            <w:r>
              <w:rPr>
                <w:rFonts w:ascii="Arial" w:cs="Arial" w:eastAsia="Arial" w:hAnsi="Arial"/>
                <w:sz w:val="16"/>
                <w:szCs w:val="16"/>
                <w:color w:val="auto"/>
              </w:rPr>
              <w:t>such filing</w:t>
            </w:r>
          </w:p>
        </w:tc>
        <w:tc>
          <w:tcPr>
            <w:tcW w:w="920" w:type="dxa"/>
            <w:vAlign w:val="bottom"/>
          </w:tcPr>
          <w:p>
            <w:pPr>
              <w:ind w:left="20"/>
              <w:spacing w:after="0"/>
              <w:rPr>
                <w:sz w:val="20"/>
                <w:szCs w:val="20"/>
                <w:color w:val="auto"/>
              </w:rPr>
            </w:pPr>
            <w:r>
              <w:rPr>
                <w:rFonts w:ascii="Arial" w:cs="Arial" w:eastAsia="Arial" w:hAnsi="Arial"/>
                <w:sz w:val="16"/>
                <w:szCs w:val="16"/>
                <w:color w:val="auto"/>
                <w:w w:val="94"/>
              </w:rPr>
              <w:t>requirements</w:t>
            </w:r>
          </w:p>
        </w:tc>
        <w:tc>
          <w:tcPr>
            <w:tcW w:w="540" w:type="dxa"/>
            <w:vAlign w:val="bottom"/>
          </w:tcPr>
          <w:p>
            <w:pPr>
              <w:ind w:left="40"/>
              <w:spacing w:after="0"/>
              <w:rPr>
                <w:sz w:val="20"/>
                <w:szCs w:val="20"/>
                <w:color w:val="auto"/>
              </w:rPr>
            </w:pPr>
            <w:r>
              <w:rPr>
                <w:rFonts w:ascii="Arial" w:cs="Arial" w:eastAsia="Arial" w:hAnsi="Arial"/>
                <w:sz w:val="16"/>
                <w:szCs w:val="16"/>
                <w:color w:val="auto"/>
              </w:rPr>
              <w:t>for the</w:t>
            </w:r>
          </w:p>
        </w:tc>
        <w:tc>
          <w:tcPr>
            <w:tcW w:w="340" w:type="dxa"/>
            <w:vAlign w:val="bottom"/>
          </w:tcPr>
          <w:p>
            <w:pPr>
              <w:jc w:val="right"/>
              <w:spacing w:after="0"/>
              <w:rPr>
                <w:sz w:val="20"/>
                <w:szCs w:val="20"/>
                <w:color w:val="auto"/>
              </w:rPr>
            </w:pPr>
            <w:r>
              <w:rPr>
                <w:rFonts w:ascii="Arial" w:cs="Arial" w:eastAsia="Arial" w:hAnsi="Arial"/>
                <w:sz w:val="16"/>
                <w:szCs w:val="16"/>
                <w:color w:val="auto"/>
              </w:rPr>
              <w:t>past</w:t>
            </w:r>
          </w:p>
        </w:tc>
      </w:tr>
      <w:tr>
        <w:trPr>
          <w:trHeight w:val="206"/>
        </w:trPr>
        <w:tc>
          <w:tcPr>
            <w:tcW w:w="5640" w:type="dxa"/>
            <w:vAlign w:val="bottom"/>
            <w:gridSpan w:val="3"/>
          </w:tcPr>
          <w:p>
            <w:pPr>
              <w:spacing w:after="0"/>
              <w:rPr>
                <w:sz w:val="20"/>
                <w:szCs w:val="20"/>
                <w:color w:val="auto"/>
              </w:rPr>
            </w:pPr>
            <w:r>
              <w:rPr>
                <w:rFonts w:ascii="Arial" w:cs="Arial" w:eastAsia="Arial" w:hAnsi="Arial"/>
                <w:sz w:val="16"/>
                <w:szCs w:val="16"/>
                <w:color w:val="auto"/>
              </w:rPr>
              <w:t>90 days.  Yes x  No o</w:t>
            </w:r>
          </w:p>
        </w:tc>
        <w:tc>
          <w:tcPr>
            <w:tcW w:w="1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34"/>
        </w:trPr>
        <w:tc>
          <w:tcPr>
            <w:tcW w:w="10540" w:type="dxa"/>
            <w:vAlign w:val="bottom"/>
            <w:gridSpan w:val="8"/>
          </w:tcPr>
          <w:p>
            <w:pPr>
              <w:spacing w:after="0"/>
              <w:rPr>
                <w:sz w:val="20"/>
                <w:szCs w:val="20"/>
                <w:color w:val="auto"/>
              </w:rPr>
            </w:pPr>
            <w:r>
              <w:rPr>
                <w:rFonts w:ascii="Arial" w:cs="Arial" w:eastAsia="Arial" w:hAnsi="Arial"/>
                <w:sz w:val="16"/>
                <w:szCs w:val="16"/>
                <w:color w:val="auto"/>
                <w:w w:val="99"/>
              </w:rPr>
              <w:t>Indicate by check mark whether the registrant has submitted electronically every Interactive Data File required to be submitted and posted pursuant to</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Rule 405 of</w:t>
            </w:r>
          </w:p>
        </w:tc>
      </w:tr>
      <w:tr>
        <w:trPr>
          <w:trHeight w:val="189"/>
        </w:trPr>
        <w:tc>
          <w:tcPr>
            <w:tcW w:w="800" w:type="dxa"/>
            <w:vAlign w:val="bottom"/>
          </w:tcPr>
          <w:p>
            <w:pPr>
              <w:spacing w:after="0"/>
              <w:rPr>
                <w:sz w:val="20"/>
                <w:szCs w:val="20"/>
                <w:color w:val="auto"/>
              </w:rPr>
            </w:pPr>
            <w:r>
              <w:rPr>
                <w:rFonts w:ascii="Arial" w:cs="Arial" w:eastAsia="Arial" w:hAnsi="Arial"/>
                <w:sz w:val="16"/>
                <w:szCs w:val="16"/>
                <w:color w:val="auto"/>
              </w:rPr>
              <w:t>Regulation</w:t>
            </w:r>
          </w:p>
        </w:tc>
        <w:tc>
          <w:tcPr>
            <w:tcW w:w="280" w:type="dxa"/>
            <w:vAlign w:val="bottom"/>
          </w:tcPr>
          <w:p>
            <w:pPr>
              <w:jc w:val="center"/>
              <w:spacing w:after="0"/>
              <w:rPr>
                <w:sz w:val="20"/>
                <w:szCs w:val="20"/>
                <w:color w:val="auto"/>
              </w:rPr>
            </w:pPr>
            <w:r>
              <w:rPr>
                <w:rFonts w:ascii="Arial" w:cs="Arial" w:eastAsia="Arial" w:hAnsi="Arial"/>
                <w:sz w:val="16"/>
                <w:szCs w:val="16"/>
                <w:color w:val="auto"/>
              </w:rPr>
              <w:t>S-T</w:t>
            </w:r>
          </w:p>
        </w:tc>
        <w:tc>
          <w:tcPr>
            <w:tcW w:w="4560" w:type="dxa"/>
            <w:vAlign w:val="bottom"/>
          </w:tcPr>
          <w:p>
            <w:pPr>
              <w:ind w:left="60"/>
              <w:spacing w:after="0"/>
              <w:rPr>
                <w:sz w:val="20"/>
                <w:szCs w:val="20"/>
                <w:color w:val="auto"/>
              </w:rPr>
            </w:pPr>
            <w:r>
              <w:rPr>
                <w:rFonts w:ascii="Arial" w:cs="Arial" w:eastAsia="Arial" w:hAnsi="Arial"/>
                <w:sz w:val="16"/>
                <w:szCs w:val="16"/>
                <w:color w:val="auto"/>
              </w:rPr>
              <w:t>(§232.405 of this chapter) during the preceding 12 months (or</w:t>
            </w:r>
          </w:p>
        </w:tc>
        <w:tc>
          <w:tcPr>
            <w:tcW w:w="1680" w:type="dxa"/>
            <w:vAlign w:val="bottom"/>
          </w:tcPr>
          <w:p>
            <w:pPr>
              <w:ind w:left="40"/>
              <w:spacing w:after="0"/>
              <w:rPr>
                <w:sz w:val="20"/>
                <w:szCs w:val="20"/>
                <w:color w:val="auto"/>
              </w:rPr>
            </w:pPr>
            <w:r>
              <w:rPr>
                <w:rFonts w:ascii="Arial" w:cs="Arial" w:eastAsia="Arial" w:hAnsi="Arial"/>
                <w:sz w:val="16"/>
                <w:szCs w:val="16"/>
                <w:color w:val="auto"/>
              </w:rPr>
              <w:t>for such shorter period</w:t>
            </w:r>
          </w:p>
        </w:tc>
        <w:tc>
          <w:tcPr>
            <w:tcW w:w="660" w:type="dxa"/>
            <w:vAlign w:val="bottom"/>
          </w:tcPr>
          <w:p>
            <w:pPr>
              <w:ind w:left="80"/>
              <w:spacing w:after="0"/>
              <w:rPr>
                <w:sz w:val="20"/>
                <w:szCs w:val="20"/>
                <w:color w:val="auto"/>
              </w:rPr>
            </w:pPr>
            <w:r>
              <w:rPr>
                <w:rFonts w:ascii="Arial" w:cs="Arial" w:eastAsia="Arial" w:hAnsi="Arial"/>
                <w:sz w:val="16"/>
                <w:szCs w:val="16"/>
                <w:color w:val="auto"/>
              </w:rPr>
              <w:t>that the</w:t>
            </w:r>
          </w:p>
        </w:tc>
        <w:tc>
          <w:tcPr>
            <w:tcW w:w="740" w:type="dxa"/>
            <w:vAlign w:val="bottom"/>
          </w:tcPr>
          <w:p>
            <w:pPr>
              <w:ind w:left="40"/>
              <w:spacing w:after="0"/>
              <w:rPr>
                <w:sz w:val="20"/>
                <w:szCs w:val="20"/>
                <w:color w:val="auto"/>
              </w:rPr>
            </w:pPr>
            <w:r>
              <w:rPr>
                <w:rFonts w:ascii="Arial" w:cs="Arial" w:eastAsia="Arial" w:hAnsi="Arial"/>
                <w:sz w:val="16"/>
                <w:szCs w:val="16"/>
                <w:color w:val="auto"/>
              </w:rPr>
              <w:t>registrant</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was required</w:t>
            </w:r>
          </w:p>
        </w:tc>
        <w:tc>
          <w:tcPr>
            <w:tcW w:w="1460" w:type="dxa"/>
            <w:vAlign w:val="bottom"/>
            <w:gridSpan w:val="2"/>
          </w:tcPr>
          <w:p>
            <w:pPr>
              <w:ind w:left="80"/>
              <w:spacing w:after="0"/>
              <w:rPr>
                <w:sz w:val="20"/>
                <w:szCs w:val="20"/>
                <w:color w:val="auto"/>
              </w:rPr>
            </w:pPr>
            <w:r>
              <w:rPr>
                <w:rFonts w:ascii="Arial" w:cs="Arial" w:eastAsia="Arial" w:hAnsi="Arial"/>
                <w:sz w:val="16"/>
                <w:szCs w:val="16"/>
                <w:color w:val="auto"/>
              </w:rPr>
              <w:t>to submit and post</w:t>
            </w:r>
          </w:p>
        </w:tc>
        <w:tc>
          <w:tcPr>
            <w:tcW w:w="340" w:type="dxa"/>
            <w:vAlign w:val="bottom"/>
          </w:tcPr>
          <w:p>
            <w:pPr>
              <w:jc w:val="right"/>
              <w:spacing w:after="0"/>
              <w:rPr>
                <w:sz w:val="20"/>
                <w:szCs w:val="20"/>
                <w:color w:val="auto"/>
              </w:rPr>
            </w:pPr>
            <w:r>
              <w:rPr>
                <w:rFonts w:ascii="Arial" w:cs="Arial" w:eastAsia="Arial" w:hAnsi="Arial"/>
                <w:sz w:val="16"/>
                <w:szCs w:val="16"/>
                <w:color w:val="auto"/>
                <w:w w:val="94"/>
              </w:rPr>
              <w:t>such</w:t>
            </w:r>
          </w:p>
        </w:tc>
      </w:tr>
      <w:tr>
        <w:trPr>
          <w:trHeight w:val="206"/>
        </w:trPr>
        <w:tc>
          <w:tcPr>
            <w:tcW w:w="800" w:type="dxa"/>
            <w:vAlign w:val="bottom"/>
          </w:tcPr>
          <w:p>
            <w:pPr>
              <w:spacing w:after="0"/>
              <w:rPr>
                <w:sz w:val="20"/>
                <w:szCs w:val="20"/>
                <w:color w:val="auto"/>
              </w:rPr>
            </w:pPr>
            <w:r>
              <w:rPr>
                <w:rFonts w:ascii="Arial" w:cs="Arial" w:eastAsia="Arial" w:hAnsi="Arial"/>
                <w:sz w:val="16"/>
                <w:szCs w:val="16"/>
                <w:color w:val="auto"/>
              </w:rPr>
              <w:t>files).  Yes</w:t>
            </w:r>
          </w:p>
        </w:tc>
        <w:tc>
          <w:tcPr>
            <w:tcW w:w="280" w:type="dxa"/>
            <w:vAlign w:val="bottom"/>
          </w:tcPr>
          <w:p>
            <w:pPr>
              <w:ind w:left="60"/>
              <w:spacing w:after="0"/>
              <w:rPr>
                <w:sz w:val="20"/>
                <w:szCs w:val="20"/>
                <w:color w:val="auto"/>
              </w:rPr>
            </w:pPr>
            <w:r>
              <w:rPr>
                <w:rFonts w:ascii="Arial" w:cs="Arial" w:eastAsia="Arial" w:hAnsi="Arial"/>
                <w:sz w:val="16"/>
                <w:szCs w:val="16"/>
                <w:color w:val="auto"/>
              </w:rPr>
              <w:t>x</w:t>
            </w:r>
          </w:p>
        </w:tc>
        <w:tc>
          <w:tcPr>
            <w:tcW w:w="4560" w:type="dxa"/>
            <w:vAlign w:val="bottom"/>
          </w:tcPr>
          <w:p>
            <w:pPr>
              <w:ind w:left="20"/>
              <w:spacing w:after="0"/>
              <w:rPr>
                <w:sz w:val="20"/>
                <w:szCs w:val="20"/>
                <w:color w:val="auto"/>
              </w:rPr>
            </w:pPr>
            <w:r>
              <w:rPr>
                <w:rFonts w:ascii="Arial" w:cs="Arial" w:eastAsia="Arial" w:hAnsi="Arial"/>
                <w:sz w:val="16"/>
                <w:szCs w:val="16"/>
                <w:color w:val="auto"/>
              </w:rPr>
              <w:t>No o</w:t>
            </w:r>
          </w:p>
        </w:tc>
        <w:tc>
          <w:tcPr>
            <w:tcW w:w="1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bl>
    <w:p>
      <w:pPr>
        <w:spacing w:after="0" w:line="145"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540"/>
              <w:spacing w:after="0"/>
              <w:rPr>
                <w:sz w:val="20"/>
                <w:szCs w:val="20"/>
                <w:color w:val="auto"/>
              </w:rPr>
            </w:pPr>
            <w:r>
              <w:rPr>
                <w:rFonts w:ascii="Arial" w:cs="Arial" w:eastAsia="Arial" w:hAnsi="Arial"/>
                <w:sz w:val="16"/>
                <w:szCs w:val="16"/>
                <w:color w:val="auto"/>
              </w:rPr>
              <w:t>x</w:t>
            </w:r>
          </w:p>
        </w:tc>
        <w:tc>
          <w:tcPr>
            <w:tcW w:w="4840" w:type="dxa"/>
            <w:vAlign w:val="bottom"/>
          </w:tcPr>
          <w:p>
            <w:pPr>
              <w:ind w:left="27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46"/>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540"/>
              <w:spacing w:after="0"/>
              <w:rPr>
                <w:sz w:val="20"/>
                <w:szCs w:val="20"/>
                <w:color w:val="auto"/>
              </w:rPr>
            </w:pPr>
            <w:r>
              <w:rPr>
                <w:rFonts w:ascii="Arial" w:cs="Arial" w:eastAsia="Arial" w:hAnsi="Arial"/>
                <w:sz w:val="16"/>
                <w:szCs w:val="16"/>
                <w:color w:val="auto"/>
              </w:rPr>
              <w:t>o</w:t>
            </w:r>
          </w:p>
        </w:tc>
        <w:tc>
          <w:tcPr>
            <w:tcW w:w="4840" w:type="dxa"/>
            <w:vAlign w:val="bottom"/>
          </w:tcPr>
          <w:p>
            <w:pPr>
              <w:ind w:left="27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459"/>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20" w:type="dxa"/>
            <w:vAlign w:val="bottom"/>
          </w:tcPr>
          <w:p>
            <w:pPr>
              <w:ind w:left="540"/>
              <w:spacing w:after="0"/>
              <w:rPr>
                <w:sz w:val="20"/>
                <w:szCs w:val="20"/>
                <w:color w:val="auto"/>
              </w:rPr>
            </w:pPr>
            <w:r>
              <w:rPr>
                <w:rFonts w:ascii="Arial" w:cs="Arial" w:eastAsia="Arial" w:hAnsi="Arial"/>
                <w:sz w:val="16"/>
                <w:szCs w:val="16"/>
                <w:color w:val="auto"/>
              </w:rPr>
              <w:t>o</w:t>
            </w:r>
          </w:p>
        </w:tc>
        <w:tc>
          <w:tcPr>
            <w:tcW w:w="48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12"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9" w:lineRule="exact"/>
        <w:rPr>
          <w:sz w:val="24"/>
          <w:szCs w:val="24"/>
          <w:color w:val="auto"/>
        </w:rPr>
      </w:pPr>
    </w:p>
    <w:p>
      <w:pPr>
        <w:spacing w:after="0" w:line="184" w:lineRule="exact"/>
        <w:tabs>
          <w:tab w:leader="none" w:pos="6820" w:val="left"/>
          <w:tab w:leader="none" w:pos="73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Yes o</w:t>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o No </w:t>
      </w:r>
      <w:r>
        <w:rPr>
          <w:rFonts w:ascii="MS PGothic" w:cs="MS PGothic" w:eastAsia="MS PGothic" w:hAnsi="MS PGothic"/>
          <w:sz w:val="16"/>
          <w:szCs w:val="16"/>
          <w:color w:val="auto"/>
        </w:rPr>
        <w:t>☒</w:t>
      </w:r>
    </w:p>
    <w:p>
      <w:pPr>
        <w:sectPr>
          <w:pgSz w:w="11900" w:h="16838" w:orient="portrait"/>
          <w:cols w:equalWidth="0" w:num="1">
            <w:col w:w="11420"/>
          </w:cols>
          <w:pgMar w:left="240" w:top="269"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$0.01 par value, outstanding as of October 30, 2018 was 85,179,535.</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5"/>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7"/>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7"/>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10"/>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7"/>
          </w:tcPr>
          <w:p>
            <w:pPr>
              <w:spacing w:after="0"/>
              <w:rPr>
                <w:sz w:val="20"/>
                <w:szCs w:val="20"/>
                <w:color w:val="auto"/>
              </w:rPr>
            </w:pPr>
            <w:r>
              <w:rPr>
                <w:rFonts w:ascii="Arial" w:cs="Arial" w:eastAsia="Arial" w:hAnsi="Arial"/>
                <w:sz w:val="16"/>
                <w:szCs w:val="16"/>
                <w:color w:val="0000FF"/>
                <w:w w:val="96"/>
              </w:rPr>
              <w:t>Condensed Consolidated Statements of Operations and Comprehensive Income for the three and nine months ended September 30, 2018 and 2017</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0000FF"/>
            </w:tcBorders>
            <w:gridSpan w:val="2"/>
          </w:tcPr>
          <w:p>
            <w:pPr>
              <w:spacing w:after="0" w:line="183" w:lineRule="exact"/>
              <w:rPr>
                <w:sz w:val="20"/>
                <w:szCs w:val="20"/>
                <w:color w:val="auto"/>
              </w:rPr>
            </w:pPr>
            <w:r>
              <w:rPr>
                <w:rFonts w:ascii="Arial" w:cs="Arial" w:eastAsia="Arial" w:hAnsi="Arial"/>
                <w:sz w:val="16"/>
                <w:szCs w:val="16"/>
                <w:color w:val="0000FF"/>
                <w:w w:val="90"/>
              </w:rPr>
              <w:t>(Unaudited)</w:t>
            </w:r>
          </w:p>
        </w:tc>
        <w:tc>
          <w:tcPr>
            <w:tcW w:w="8720" w:type="dxa"/>
            <w:vAlign w:val="bottom"/>
            <w:tcBorders>
              <w:top w:val="single" w:sz="8" w:color="0000FF"/>
            </w:tcBorders>
            <w:gridSpan w:val="14"/>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7"/>
          </w:tcPr>
          <w:p>
            <w:pPr>
              <w:spacing w:after="0"/>
              <w:rPr>
                <w:sz w:val="20"/>
                <w:szCs w:val="20"/>
                <w:color w:val="auto"/>
              </w:rPr>
            </w:pPr>
            <w:r>
              <w:rPr>
                <w:rFonts w:ascii="Arial" w:cs="Arial" w:eastAsia="Arial" w:hAnsi="Arial"/>
                <w:sz w:val="16"/>
                <w:szCs w:val="16"/>
                <w:color w:val="0000FF"/>
              </w:rPr>
              <w:t>Condensed Consolidated Balance Sheets as of September 30, 2018 and December 31, 2017 (Unaudited)</w:t>
            </w: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5"/>
          </w:tcPr>
          <w:p>
            <w:pPr>
              <w:spacing w:after="0"/>
              <w:rPr>
                <w:sz w:val="20"/>
                <w:szCs w:val="20"/>
                <w:color w:val="auto"/>
              </w:rPr>
            </w:pPr>
            <w:r>
              <w:rPr>
                <w:rFonts w:ascii="Arial" w:cs="Arial" w:eastAsia="Arial" w:hAnsi="Arial"/>
                <w:sz w:val="16"/>
                <w:szCs w:val="16"/>
                <w:color w:val="0000FF"/>
                <w:w w:val="90"/>
              </w:rPr>
              <w:t>Condensed Consolidated Statements of Cash Flows for the nine months ended September 30, 2018 and 2017 (Unaudited)</w:t>
            </w:r>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5"/>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Unaudited Condensed Consolidated Financial Statements</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3"/>
          </w:tcPr>
          <w:p>
            <w:pPr>
              <w:spacing w:after="0"/>
              <w:rPr>
                <w:rFonts w:ascii="Arial" w:cs="Arial" w:eastAsia="Arial" w:hAnsi="Arial"/>
                <w:sz w:val="16"/>
                <w:szCs w:val="16"/>
                <w:color w:val="0000FF"/>
                <w:w w:val="92"/>
              </w:rPr>
            </w:pPr>
            <w:hyperlink w:anchor="page33">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2"/>
          </w:tcPr>
          <w:p>
            <w:pPr>
              <w:spacing w:after="0"/>
              <w:rPr>
                <w:rFonts w:ascii="Arial" w:cs="Arial" w:eastAsia="Arial" w:hAnsi="Arial"/>
                <w:sz w:val="16"/>
                <w:szCs w:val="16"/>
                <w:color w:val="0000FF"/>
                <w:w w:val="92"/>
              </w:rPr>
            </w:pPr>
            <w:hyperlink w:anchor="page45">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2"/>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9"/>
          </w:tcPr>
          <w:p>
            <w:pPr>
              <w:spacing w:after="0"/>
              <w:rPr>
                <w:rFonts w:ascii="Arial" w:cs="Arial" w:eastAsia="Arial" w:hAnsi="Arial"/>
                <w:sz w:val="16"/>
                <w:szCs w:val="16"/>
                <w:color w:val="0000FF"/>
                <w:w w:val="96"/>
              </w:rPr>
            </w:pPr>
            <w:hyperlink w:anchor="page47">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6"/>
          </w:tcPr>
          <w:p>
            <w:pPr>
              <w:spacing w:after="0"/>
              <w:rPr>
                <w:rFonts w:ascii="Arial" w:cs="Arial" w:eastAsia="Arial" w:hAnsi="Arial"/>
                <w:sz w:val="16"/>
                <w:szCs w:val="16"/>
                <w:color w:val="0000FF"/>
                <w:w w:val="88"/>
              </w:rPr>
            </w:pPr>
            <w:hyperlink w:anchor="page47">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6"/>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7"/>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2"/>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6"/>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3"/>
          </w:tcPr>
          <w:p>
            <w:pPr>
              <w:spacing w:after="0"/>
              <w:rPr>
                <w:rFonts w:ascii="Arial" w:cs="Arial" w:eastAsia="Arial" w:hAnsi="Arial"/>
                <w:sz w:val="16"/>
                <w:szCs w:val="16"/>
                <w:color w:val="0000FF"/>
                <w:w w:val="85"/>
              </w:rPr>
            </w:pPr>
            <w:hyperlink w:anchor="page48">
              <w:r>
                <w:rPr>
                  <w:rFonts w:ascii="Arial" w:cs="Arial" w:eastAsia="Arial" w:hAnsi="Arial"/>
                  <w:sz w:val="16"/>
                  <w:szCs w:val="16"/>
                  <w:color w:val="0000FF"/>
                  <w:w w:val="85"/>
                </w:rPr>
                <w:t>Item 6. Exhibits</w:t>
              </w:r>
            </w:hyperlink>
          </w:p>
        </w:tc>
        <w:tc>
          <w:tcPr>
            <w:tcW w:w="700" w:type="dxa"/>
            <w:vAlign w:val="bottom"/>
            <w:gridSpan w:val="3"/>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3"/>
          </w:tcPr>
          <w:p>
            <w:pPr>
              <w:spacing w:after="0"/>
              <w:rPr>
                <w:rFonts w:ascii="Arial" w:cs="Arial" w:eastAsia="Arial" w:hAnsi="Arial"/>
                <w:sz w:val="16"/>
                <w:szCs w:val="16"/>
                <w:color w:val="0000FF"/>
                <w:w w:val="90"/>
              </w:rPr>
            </w:pPr>
            <w:hyperlink w:anchor="page50">
              <w:r>
                <w:rPr>
                  <w:rFonts w:ascii="Arial" w:cs="Arial" w:eastAsia="Arial" w:hAnsi="Arial"/>
                  <w:sz w:val="16"/>
                  <w:szCs w:val="16"/>
                  <w:color w:val="0000FF"/>
                  <w:w w:val="90"/>
                </w:rPr>
                <w:t>SIGNATURES</w:t>
              </w:r>
            </w:hyperlink>
          </w:p>
        </w:tc>
        <w:tc>
          <w:tcPr>
            <w:tcW w:w="9160" w:type="dxa"/>
            <w:vAlign w:val="bottom"/>
            <w:gridSpan w:val="1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800" w:type="dxa"/>
            <w:vAlign w:val="bottom"/>
            <w:gridSpan w:val="16"/>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Exhibit 31.1</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6"/>
          </w:tcPr>
          <w:p>
            <w:pPr>
              <w:spacing w:after="0"/>
              <w:rPr>
                <w:rFonts w:ascii="Arial" w:cs="Arial" w:eastAsia="Arial" w:hAnsi="Arial"/>
                <w:sz w:val="16"/>
                <w:szCs w:val="16"/>
                <w:color w:val="0000EE"/>
              </w:rPr>
            </w:pPr>
            <w:hyperlink w:anchor="page53">
              <w:r>
                <w:rPr>
                  <w:rFonts w:ascii="Arial" w:cs="Arial" w:eastAsia="Arial" w:hAnsi="Arial"/>
                  <w:sz w:val="16"/>
                  <w:szCs w:val="16"/>
                  <w:color w:val="0000EE"/>
                </w:rPr>
                <w:t>Exhibit 31.2</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6"/>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Exhibit 32.1</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80"/>
        <w:spacing w:after="0"/>
        <w:rPr>
          <w:rFonts w:ascii="Arial" w:cs="Arial" w:eastAsia="Arial" w:hAnsi="Arial"/>
          <w:sz w:val="16"/>
          <w:szCs w:val="16"/>
          <w:u w:val="single" w:color="auto"/>
          <w:color w:val="0000EE"/>
        </w:rPr>
      </w:pPr>
      <w:hyperlink w:anchor="page55">
        <w:r>
          <w:rPr>
            <w:rFonts w:ascii="Arial" w:cs="Arial" w:eastAsia="Arial" w:hAnsi="Arial"/>
            <w:sz w:val="16"/>
            <w:szCs w:val="16"/>
            <w:u w:val="single" w:color="auto"/>
            <w:color w:val="0000EE"/>
          </w:rPr>
          <w:t>Exhibit 32.2</w:t>
        </w:r>
      </w:hyperlink>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886"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2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365,854</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278,834</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1,089,126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819,634</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143,245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101,757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425,032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287,340</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20,309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15,034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57,742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46,275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173,355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513,518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433,457</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5,268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5,456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15,944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14,976</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342,177</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268,192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1,012,236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782,048</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23,677</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10,642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76,890</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37,586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(14,478)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(50,750)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(18,073)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(3,691)</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11,024</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3,235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32,887</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15,982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13,295</w:t>
            </w:r>
          </w:p>
        </w:tc>
        <w:tc>
          <w:tcPr>
            <w:tcW w:w="2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3,159</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35,663</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20,388</w:t>
            </w:r>
          </w:p>
        </w:tc>
      </w:tr>
      <w:tr>
        <w:trPr>
          <w:trHeight w:val="311"/>
        </w:trPr>
        <w:tc>
          <w:tcPr>
            <w:tcW w:w="5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0.26</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w w:val="98"/>
              </w:rPr>
              <w:t>Weighted average common shares outstanding (See Note 12):</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85,193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78,186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82,058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76,387</w:t>
            </w:r>
          </w:p>
        </w:tc>
      </w:tr>
      <w:tr>
        <w:trPr>
          <w:trHeight w:val="243"/>
        </w:trPr>
        <w:tc>
          <w:tcPr>
            <w:tcW w:w="5260" w:type="dxa"/>
            <w:vAlign w:val="bottom"/>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86,299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79,455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83,142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78,973</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(See Note 13)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12,330</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13,534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33,731</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53,759</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174,935</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$3,897 and $8,882</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248,738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251,799</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296,332</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82,408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99,080</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827,983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822,146</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287,000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269,251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1,159,627</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926,369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937,905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32,797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16,078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3,178,642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3,211,257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Short-term portion of borrowings under senior credit facility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11,250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93,967</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71,393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73,392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Short-term portion of 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22,793</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84,317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98,759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258,340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348,911</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1,421,001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1,781,142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65,130</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61,223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53,768</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1,813,561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2,248,951</w:t>
            </w:r>
          </w:p>
        </w:tc>
        <w:tc>
          <w:tcPr>
            <w:tcW w:w="0" w:type="dxa"/>
            <w:vAlign w:val="bottom"/>
          </w:tcPr>
          <w:p>
            <w:pPr>
              <w:spacing w:after="0"/>
              <w:rPr>
                <w:sz w:val="1"/>
                <w:szCs w:val="1"/>
                <w:color w:val="auto"/>
              </w:rPr>
            </w:pP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0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1"/>
              </w:rPr>
              <w:t>Common stock; $0.01 par value; 240,000 authorized shares; 88,016 and 81,306 issued at September 30, 2018 and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December 31, 2017,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1,187,963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821,758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0"/>
              </w:rPr>
              <w:t>Treasury stock, at cost; 2,883 shares and 2,912 shares at September 30, 2018 and December 31, 2017,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(121,644)</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(26,271)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(23,807)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323,236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285,186</w:t>
            </w:r>
          </w:p>
        </w:tc>
        <w:tc>
          <w:tcPr>
            <w:tcW w:w="0" w:type="dxa"/>
            <w:vAlign w:val="bottom"/>
          </w:tcPr>
          <w:p>
            <w:pPr>
              <w:spacing w:after="0"/>
              <w:rPr>
                <w:sz w:val="1"/>
                <w:szCs w:val="1"/>
                <w:color w:val="auto"/>
              </w:rPr>
            </w:pPr>
          </w:p>
        </w:tc>
      </w:tr>
      <w:tr>
        <w:trPr>
          <w:trHeight w:val="217"/>
        </w:trPr>
        <w:tc>
          <w:tcPr>
            <w:tcW w:w="786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1,365,081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962,306</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3,178,642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3,211,257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w w:val="99"/>
              </w:rPr>
              <w:t>Nine Months Ended September 30,</w:t>
            </w:r>
          </w:p>
        </w:tc>
      </w:tr>
      <w:tr>
        <w:trPr>
          <w:trHeight w:val="33"/>
        </w:trPr>
        <w:tc>
          <w:tcPr>
            <w:tcW w:w="7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2017</w:t>
            </w:r>
          </w:p>
        </w:tc>
      </w:tr>
      <w:tr>
        <w:trPr>
          <w:trHeight w:val="33"/>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20,388</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83,053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62,281</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3,290</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Realized loss on sale of short-term investment</w:t>
            </w:r>
          </w:p>
        </w:tc>
        <w:tc>
          <w:tcPr>
            <w:tcW w:w="3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2,287</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 and other</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business acquisitions:</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(14,691)</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(1,977)</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24,021</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1,405</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156,995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102,995</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(52,056)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(29,806)</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note receivable</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483</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Cash provided by (used in) business acquisitions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26,704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(225,552)</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(237,767)</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under senior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571,383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Repayments under senior credit facility</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the issuance of common stock, net of issuance costs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349,590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 for financing liabilities from business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exercised stock options</w:t>
            </w:r>
          </w:p>
        </w:tc>
        <w:tc>
          <w:tcPr>
            <w:tcW w:w="34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9,239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9,774</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taxes paid in net equity settlement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(6,763)</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504,733</w:t>
            </w:r>
          </w:p>
        </w:tc>
      </w:tr>
      <w:tr>
        <w:trPr>
          <w:trHeight w:val="27"/>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9,927</w:t>
            </w:r>
          </w:p>
        </w:tc>
      </w:tr>
      <w:tr>
        <w:trPr>
          <w:trHeight w:val="20"/>
        </w:trPr>
        <w:tc>
          <w:tcPr>
            <w:tcW w:w="7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125" w:right="25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jc w:val="both"/>
        <w:ind w:left="1100"/>
        <w:spacing w:after="0"/>
        <w:tabs>
          <w:tab w:leader="none" w:pos="2800" w:val="left"/>
        </w:tabs>
        <w:rPr>
          <w:sz w:val="20"/>
          <w:szCs w:val="20"/>
          <w:color w:val="auto"/>
        </w:rPr>
      </w:pPr>
      <w:r>
        <w:rPr>
          <w:rFonts w:ascii="Arial" w:cs="Arial" w:eastAsia="Arial" w:hAnsi="Arial"/>
          <w:sz w:val="18"/>
          <w:szCs w:val="18"/>
          <w:color w:val="auto"/>
        </w:rPr>
        <w:t>31,056</w:t>
      </w:r>
      <w:r>
        <w:rPr>
          <w:sz w:val="20"/>
          <w:szCs w:val="20"/>
          <w:color w:val="auto"/>
        </w:rPr>
        <w:tab/>
      </w:r>
      <w:r>
        <w:rPr>
          <w:rFonts w:ascii="Arial" w:cs="Arial" w:eastAsia="Arial" w:hAnsi="Arial"/>
          <w:sz w:val="18"/>
          <w:szCs w:val="18"/>
          <w:color w:val="auto"/>
        </w:rPr>
        <w:t>379,888</w:t>
      </w:r>
    </w:p>
    <w:p>
      <w:pPr>
        <w:spacing w:after="0" w:line="63" w:lineRule="exact"/>
        <w:rPr>
          <w:sz w:val="20"/>
          <w:szCs w:val="20"/>
          <w:color w:val="auto"/>
        </w:rPr>
      </w:pPr>
    </w:p>
    <w:p>
      <w:pPr>
        <w:jc w:val="both"/>
        <w:ind w:left="1000"/>
        <w:spacing w:after="0"/>
        <w:tabs>
          <w:tab w:leader="none" w:pos="2800" w:val="left"/>
        </w:tabs>
        <w:rPr>
          <w:sz w:val="20"/>
          <w:szCs w:val="20"/>
          <w:color w:val="auto"/>
        </w:rPr>
      </w:pPr>
      <w:r>
        <w:rPr>
          <w:rFonts w:ascii="Arial" w:cs="Arial" w:eastAsia="Arial" w:hAnsi="Arial"/>
          <w:sz w:val="18"/>
          <w:szCs w:val="18"/>
          <w:color w:val="auto"/>
        </w:rPr>
        <w:t>174,935</w:t>
      </w:r>
      <w:r>
        <w:rPr>
          <w:sz w:val="20"/>
          <w:szCs w:val="20"/>
          <w:color w:val="auto"/>
        </w:rPr>
        <w:tab/>
      </w:r>
      <w:r>
        <w:rPr>
          <w:rFonts w:ascii="Arial" w:cs="Arial" w:eastAsia="Arial" w:hAnsi="Arial"/>
          <w:sz w:val="18"/>
          <w:szCs w:val="18"/>
          <w:color w:val="auto"/>
        </w:rPr>
        <w:t>102,055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spacing w:after="0"/>
        <w:tabs>
          <w:tab w:leader="none" w:pos="980" w:val="left"/>
          <w:tab w:leader="none" w:pos="1820" w:val="left"/>
          <w:tab w:leader="none" w:pos="2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205,991</w:t>
        <w:tab/>
        <w:t>$</w:t>
      </w:r>
      <w:r>
        <w:rPr>
          <w:sz w:val="20"/>
          <w:szCs w:val="20"/>
          <w:color w:val="auto"/>
        </w:rPr>
        <w:tab/>
      </w:r>
      <w:r>
        <w:rPr>
          <w:rFonts w:ascii="Arial" w:cs="Arial" w:eastAsia="Arial" w:hAnsi="Arial"/>
          <w:sz w:val="16"/>
          <w:szCs w:val="16"/>
          <w:color w:val="auto"/>
        </w:rPr>
        <w:t>481,943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223837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00"/>
          </w:cols>
          <w:pgMar w:left="240" w:top="125" w:right="259" w:bottom="1440" w:gutter="0" w:footer="0" w:header="0"/>
          <w:type w:val="continuous"/>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unaudited notes are an integral part of these condensed consolidated financial statements.</w:t>
      </w:r>
    </w:p>
    <w:p>
      <w:pPr>
        <w:sectPr>
          <w:pgSz w:w="11900" w:h="16838" w:orient="portrait"/>
          <w:cols w:equalWidth="0" w:num="1">
            <w:col w:w="11400"/>
          </w:cols>
          <w:pgMar w:left="240" w:top="125" w:right="259" w:bottom="1440" w:gutter="0" w:footer="0" w:header="0"/>
          <w:type w:val="continuous"/>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7"/>
          </w:tcPr>
          <w:p>
            <w:pPr>
              <w:jc w:val="center"/>
              <w:spacing w:after="0"/>
              <w:rPr>
                <w:sz w:val="20"/>
                <w:szCs w:val="20"/>
                <w:color w:val="auto"/>
              </w:rPr>
            </w:pPr>
            <w:r>
              <w:rPr>
                <w:rFonts w:ascii="Arial" w:cs="Arial" w:eastAsia="Arial" w:hAnsi="Arial"/>
                <w:sz w:val="13"/>
                <w:szCs w:val="13"/>
                <w:b w:val="1"/>
                <w:bCs w:val="1"/>
                <w:color w:val="auto"/>
                <w:w w:val="88"/>
              </w:rPr>
              <w:t>Nine Months Ended September 30, 2018</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340" w:type="dxa"/>
            <w:vAlign w:val="bottom"/>
          </w:tcPr>
          <w:p>
            <w:pPr>
              <w:spacing w:after="0"/>
              <w:rPr>
                <w:sz w:val="4"/>
                <w:szCs w:val="4"/>
                <w:color w:val="auto"/>
              </w:rPr>
            </w:pPr>
          </w:p>
        </w:tc>
        <w:tc>
          <w:tcPr>
            <w:tcW w:w="1860" w:type="dxa"/>
            <w:vAlign w:val="bottom"/>
            <w:tcBorders>
              <w:bottom w:val="single" w:sz="8" w:color="auto"/>
            </w:tcBorders>
            <w:gridSpan w:val="5"/>
          </w:tcPr>
          <w:p>
            <w:pPr>
              <w:spacing w:after="0"/>
              <w:rPr>
                <w:sz w:val="4"/>
                <w:szCs w:val="4"/>
                <w:color w:val="auto"/>
              </w:rPr>
            </w:pPr>
          </w:p>
        </w:tc>
        <w:tc>
          <w:tcPr>
            <w:tcW w:w="180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860" w:type="dxa"/>
            <w:vAlign w:val="bottom"/>
            <w:gridSpan w:val="5"/>
          </w:tcPr>
          <w:p>
            <w:pPr>
              <w:jc w:val="center"/>
              <w:ind w:right="100"/>
              <w:spacing w:after="0" w:line="138" w:lineRule="exact"/>
              <w:rPr>
                <w:sz w:val="20"/>
                <w:szCs w:val="20"/>
                <w:color w:val="auto"/>
              </w:rPr>
            </w:pPr>
            <w:r>
              <w:rPr>
                <w:rFonts w:ascii="Arial" w:cs="Arial" w:eastAsia="Arial" w:hAnsi="Arial"/>
                <w:sz w:val="13"/>
                <w:szCs w:val="13"/>
                <w:b w:val="1"/>
                <w:bCs w:val="1"/>
                <w:color w:val="auto"/>
                <w:w w:val="88"/>
              </w:rPr>
              <w:t>Common Stock</w:t>
            </w:r>
          </w:p>
        </w:tc>
        <w:tc>
          <w:tcPr>
            <w:tcW w:w="1800" w:type="dxa"/>
            <w:vAlign w:val="bottom"/>
            <w:gridSpan w:val="4"/>
          </w:tcPr>
          <w:p>
            <w:pPr>
              <w:jc w:val="right"/>
              <w:ind w:right="369"/>
              <w:spacing w:after="0" w:line="138" w:lineRule="exact"/>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0"/>
              </w:rPr>
              <w:t>Additional Paid-</w:t>
            </w:r>
          </w:p>
        </w:tc>
        <w:tc>
          <w:tcPr>
            <w:tcW w:w="1360" w:type="dxa"/>
            <w:vAlign w:val="bottom"/>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w w:val="88"/>
              </w:rPr>
              <w:t>Accumulated Other</w:t>
            </w:r>
          </w:p>
        </w:tc>
        <w:tc>
          <w:tcPr>
            <w:tcW w:w="12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3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vMerge w:val="restart"/>
          </w:tcPr>
          <w:p>
            <w:pPr>
              <w:jc w:val="right"/>
              <w:ind w:right="48"/>
              <w:spacing w:after="0" w:line="135" w:lineRule="exact"/>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70"/>
        </w:trPr>
        <w:tc>
          <w:tcPr>
            <w:tcW w:w="3340" w:type="dxa"/>
            <w:vAlign w:val="bottom"/>
          </w:tcPr>
          <w:p>
            <w:pPr>
              <w:spacing w:after="0"/>
              <w:rPr>
                <w:sz w:val="6"/>
                <w:szCs w:val="6"/>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6"/>
                <w:szCs w:val="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6"/>
                <w:szCs w:val="6"/>
                <w:color w:val="auto"/>
              </w:rPr>
            </w:pPr>
          </w:p>
        </w:tc>
        <w:tc>
          <w:tcPr>
            <w:tcW w:w="72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2"/>
              </w:rPr>
              <w:t>In Capital</w:t>
            </w: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3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3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5"/>
          </w:tcPr>
          <w:p>
            <w:pPr>
              <w:jc w:val="center"/>
              <w:ind w:right="500"/>
              <w:spacing w:after="0"/>
              <w:rPr>
                <w:sz w:val="20"/>
                <w:szCs w:val="20"/>
                <w:color w:val="auto"/>
              </w:rPr>
            </w:pPr>
            <w:r>
              <w:rPr>
                <w:rFonts w:ascii="Arial" w:cs="Arial" w:eastAsia="Arial" w:hAnsi="Arial"/>
                <w:sz w:val="13"/>
                <w:szCs w:val="13"/>
                <w:b w:val="1"/>
                <w:bCs w:val="1"/>
                <w:color w:val="auto"/>
                <w:w w:val="87"/>
              </w:rPr>
              <w:t>(In thousands)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340" w:type="dxa"/>
            <w:vAlign w:val="bottom"/>
          </w:tcPr>
          <w:p>
            <w:pPr>
              <w:ind w:left="40"/>
              <w:spacing w:after="0"/>
              <w:rPr>
                <w:sz w:val="20"/>
                <w:szCs w:val="20"/>
                <w:color w:val="auto"/>
              </w:rPr>
            </w:pPr>
            <w:r>
              <w:rPr>
                <w:rFonts w:ascii="Arial" w:cs="Arial" w:eastAsia="Arial" w:hAnsi="Arial"/>
                <w:sz w:val="14"/>
                <w:szCs w:val="14"/>
                <w:color w:val="auto"/>
              </w:rPr>
              <w:t>Balance, January 1, 2018</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81,306</w:t>
            </w:r>
          </w:p>
        </w:tc>
        <w:tc>
          <w:tcPr>
            <w:tcW w:w="120" w:type="dxa"/>
            <w:vAlign w:val="bottom"/>
          </w:tcPr>
          <w:p>
            <w:pPr>
              <w:spacing w:after="0"/>
              <w:rPr>
                <w:sz w:val="23"/>
                <w:szCs w:val="23"/>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3"/>
                <w:szCs w:val="23"/>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(121,644)</w:t>
            </w:r>
          </w:p>
        </w:tc>
        <w:tc>
          <w:tcPr>
            <w:tcW w:w="340" w:type="dxa"/>
            <w:vAlign w:val="bottom"/>
            <w:gridSpan w:val="3"/>
          </w:tcPr>
          <w:p>
            <w:pPr>
              <w:jc w:val="right"/>
              <w:ind w:right="17"/>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821,758</w:t>
            </w:r>
          </w:p>
        </w:tc>
        <w:tc>
          <w:tcPr>
            <w:tcW w:w="100" w:type="dxa"/>
            <w:vAlign w:val="bottom"/>
          </w:tcPr>
          <w:p>
            <w:pPr>
              <w:spacing w:after="0"/>
              <w:rPr>
                <w:sz w:val="23"/>
                <w:szCs w:val="23"/>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(23,807)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285,186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962,306</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10,992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10,992</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Adoption of ASC 606</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22,144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21,612</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Issuance of common stock through employee stock</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01"/>
        </w:trPr>
        <w:tc>
          <w:tcPr>
            <w:tcW w:w="3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purchase plan</w:t>
            </w:r>
          </w:p>
        </w:tc>
        <w:tc>
          <w:tcPr>
            <w:tcW w:w="8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340" w:type="dxa"/>
            <w:vAlign w:val="bottom"/>
            <w:vMerge w:val="continue"/>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w w:val="99"/>
              </w:rPr>
              <w:t>Issuance of common stock for vesting of share based</w:t>
            </w: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820" w:type="dxa"/>
            <w:vAlign w:val="bottom"/>
            <w:vMerge w:val="restart"/>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(7,643)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(6,732)</w:t>
            </w:r>
          </w:p>
        </w:tc>
        <w:tc>
          <w:tcPr>
            <w:tcW w:w="0" w:type="dxa"/>
            <w:vAlign w:val="bottom"/>
          </w:tcPr>
          <w:p>
            <w:pPr>
              <w:spacing w:after="0"/>
              <w:rPr>
                <w:sz w:val="1"/>
                <w:szCs w:val="1"/>
                <w:color w:val="auto"/>
              </w:rPr>
            </w:pPr>
          </w:p>
        </w:tc>
      </w:tr>
      <w:tr>
        <w:trPr>
          <w:trHeight w:val="101"/>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3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4,745</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Balance, March 31, 2018</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81,711</w:t>
            </w:r>
          </w:p>
        </w:tc>
        <w:tc>
          <w:tcPr>
            <w:tcW w:w="1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8"/>
                <w:szCs w:val="18"/>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(2,890)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(120,734)</w:t>
            </w:r>
          </w:p>
        </w:tc>
        <w:tc>
          <w:tcPr>
            <w:tcW w:w="340" w:type="dxa"/>
            <w:vAlign w:val="bottom"/>
            <w:gridSpan w:val="3"/>
          </w:tcPr>
          <w:p>
            <w:pPr>
              <w:jc w:val="right"/>
              <w:ind w:right="17"/>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822,520</w:t>
            </w:r>
          </w:p>
        </w:tc>
        <w:tc>
          <w:tcPr>
            <w:tcW w:w="10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(1,663)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297,500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998,440</w:t>
            </w:r>
          </w:p>
        </w:tc>
        <w:tc>
          <w:tcPr>
            <w:tcW w:w="0" w:type="dxa"/>
            <w:vAlign w:val="bottom"/>
          </w:tcPr>
          <w:p>
            <w:pPr>
              <w:spacing w:after="0"/>
              <w:rPr>
                <w:sz w:val="1"/>
                <w:szCs w:val="1"/>
                <w:color w:val="auto"/>
              </w:rPr>
            </w:pPr>
          </w:p>
        </w:tc>
      </w:tr>
      <w:tr>
        <w:trPr>
          <w:trHeight w:val="53"/>
        </w:trPr>
        <w:tc>
          <w:tcPr>
            <w:tcW w:w="33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11,376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11,376</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(23,643)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(22,578)</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Issuance of common stock</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w w:val="99"/>
              </w:rPr>
              <w:t>Issuance of common stock for vesting of share based</w:t>
            </w: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01"/>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3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5,471</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Equity offering</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6,038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349,538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349,598</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2018</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87,772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877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(120,732)</w:t>
            </w:r>
          </w:p>
        </w:tc>
        <w:tc>
          <w:tcPr>
            <w:tcW w:w="34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1,177,125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309,941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1,341,905</w:t>
            </w:r>
          </w:p>
        </w:tc>
        <w:tc>
          <w:tcPr>
            <w:tcW w:w="0" w:type="dxa"/>
            <w:vAlign w:val="bottom"/>
          </w:tcPr>
          <w:p>
            <w:pPr>
              <w:spacing w:after="0"/>
              <w:rPr>
                <w:sz w:val="1"/>
                <w:szCs w:val="1"/>
                <w:color w:val="auto"/>
              </w:rPr>
            </w:pPr>
          </w:p>
        </w:tc>
      </w:tr>
      <w:tr>
        <w:trPr>
          <w:trHeight w:val="211"/>
        </w:trPr>
        <w:tc>
          <w:tcPr>
            <w:tcW w:w="33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13,295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13,295</w:t>
            </w:r>
          </w:p>
        </w:tc>
        <w:tc>
          <w:tcPr>
            <w:tcW w:w="0" w:type="dxa"/>
            <w:vAlign w:val="bottom"/>
          </w:tcPr>
          <w:p>
            <w:pPr>
              <w:spacing w:after="0"/>
              <w:rPr>
                <w:sz w:val="1"/>
                <w:szCs w:val="1"/>
                <w:color w:val="auto"/>
              </w:rPr>
            </w:pPr>
          </w:p>
        </w:tc>
      </w:tr>
      <w:tr>
        <w:trPr>
          <w:trHeight w:val="39"/>
        </w:trPr>
        <w:tc>
          <w:tcPr>
            <w:tcW w:w="3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5,502</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Issuance of common stock for vesting of share based</w:t>
            </w:r>
          </w:p>
        </w:tc>
        <w:tc>
          <w:tcPr>
            <w:tcW w:w="7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01"/>
        </w:trPr>
        <w:tc>
          <w:tcPr>
            <w:tcW w:w="3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awards, net of shares withheld for taxes</w:t>
            </w:r>
          </w:p>
        </w:tc>
        <w:tc>
          <w:tcPr>
            <w:tcW w:w="7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340" w:type="dxa"/>
            <w:vAlign w:val="bottom"/>
            <w:vMerge w:val="continue"/>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5,559</w:t>
            </w: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2018</w:t>
            </w:r>
          </w:p>
        </w:tc>
        <w:tc>
          <w:tcPr>
            <w:tcW w:w="7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88,016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(2,883)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(120,727)</w:t>
            </w:r>
          </w:p>
        </w:tc>
        <w:tc>
          <w:tcPr>
            <w:tcW w:w="34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1,187,963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323,236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1,365,081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00" w:right="1800"/>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79"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45085</wp:posOffset>
            </wp:positionV>
            <wp:extent cx="52825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9" w:lineRule="exact"/>
        <w:rPr>
          <w:sz w:val="20"/>
          <w:szCs w:val="20"/>
          <w:color w:val="auto"/>
        </w:rPr>
      </w:pPr>
    </w:p>
    <w:tbl>
      <w:tblPr>
        <w:tblLayout w:type="fixed"/>
        <w:tblInd w:w="3100" w:type="dxa"/>
        <w:tblCellMar>
          <w:top w:w="0" w:type="dxa"/>
          <w:left w:w="0" w:type="dxa"/>
          <w:bottom w:w="0" w:type="dxa"/>
          <w:right w:w="0" w:type="dxa"/>
        </w:tblCellMar>
      </w:tblPr>
      <w:tr>
        <w:trPr>
          <w:trHeight w:val="149"/>
        </w:trPr>
        <w:tc>
          <w:tcPr>
            <w:tcW w:w="2100" w:type="dxa"/>
            <w:vAlign w:val="bottom"/>
            <w:gridSpan w:val="3"/>
          </w:tcPr>
          <w:p>
            <w:pPr>
              <w:ind w:left="600"/>
              <w:spacing w:after="0"/>
              <w:rPr>
                <w:sz w:val="20"/>
                <w:szCs w:val="20"/>
                <w:color w:val="auto"/>
              </w:rPr>
            </w:pPr>
            <w:r>
              <w:rPr>
                <w:rFonts w:ascii="Arial" w:cs="Arial" w:eastAsia="Arial" w:hAnsi="Arial"/>
                <w:sz w:val="13"/>
                <w:szCs w:val="13"/>
                <w:b w:val="1"/>
                <w:bCs w:val="1"/>
                <w:color w:val="auto"/>
              </w:rPr>
              <w:t>Common Stock</w:t>
            </w:r>
          </w:p>
        </w:tc>
        <w:tc>
          <w:tcPr>
            <w:tcW w:w="1980" w:type="dxa"/>
            <w:vAlign w:val="bottom"/>
            <w:gridSpan w:val="2"/>
          </w:tcPr>
          <w:p>
            <w:pPr>
              <w:ind w:left="600"/>
              <w:spacing w:after="0"/>
              <w:rPr>
                <w:sz w:val="20"/>
                <w:szCs w:val="20"/>
                <w:color w:val="auto"/>
              </w:rPr>
            </w:pPr>
            <w:r>
              <w:rPr>
                <w:rFonts w:ascii="Arial" w:cs="Arial" w:eastAsia="Arial" w:hAnsi="Arial"/>
                <w:sz w:val="13"/>
                <w:szCs w:val="13"/>
                <w:b w:val="1"/>
                <w:bCs w:val="1"/>
                <w:color w:val="auto"/>
              </w:rPr>
              <w:t>Treasury Stock</w:t>
            </w: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38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Accumulated Other</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Retained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80" w:type="dxa"/>
            <w:vAlign w:val="bottom"/>
            <w:vMerge w:val="continue"/>
          </w:tcPr>
          <w:p>
            <w:pPr>
              <w:spacing w:after="0"/>
              <w:rPr>
                <w:sz w:val="3"/>
                <w:szCs w:val="3"/>
                <w:color w:val="auto"/>
              </w:rPr>
            </w:pPr>
          </w:p>
        </w:tc>
        <w:tc>
          <w:tcPr>
            <w:tcW w:w="1380" w:type="dxa"/>
            <w:vAlign w:val="bottom"/>
            <w:vMerge w:val="restart"/>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80" w:type="dxa"/>
            <w:vAlign w:val="bottom"/>
            <w:vMerge w:val="continue"/>
          </w:tcPr>
          <w:p>
            <w:pPr>
              <w:spacing w:after="0"/>
              <w:rPr>
                <w:sz w:val="3"/>
                <w:szCs w:val="3"/>
                <w:color w:val="auto"/>
              </w:rPr>
            </w:pPr>
          </w:p>
        </w:tc>
        <w:tc>
          <w:tcPr>
            <w:tcW w:w="840" w:type="dxa"/>
            <w:vAlign w:val="bottom"/>
            <w:vMerge w:val="restart"/>
          </w:tcPr>
          <w:p>
            <w:pPr>
              <w:ind w:left="180"/>
              <w:spacing w:after="0" w:line="135" w:lineRule="exact"/>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70"/>
        </w:trPr>
        <w:tc>
          <w:tcPr>
            <w:tcW w:w="98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Amount</w:t>
            </w:r>
          </w:p>
        </w:tc>
        <w:tc>
          <w:tcPr>
            <w:tcW w:w="98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00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Amount</w:t>
            </w:r>
          </w:p>
        </w:tc>
        <w:tc>
          <w:tcPr>
            <w:tcW w:w="1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Paid-In Capital</w:t>
            </w:r>
          </w:p>
        </w:tc>
        <w:tc>
          <w:tcPr>
            <w:tcW w:w="1380" w:type="dxa"/>
            <w:vAlign w:val="bottom"/>
            <w:vMerge w:val="continue"/>
          </w:tcPr>
          <w:p>
            <w:pPr>
              <w:spacing w:after="0"/>
              <w:rPr>
                <w:sz w:val="6"/>
                <w:szCs w:val="6"/>
                <w:color w:val="auto"/>
              </w:rPr>
            </w:pP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Earnings</w:t>
            </w: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9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38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Income (Loss)</w:t>
            </w:r>
          </w:p>
        </w:tc>
        <w:tc>
          <w:tcPr>
            <w:tcW w:w="88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19050</wp:posOffset>
            </wp:positionV>
            <wp:extent cx="52825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420"/>
          </w:cols>
          <w:pgMar w:left="240" w:top="125" w:right="23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January 1, 2017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w:t>
      </w:r>
    </w:p>
    <w:p>
      <w:pPr>
        <w:spacing w:after="0" w:line="8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2" w:lineRule="exact"/>
        <w:rPr>
          <w:sz w:val="20"/>
          <w:szCs w:val="20"/>
          <w:color w:val="auto"/>
        </w:rPr>
      </w:pPr>
    </w:p>
    <w:p>
      <w:pPr>
        <w:ind w:left="40" w:right="260"/>
        <w:spacing w:after="0" w:line="328" w:lineRule="auto"/>
        <w:rPr>
          <w:sz w:val="20"/>
          <w:szCs w:val="20"/>
          <w:color w:val="auto"/>
        </w:rPr>
      </w:pPr>
      <w:r>
        <w:rPr>
          <w:rFonts w:ascii="Arial" w:cs="Arial" w:eastAsia="Arial" w:hAnsi="Arial"/>
          <w:sz w:val="12"/>
          <w:szCs w:val="12"/>
          <w:color w:val="auto"/>
        </w:rPr>
        <w:t>Issuance of common stock for vesting of share based awards, net of shares withheld for taxes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Exercise of warrants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77,666</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777</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(2,946)</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(123,051)</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798,652</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(57,154)</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220,443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839,667</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6,394</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6,394</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5,701</w:t>
            </w:r>
          </w:p>
        </w:tc>
        <w:tc>
          <w:tcPr>
            <w:tcW w:w="28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5,701</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460" w:type="dxa"/>
            <w:vAlign w:val="bottom"/>
          </w:tcPr>
          <w:p>
            <w:pPr>
              <w:spacing w:after="0"/>
              <w:rPr>
                <w:sz w:val="23"/>
                <w:szCs w:val="23"/>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1</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1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460" w:type="dxa"/>
            <w:vAlign w:val="bottom"/>
          </w:tcPr>
          <w:p>
            <w:pPr>
              <w:spacing w:after="0"/>
              <w:rPr>
                <w:sz w:val="24"/>
                <w:szCs w:val="2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509</w:t>
            </w:r>
          </w:p>
        </w:tc>
        <w:tc>
          <w:tcPr>
            <w:tcW w:w="4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509</w:t>
            </w:r>
          </w:p>
        </w:tc>
      </w:tr>
      <w:tr>
        <w:trPr>
          <w:trHeight w:val="35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460" w:type="dxa"/>
            <w:vAlign w:val="bottom"/>
          </w:tcPr>
          <w:p>
            <w:pPr>
              <w:spacing w:after="0"/>
              <w:rPr>
                <w:sz w:val="24"/>
                <w:szCs w:val="24"/>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1</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(5,471)</w:t>
            </w:r>
          </w:p>
        </w:tc>
        <w:tc>
          <w:tcPr>
            <w:tcW w:w="4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(5,470)</w:t>
            </w:r>
          </w:p>
        </w:tc>
      </w:tr>
      <w:tr>
        <w:trPr>
          <w:trHeight w:val="31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5,688</w:t>
            </w:r>
          </w:p>
        </w:tc>
        <w:tc>
          <w:tcPr>
            <w:tcW w:w="4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-1269365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-926465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-532130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-137795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980" w:space="540"/>
            <w:col w:w="79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100" w:type="dxa"/>
            <w:vAlign w:val="bottom"/>
          </w:tcPr>
          <w:p>
            <w:pPr>
              <w:ind w:left="40"/>
              <w:spacing w:after="0"/>
              <w:rPr>
                <w:sz w:val="20"/>
                <w:szCs w:val="20"/>
                <w:color w:val="auto"/>
              </w:rPr>
            </w:pPr>
            <w:r>
              <w:rPr>
                <w:rFonts w:ascii="Arial" w:cs="Arial" w:eastAsia="Arial" w:hAnsi="Arial"/>
                <w:sz w:val="14"/>
                <w:szCs w:val="14"/>
                <w:color w:val="auto"/>
              </w:rPr>
              <w:t>Balance, March 31, 2017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78,185</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(2,946)</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(123,051)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799,376</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(51,453)</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226,837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852,491</w:t>
            </w:r>
          </w:p>
        </w:tc>
        <w:tc>
          <w:tcPr>
            <w:tcW w:w="0" w:type="dxa"/>
            <w:vAlign w:val="bottom"/>
          </w:tcPr>
          <w:p>
            <w:pPr>
              <w:spacing w:after="0"/>
              <w:rPr>
                <w:sz w:val="1"/>
                <w:szCs w:val="1"/>
                <w:color w:val="auto"/>
              </w:rPr>
            </w:pPr>
          </w:p>
        </w:tc>
      </w:tr>
      <w:tr>
        <w:trPr>
          <w:trHeight w:val="39"/>
        </w:trPr>
        <w:tc>
          <w:tcPr>
            <w:tcW w:w="3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10,835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10,835</w:t>
            </w:r>
          </w:p>
        </w:tc>
        <w:tc>
          <w:tcPr>
            <w:tcW w:w="0" w:type="dxa"/>
            <w:vAlign w:val="bottom"/>
          </w:tcPr>
          <w:p>
            <w:pPr>
              <w:spacing w:after="0"/>
              <w:rPr>
                <w:sz w:val="1"/>
                <w:szCs w:val="1"/>
                <w:color w:val="auto"/>
              </w:rPr>
            </w:pPr>
          </w:p>
        </w:tc>
      </w:tr>
      <w:tr>
        <w:trPr>
          <w:trHeight w:val="218"/>
        </w:trPr>
        <w:tc>
          <w:tcPr>
            <w:tcW w:w="310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17,295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17,295</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Issuance of common stock for vesting of share</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7,196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8,238</w:t>
            </w:r>
          </w:p>
        </w:tc>
        <w:tc>
          <w:tcPr>
            <w:tcW w:w="0" w:type="dxa"/>
            <w:vAlign w:val="bottom"/>
          </w:tcPr>
          <w:p>
            <w:pPr>
              <w:spacing w:after="0"/>
              <w:rPr>
                <w:sz w:val="1"/>
                <w:szCs w:val="1"/>
                <w:color w:val="auto"/>
              </w:rPr>
            </w:pPr>
          </w:p>
        </w:tc>
      </w:tr>
      <w:tr>
        <w:trPr>
          <w:trHeight w:val="101"/>
        </w:trPr>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based awards, net of shares withheld for taxes</w:t>
            </w:r>
          </w:p>
        </w:tc>
        <w:tc>
          <w:tcPr>
            <w:tcW w:w="9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00" w:type="dxa"/>
            <w:vAlign w:val="bottom"/>
            <w:vMerge w:val="continue"/>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100" w:type="dxa"/>
            <w:vAlign w:val="bottom"/>
          </w:tcPr>
          <w:p>
            <w:pPr>
              <w:ind w:left="40"/>
              <w:spacing w:after="0"/>
              <w:rPr>
                <w:sz w:val="20"/>
                <w:szCs w:val="20"/>
                <w:color w:val="auto"/>
              </w:rPr>
            </w:pPr>
            <w:r>
              <w:rPr>
                <w:rFonts w:ascii="Arial" w:cs="Arial" w:eastAsia="Arial" w:hAnsi="Arial"/>
                <w:sz w:val="14"/>
                <w:szCs w:val="14"/>
                <w:color w:val="auto"/>
              </w:rPr>
              <w:t>Exercise of warrants</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5,695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5,695</w:t>
            </w:r>
          </w:p>
        </w:tc>
        <w:tc>
          <w:tcPr>
            <w:tcW w:w="0" w:type="dxa"/>
            <w:vAlign w:val="bottom"/>
          </w:tcPr>
          <w:p>
            <w:pPr>
              <w:spacing w:after="0"/>
              <w:rPr>
                <w:sz w:val="1"/>
                <w:szCs w:val="1"/>
                <w:color w:val="auto"/>
              </w:rPr>
            </w:pPr>
          </w:p>
        </w:tc>
      </w:tr>
      <w:tr>
        <w:trPr>
          <w:trHeight w:val="218"/>
        </w:trPr>
        <w:tc>
          <w:tcPr>
            <w:tcW w:w="3100" w:type="dxa"/>
            <w:vAlign w:val="bottom"/>
          </w:tcPr>
          <w:p>
            <w:pPr>
              <w:ind w:left="40"/>
              <w:spacing w:after="0"/>
              <w:rPr>
                <w:sz w:val="20"/>
                <w:szCs w:val="20"/>
                <w:color w:val="auto"/>
              </w:rPr>
            </w:pPr>
            <w:r>
              <w:rPr>
                <w:rFonts w:ascii="Arial" w:cs="Arial" w:eastAsia="Arial" w:hAnsi="Arial"/>
                <w:sz w:val="14"/>
                <w:szCs w:val="14"/>
                <w:color w:val="auto"/>
              </w:rPr>
              <w:t>Balance, June 30, 2017</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80,363</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(2,921)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(122,014)</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812,250</w:t>
            </w:r>
          </w:p>
        </w:tc>
        <w:tc>
          <w:tcPr>
            <w:tcW w:w="10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(34,158)</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237,672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894,554</w:t>
            </w:r>
          </w:p>
        </w:tc>
        <w:tc>
          <w:tcPr>
            <w:tcW w:w="0" w:type="dxa"/>
            <w:vAlign w:val="bottom"/>
          </w:tcPr>
          <w:p>
            <w:pPr>
              <w:spacing w:after="0"/>
              <w:rPr>
                <w:sz w:val="1"/>
                <w:szCs w:val="1"/>
                <w:color w:val="auto"/>
              </w:rPr>
            </w:pPr>
          </w:p>
        </w:tc>
      </w:tr>
      <w:tr>
        <w:trPr>
          <w:trHeight w:val="53"/>
        </w:trPr>
        <w:tc>
          <w:tcPr>
            <w:tcW w:w="3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3,159</w:t>
            </w:r>
          </w:p>
        </w:tc>
        <w:tc>
          <w:tcPr>
            <w:tcW w:w="0" w:type="dxa"/>
            <w:vAlign w:val="bottom"/>
          </w:tcPr>
          <w:p>
            <w:pPr>
              <w:spacing w:after="0"/>
              <w:rPr>
                <w:sz w:val="1"/>
                <w:szCs w:val="1"/>
                <w:color w:val="auto"/>
              </w:rPr>
            </w:pPr>
          </w:p>
        </w:tc>
      </w:tr>
      <w:tr>
        <w:trPr>
          <w:trHeight w:val="218"/>
        </w:trPr>
        <w:tc>
          <w:tcPr>
            <w:tcW w:w="310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10,375</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31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Issuance of common stock for vesting of share</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01"/>
        </w:trPr>
        <w:tc>
          <w:tcPr>
            <w:tcW w:w="31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based awards, net of shares withheld for taxes</w:t>
            </w:r>
          </w:p>
        </w:tc>
        <w:tc>
          <w:tcPr>
            <w:tcW w:w="9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3100" w:type="dxa"/>
            <w:vAlign w:val="bottom"/>
            <w:vMerge w:val="continue"/>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100" w:type="dxa"/>
            <w:vAlign w:val="bottom"/>
          </w:tcPr>
          <w:p>
            <w:pPr>
              <w:ind w:left="40"/>
              <w:spacing w:after="0"/>
              <w:rPr>
                <w:sz w:val="20"/>
                <w:szCs w:val="20"/>
                <w:color w:val="auto"/>
              </w:rPr>
            </w:pPr>
            <w:r>
              <w:rPr>
                <w:rFonts w:ascii="Arial" w:cs="Arial" w:eastAsia="Arial" w:hAnsi="Arial"/>
                <w:sz w:val="14"/>
                <w:szCs w:val="14"/>
                <w:color w:val="auto"/>
              </w:rPr>
              <w:t>Exercise of warrants</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5,301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5,301</w:t>
            </w:r>
          </w:p>
        </w:tc>
        <w:tc>
          <w:tcPr>
            <w:tcW w:w="0" w:type="dxa"/>
            <w:vAlign w:val="bottom"/>
          </w:tcPr>
          <w:p>
            <w:pPr>
              <w:spacing w:after="0"/>
              <w:rPr>
                <w:sz w:val="1"/>
                <w:szCs w:val="1"/>
                <w:color w:val="auto"/>
              </w:rPr>
            </w:pPr>
          </w:p>
        </w:tc>
      </w:tr>
      <w:tr>
        <w:trPr>
          <w:trHeight w:val="198"/>
        </w:trPr>
        <w:tc>
          <w:tcPr>
            <w:tcW w:w="3100" w:type="dxa"/>
            <w:vAlign w:val="bottom"/>
          </w:tcPr>
          <w:p>
            <w:pPr>
              <w:ind w:left="40"/>
              <w:spacing w:after="0"/>
              <w:rPr>
                <w:sz w:val="20"/>
                <w:szCs w:val="20"/>
                <w:color w:val="auto"/>
              </w:rPr>
            </w:pPr>
            <w:r>
              <w:rPr>
                <w:rFonts w:ascii="Arial" w:cs="Arial" w:eastAsia="Arial" w:hAnsi="Arial"/>
                <w:sz w:val="14"/>
                <w:szCs w:val="14"/>
                <w:color w:val="auto"/>
              </w:rPr>
              <w:t>Balance, September 30, 2017</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81,301</w:t>
            </w:r>
          </w:p>
        </w:tc>
        <w:tc>
          <w:tcPr>
            <w:tcW w:w="12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(2,916)</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(121,816)</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817,071</w:t>
            </w:r>
          </w:p>
        </w:tc>
        <w:tc>
          <w:tcPr>
            <w:tcW w:w="100" w:type="dxa"/>
            <w:vAlign w:val="bottom"/>
          </w:tcPr>
          <w:p>
            <w:pPr>
              <w:spacing w:after="0"/>
              <w:rPr>
                <w:sz w:val="17"/>
                <w:szCs w:val="17"/>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(23,783)</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240,831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913,116</w:t>
            </w:r>
          </w:p>
        </w:tc>
        <w:tc>
          <w:tcPr>
            <w:tcW w:w="0" w:type="dxa"/>
            <w:vAlign w:val="bottom"/>
          </w:tcPr>
          <w:p>
            <w:pPr>
              <w:spacing w:after="0"/>
              <w:rPr>
                <w:sz w:val="1"/>
                <w:szCs w:val="1"/>
                <w:color w:val="auto"/>
              </w:rPr>
            </w:pPr>
          </w:p>
        </w:tc>
      </w:tr>
      <w:tr>
        <w:trPr>
          <w:trHeight w:val="39"/>
        </w:trPr>
        <w:tc>
          <w:tcPr>
            <w:tcW w:w="3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September 30, 2018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2017 included in the Company’s Annual Report on Form 10-K. The December 31, 2017 consolidated balance sheet was derived from audited financial statements, but does not include all disclosures required by accounting principles generally accepted in the United States. Operating results for the three- and nine-month periods ended September 30, 2018 are not necessarily indicative of the results to be expected for the entire year.</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pension assets and liabilities,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Offering</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became effective for all annual periods and interim reporting periods beginning after December 15, 2017. The Company adopted Topic 606 as of January 1, 2018 using the modified retrospective method. See Note 3,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 for further details.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FASB issued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current accounting guidance, an entity is not required to report operating leases on the balance sheet. The amendment requires that lessees recognize virtually all of its leases on the balance sheet by recording a right-of-use asset and lease liability (other than leases that meet the definition of a "short-term lease"). This update will become effective for all annual periods and interim reporting periods beginning after December 15, 2018. The new standard must be adopted using a modified retrospective transition. Early adoption is permitted. While the Company has not yet completed its assessment, the adoption of this guidance could have a material impact on the Company's financial position.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Update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The guidance addresses the classification of cash flows related to debt repayment or extinguishment costs, settlement of zero-coupon debt instruments or debt instruments with coupon rates that are insignificant in relation to the effective interest rate of the borrowing, contingent consideration payments made after business combinations, proceeds from the settlement of insurance claims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corporate-owned life insurance, distributions received from equity method investees and beneficial interests in securitization transaction. This update became effective for all annual periods and interim reporting periods beginning after December 15, 2017. The Company adopted </w:t>
      </w:r>
      <w:r>
        <w:rPr>
          <w:rFonts w:ascii="Arial" w:cs="Arial" w:eastAsia="Arial" w:hAnsi="Arial"/>
          <w:sz w:val="17"/>
          <w:szCs w:val="17"/>
          <w:i w:val="1"/>
          <w:iCs w:val="1"/>
          <w:color w:val="auto"/>
        </w:rPr>
        <w:t>ASU 2016-15</w:t>
      </w:r>
      <w:r>
        <w:rPr>
          <w:rFonts w:ascii="Arial" w:cs="Arial" w:eastAsia="Arial" w:hAnsi="Arial"/>
          <w:sz w:val="17"/>
          <w:szCs w:val="17"/>
          <w:color w:val="auto"/>
        </w:rPr>
        <w:t xml:space="preserve"> effective January 1, 2018 on a retrospective basis. The adoption of this guidance had no significant impact on the Company's consolidated financial statements.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Update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The guidance requires that the income tax consequences of intra-entity transfers of assets other than inventory be recognized as a current-period income tax expense or benefit and removes the requirement to defer and amortize the consolidated tax consequences of intra-entity transfers. The new standard became effective for all annual periods beginning after December 15, 2017. The Company adopted </w:t>
      </w:r>
      <w:r>
        <w:rPr>
          <w:rFonts w:ascii="Arial" w:cs="Arial" w:eastAsia="Arial" w:hAnsi="Arial"/>
          <w:sz w:val="18"/>
          <w:szCs w:val="18"/>
          <w:i w:val="1"/>
          <w:iCs w:val="1"/>
          <w:color w:val="auto"/>
        </w:rPr>
        <w:t>ASU 2016-16</w:t>
      </w:r>
      <w:r>
        <w:rPr>
          <w:rFonts w:ascii="Arial" w:cs="Arial" w:eastAsia="Arial" w:hAnsi="Arial"/>
          <w:sz w:val="18"/>
          <w:szCs w:val="18"/>
          <w:color w:val="auto"/>
        </w:rPr>
        <w:t xml:space="preserve"> effective January 1, 2018, and this guidance had no significant impact on its consolidated financial statements.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March 2017, the FASB issued Update No. 2017-07, </w:t>
      </w:r>
      <w:r>
        <w:rPr>
          <w:rFonts w:ascii="Arial" w:cs="Arial" w:eastAsia="Arial" w:hAnsi="Arial"/>
          <w:sz w:val="16"/>
          <w:szCs w:val="16"/>
          <w:i w:val="1"/>
          <w:iCs w:val="1"/>
          <w:color w:val="auto"/>
        </w:rPr>
        <w:t>Compensation - Retirement Benefits (Topic 715): Improving the Presentation of Net Periodic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Cost and Net Periodic Postretirement Benefit Cost</w:t>
      </w:r>
      <w:r>
        <w:rPr>
          <w:rFonts w:ascii="Arial" w:cs="Arial" w:eastAsia="Arial" w:hAnsi="Arial"/>
          <w:sz w:val="16"/>
          <w:szCs w:val="16"/>
          <w:color w:val="auto"/>
        </w:rPr>
        <w:t>. The guidance requires that an employer report the service cost component in the same line item or items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were to be used to present the other components of net benefit cost, that line item or items must be appropriately described. If a separate line item or items is/are not used, the line item or items used in the income statement to present the other components of net benefit cost must be disclosed. In addition, the amendments also allow only the service cost component to be eligible for capitalization when applicable. The new standard became effective for annual periods beginning after December 15, 2017. The Company adopted </w:t>
      </w:r>
      <w:r>
        <w:rPr>
          <w:rFonts w:ascii="Arial" w:cs="Arial" w:eastAsia="Arial" w:hAnsi="Arial"/>
          <w:sz w:val="16"/>
          <w:szCs w:val="16"/>
          <w:i w:val="1"/>
          <w:iCs w:val="1"/>
          <w:color w:val="auto"/>
        </w:rPr>
        <w:t>ASU 2017-07</w:t>
      </w:r>
      <w:r>
        <w:rPr>
          <w:rFonts w:ascii="Arial" w:cs="Arial" w:eastAsia="Arial" w:hAnsi="Arial"/>
          <w:sz w:val="16"/>
          <w:szCs w:val="16"/>
          <w:color w:val="auto"/>
        </w:rPr>
        <w:t xml:space="preserve"> effective January 1, 2018. The Company recognized the components of net periodic benefit cost other than the service cost component in other (expense) income, net in the consolidated statements of operations. The adoption of this guidance had no significant impact on the Company's consolidated financial statements.</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2017, the FASB issued ASU 2017-09, </w:t>
      </w:r>
      <w:r>
        <w:rPr>
          <w:rFonts w:ascii="Arial" w:cs="Arial" w:eastAsia="Arial" w:hAnsi="Arial"/>
          <w:sz w:val="16"/>
          <w:szCs w:val="16"/>
          <w:i w:val="1"/>
          <w:iCs w:val="1"/>
          <w:color w:val="auto"/>
        </w:rPr>
        <w:t>Stock Compensation (Topic 718): Scope of Modification Accounting</w:t>
      </w:r>
      <w:r>
        <w:rPr>
          <w:rFonts w:ascii="Arial" w:cs="Arial" w:eastAsia="Arial" w:hAnsi="Arial"/>
          <w:sz w:val="16"/>
          <w:szCs w:val="16"/>
          <w:color w:val="auto"/>
        </w:rPr>
        <w:t xml:space="preserve">. The update serves to provide clarity and reduce both (1) diversity in practice and (2) cost and complexity when applying the guidance in Topic 718, Compensation-Stock Compensation, to a change to the terms or conditions of a share-based payment award. The new standard became effective for all annual periods beginning after December 15, 2017. The Company adopted </w:t>
      </w:r>
      <w:r>
        <w:rPr>
          <w:rFonts w:ascii="Arial" w:cs="Arial" w:eastAsia="Arial" w:hAnsi="Arial"/>
          <w:sz w:val="16"/>
          <w:szCs w:val="16"/>
          <w:i w:val="1"/>
          <w:iCs w:val="1"/>
          <w:color w:val="auto"/>
        </w:rPr>
        <w:t>ASU 2017-09</w:t>
      </w:r>
      <w:r>
        <w:rPr>
          <w:rFonts w:ascii="Arial" w:cs="Arial" w:eastAsia="Arial" w:hAnsi="Arial"/>
          <w:sz w:val="16"/>
          <w:szCs w:val="16"/>
          <w:color w:val="auto"/>
        </w:rPr>
        <w:t xml:space="preserve"> effective January 1, 2018, and there was no significant impact of this guidance on its consolidated financial statements.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xml:space="preserve">. This update amends the hedge accounting rules to simplify the application of hedge accounting guidance and better portray the economic results of risk management activities in the financial statements. The guidance expands the ability to hedge non-financial and financial risk components, reduces complexity in fair value hedges of interest rate risk, eliminates the requirement to separately measure and report hedge ineffectiveness, as well as eases certain hedge effectiveness assessment requirements. This update will become effective for all annual periods and interim reporting periods beginning after December 15, 2018. Early adoption is permitted. The Company elected to early adopt </w:t>
      </w:r>
      <w:r>
        <w:rPr>
          <w:rFonts w:ascii="Arial" w:cs="Arial" w:eastAsia="Arial" w:hAnsi="Arial"/>
          <w:sz w:val="16"/>
          <w:szCs w:val="16"/>
          <w:i w:val="1"/>
          <w:iCs w:val="1"/>
          <w:color w:val="auto"/>
        </w:rPr>
        <w:t>ASU 2017-12</w:t>
      </w:r>
      <w:r>
        <w:rPr>
          <w:rFonts w:ascii="Arial" w:cs="Arial" w:eastAsia="Arial" w:hAnsi="Arial"/>
          <w:sz w:val="16"/>
          <w:szCs w:val="16"/>
          <w:color w:val="auto"/>
        </w:rPr>
        <w:t xml:space="preserve"> effective January 1, 2017 using the modified retrospective method. The implementation of the amended guidance did not have a significant impact on the Company's consolidated financial statements.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This amendment allows a reclassification from accumulated other comprehensive income to retained earnings for stranded tax effects resulting from the 2017 Tax Act (as defined in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This guidance is effective for annual and interim periods beginning after December 15, 2018. Early adoption is permitted. The Company elected to early adopt the </w:t>
      </w:r>
      <w:r>
        <w:rPr>
          <w:rFonts w:ascii="Arial" w:cs="Arial" w:eastAsia="Arial" w:hAnsi="Arial"/>
          <w:sz w:val="17"/>
          <w:szCs w:val="17"/>
          <w:i w:val="1"/>
          <w:iCs w:val="1"/>
          <w:color w:val="auto"/>
        </w:rPr>
        <w:t>ASU 2018-02</w:t>
      </w:r>
      <w:r>
        <w:rPr>
          <w:rFonts w:ascii="Arial" w:cs="Arial" w:eastAsia="Arial" w:hAnsi="Arial"/>
          <w:sz w:val="17"/>
          <w:szCs w:val="17"/>
          <w:color w:val="auto"/>
        </w:rPr>
        <w:t xml:space="preserve"> effective January 1, 2018, which resulted in the reclassification of $0.5 million from accumulated other comprehensive loss to retained earnings related to a net unrealized loss on cash flow hedges.</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July 2018, the FASB issued ASU Number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This update provides clarification, corrects errors in and makes minor improvements to the Codification within various ASC topics. Many of the amendments in this update have transition guidance with effective dates for annual periods beginning after December 15, 2018, and some amendments in this update do not require transition guidance and are effective upon issuance of this update. The Company will adopt amendments as they become applicable and has determined that the impact of these improvements will not be material to its consolidated financial condition and results of operations.</w:t>
      </w:r>
    </w:p>
    <w:p>
      <w:pPr>
        <w:spacing w:after="0" w:line="18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July 2018, the FASB issued ASU Number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xml:space="preserve"> This update provides entities with an additional and optional transition method to adopt ASU Number 2016-02 with a cumulative-effect adjustment in the period of adoption. This update also provides guidance for a practical expedient that permits lessors to not separate non-lease components from the associated lease components. Additionally, in July 2018, the FASB issued ASU Number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This update provides additional guidance on the new lease model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improvements in numerous aspects of the guidance in ASC 842 including, but not limited to, implicit rates, reassessment of lease classification, terms and purchase options, investment tax credits, and various other transition guidance. These updates will be adopted concurrently with ASU Number 2016-02. While the Company has not yet completed its assessment, the adoption of this guidance could have a material impact on the Company's financial position.</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The new guidance modifies the disclosure requirements related to fair value measurements in Topic 820, Fair Value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removing certain previous disclosure requirements, adding certain new disclosure requirements, and modifying certain other disclosure requirements. The ASU will be effective for fiscal years beginning after December 15, 2019, including interim periods within those fiscal years. Early adoption is permitted. The Company elected to early adopt ASU 2018-13 on October 1, 2018. The adoption is not expected to have a material impact on the Condensed and Consolidated Financial Statements.</w:t>
      </w:r>
    </w:p>
    <w:p>
      <w:pPr>
        <w:spacing w:after="0" w:line="19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The new guidance modifies the disclosure requirements for employers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defined benefit pension or other postretirement plans, including removing certain previous disclosure requirements, adding certain new disclosure requirements, and clarifying certain other disclosure requirements. The ASU will be effective for fiscal years beginning after December 15, 2020, including interim periods within those fiscal years. Early adoption is permitted. The adoption is not expected to have a material impact on the Condensed and Consolidated Financial Statements.</w:t>
      </w:r>
    </w:p>
    <w:p>
      <w:pPr>
        <w:spacing w:after="0" w:line="1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0" w:lineRule="exact"/>
        <w:rPr>
          <w:sz w:val="20"/>
          <w:szCs w:val="20"/>
          <w:color w:val="auto"/>
        </w:rPr>
      </w:pPr>
    </w:p>
    <w:p>
      <w:pPr>
        <w:ind w:right="7260" w:firstLine="8"/>
        <w:spacing w:after="0" w:line="367"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ACQUISITIONS AND DIVESTITURE </w:t>
      </w:r>
      <w:r>
        <w:rPr>
          <w:rFonts w:ascii="Arial" w:cs="Arial" w:eastAsia="Arial" w:hAnsi="Arial"/>
          <w:sz w:val="17"/>
          <w:szCs w:val="17"/>
          <w:i w:val="1"/>
          <w:iCs w:val="1"/>
          <w:u w:val="single" w:color="auto"/>
          <w:color w:val="auto"/>
        </w:rPr>
        <w:t>Johnson &amp; Johnson's Codman Neurosurgery Business</w:t>
      </w:r>
    </w:p>
    <w:p>
      <w:pPr>
        <w:jc w:val="both"/>
        <w:spacing w:after="0" w:line="273" w:lineRule="auto"/>
        <w:rPr>
          <w:sz w:val="20"/>
          <w:szCs w:val="20"/>
          <w:color w:val="auto"/>
        </w:rPr>
      </w:pPr>
      <w:r>
        <w:rPr>
          <w:rFonts w:ascii="Arial" w:cs="Arial" w:eastAsia="Arial" w:hAnsi="Arial"/>
          <w:sz w:val="17"/>
          <w:szCs w:val="17"/>
          <w:color w:val="auto"/>
        </w:rPr>
        <w:t>On October 2, 2017, upon the terms and subject to the conditions set forth in the asset purchase agreement entered into by the Company with DePuy Synthes, Inc., a Delaware corporation (“DePuy Synthes”), a wholly owned subsidiary of Johnson &amp; Johnson (the "Purchase Agreement"), the Company completed the acquisition of certain assets, and assumed certain liabilities of Johnson &amp; Johnson’s Codman Neurosurgery business (the "Codman Acquisition"). Under the terms of the Purchase Agreement, the Company paid an aggregate purchase price of $1.014 billion, subject to adjustments set forth in the Purchase Agreement relating to the book value of inventory transferred to the Company at the closing of the Codman Acquisition. The book value of certain inventory retained by DePuy Synthes will be transferred to the Company in the future along with certain prepaid taxes.</w:t>
      </w:r>
    </w:p>
    <w:p>
      <w:pPr>
        <w:spacing w:after="0" w:line="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Codman Acquisition was accounted for using the acquisition method of business combination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This method requires that assets acquired and liabilities assumed in a business combination be recognized at their fair values as of the acquisition date. During the third quarter of 2018, the Company completed the purchase accounting for the Codman Acquisition.</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revenue for Codman Neurosurgery of approximately $78.9 million and $236.0 million in the condensed consolidated statements of operations and comprehensive income for the three and nine months ended September 30, 2018. The net income or loss attributable to this acquisition cannot be identified on a stand-alone basis because it is in the process of being integrated into the Company's operations.</w:t>
      </w:r>
    </w:p>
    <w:p>
      <w:pPr>
        <w:spacing w:after="0" w:line="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 and reflects measurement period adjustments subsequent to the acquisition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60" w:type="dxa"/>
            <w:vAlign w:val="bottom"/>
          </w:tcPr>
          <w:p>
            <w:pPr>
              <w:jc w:val="center"/>
              <w:ind w:left="741"/>
              <w:spacing w:after="0"/>
              <w:rPr>
                <w:sz w:val="20"/>
                <w:szCs w:val="20"/>
                <w:color w:val="auto"/>
              </w:rPr>
            </w:pPr>
            <w:r>
              <w:rPr>
                <w:rFonts w:ascii="Arial" w:cs="Arial" w:eastAsia="Arial" w:hAnsi="Arial"/>
                <w:sz w:val="14"/>
                <w:szCs w:val="14"/>
                <w:b w:val="1"/>
                <w:bCs w:val="1"/>
                <w:color w:val="auto"/>
                <w:w w:val="97"/>
              </w:rPr>
              <w:t>Final</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Weighted Average Life</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460" w:type="dxa"/>
            <w:vAlign w:val="bottom"/>
            <w:tcBorders>
              <w:bottom w:val="single" w:sz="8" w:color="auto"/>
            </w:tcBorders>
          </w:tcPr>
          <w:p>
            <w:pPr>
              <w:jc w:val="center"/>
              <w:ind w:left="761"/>
              <w:spacing w:after="0"/>
              <w:rPr>
                <w:sz w:val="20"/>
                <w:szCs w:val="20"/>
                <w:color w:val="auto"/>
              </w:rPr>
            </w:pPr>
            <w:r>
              <w:rPr>
                <w:rFonts w:ascii="Arial" w:cs="Arial" w:eastAsia="Arial" w:hAnsi="Arial"/>
                <w:sz w:val="14"/>
                <w:szCs w:val="14"/>
                <w:b w:val="1"/>
                <w:bCs w:val="1"/>
                <w:color w:val="auto"/>
                <w:w w:val="91"/>
              </w:rPr>
              <w:t>Valuation</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60" w:type="dxa"/>
            <w:vAlign w:val="bottom"/>
            <w:tcBorders>
              <w:bottom w:val="single" w:sz="8" w:color="CCEEFF"/>
            </w:tcBorders>
            <w:shd w:val="clear" w:color="auto" w:fill="CCEEFF"/>
          </w:tcPr>
          <w:p>
            <w:pPr>
              <w:jc w:val="right"/>
              <w:ind w:right="126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74,962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30,813</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41,339</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Codman corporate trade name</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162,900</w:t>
            </w:r>
          </w:p>
        </w:tc>
        <w:tc>
          <w:tcPr>
            <w:tcW w:w="120" w:type="dxa"/>
            <w:vAlign w:val="bottom"/>
          </w:tcPr>
          <w:p>
            <w:pPr>
              <w:spacing w:after="0"/>
              <w:rPr>
                <w:sz w:val="21"/>
                <w:szCs w:val="21"/>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Completed technology</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375,200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342,322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1,035,738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liabilities</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19,917</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1460" w:type="dxa"/>
            <w:vAlign w:val="bottom"/>
            <w:tcBorders>
              <w:top w:val="single" w:sz="8" w:color="auto"/>
              <w:bottom w:val="single" w:sz="8" w:color="auto"/>
            </w:tcBorders>
          </w:tcPr>
          <w:p>
            <w:pPr>
              <w:jc w:val="right"/>
              <w:ind w:right="126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1,014,091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three quarters of 2018, the Company received cash of $26.7 million from Depuy Synthes related to working capital adjustments, which was recorded within investing activities on the consolidated statements of cash flows.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measurement period adjustments to goodwill totaling $4.0 million. During the first half of 2018, the Company adjusted goodwill by $3.2 million because of working capital adjustments of $6.2 million that were offset by inventory adjustments of $3.0 million. During the third quarter 2018, the Company adjusted goodwill by $0.8 million after finalizing the valuation step up of property, plant and equipment of $5.5 million. The adjustment for property, plant and equipment was offset by completed technology intangible asset adjustments of $4.7 million.</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three quarters of 2018, the Company paid $15.9 million for inventory that was included in the initial purchase accounting. The payment was included within financing activities on the consolidated statements of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$2.8 million and $17.3 million in cost of goods sold related to fair value inventory purchase accounting adjustments for the three and nine months ended September 30, 2018.</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related to the Codman Acquisition was allocated to the Codman Specialty Surgical segment. Goodwill is the excess of the consideration transferred over the net assets recognized and represents the expected revenue and cost synergies of the combined company and assembled workforce. Goodwill recognized as a result of this acquisition is generally deductible for income tax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2017, the Company wrote-off construction in progress of $6.3 million related to a project acquired as part of the Codman Acquisition that the Company decided to discontinue after the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Divestiture to Natus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8, 2017, to facilitate the acquisition of the Codman Neurosurgery Business and to comply with legal requirements, the Company and certain of its subsidiaries entered into an asset purchase agreement (the “Divestiture Agreement”) with Natus Medical Incorporated (“Natus”), pursuant to which the Company agreed to divest its global Camino® Intracranial Pressure monitoring product lines and the U.S. rights to its fixed pressure shunts business within its Codman Specialty Surgical segment together with certain neurosurgery assets acquired as part of the Codman Acquisition, which includes Codman U.S. dural graft implant, external ventricular drainage catheter and cerebrospinal fluid collection systems businesses (the “Divestiture”). The Divestiture Agreement was entered into in connection with the review of the Codman Acquisition by the Federal Trade Commission and the antitrust authority of Spain.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6, 2017, upon the terms and subject to the conditions of the Divestiture Agreement, the Divestiture was completed and Natus paid an aggregate purchase price of $46.4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divested consisted of the following as of October 6, 2017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8,348</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Assets held for sale</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30,813</w:t>
            </w:r>
          </w:p>
        </w:tc>
      </w:tr>
      <w:tr>
        <w:trPr>
          <w:trHeight w:val="27"/>
        </w:trPr>
        <w:tc>
          <w:tcPr>
            <w:tcW w:w="9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2,861</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43,180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9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w:t>
            </w:r>
          </w:p>
        </w:tc>
      </w:tr>
      <w:tr>
        <w:trPr>
          <w:trHeight w:val="27"/>
        </w:trPr>
        <w:tc>
          <w:tcPr>
            <w:tcW w:w="9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divested</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transitional supply agreement with Natus requires the Company to provide to Natus certain assets defined in the transitional supply agreement upon termination. The Company recognized a liability of $1.3 million, included in other liabilities in the consolidated balance sheet, related to estimated cost of assets to be provided to Natus upon termination of the transitional supply agreement.</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Divestiture does not represent a strategic shift that will have a major effect on the Company's operations and financial statements. Goodwill was allocated to the assets and liabilities divested using the relative fair value method. In the fourth quarter of 2017, the Company recognized a pretax gain on sale of business of $2.6 million included in other income, net in its consolidated statement of operations for the year ended December 31,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Derma Sciences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stockholders of Derma Sciences of approximately $201.7 million upon the closing of the transaction.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revenue and the net income or loss attributable to this acquisition cannot be identified on a stand-alone basis because it has been integrated into the Company's operations.</w:t>
      </w:r>
    </w:p>
    <w:p>
      <w:pPr>
        <w:spacing w:after="0" w:line="116"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The Derma Sciences acquisition was accounted for using the acquisition method of business combination under ASC 805, Business Combinations. This method requires that assets acquired and liabilities assumed in a business combination be recognized at their fair values as of the acquisition date.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final fair values of the assets acquired and liabilities assumed at the acquisition date and reflects purchase accounting adjustments subsequent to the acquisition date: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212"/>
              <w:spacing w:after="0"/>
              <w:rPr>
                <w:sz w:val="20"/>
                <w:szCs w:val="20"/>
                <w:color w:val="auto"/>
              </w:rPr>
            </w:pPr>
            <w:r>
              <w:rPr>
                <w:rFonts w:ascii="Arial" w:cs="Arial" w:eastAsia="Arial" w:hAnsi="Arial"/>
                <w:sz w:val="14"/>
                <w:szCs w:val="14"/>
                <w:b w:val="1"/>
                <w:bCs w:val="1"/>
                <w:color w:val="auto"/>
                <w:w w:val="97"/>
              </w:rPr>
              <w:t>Final</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5"/>
              </w:rPr>
              <w:t>Valuation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16,512</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19,238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17,977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Customer relationship</w:t>
            </w: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78,300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Trademarks/brand names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15 years</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Completed technology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14 years</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73,765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14,524</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263,426</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30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37,174</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210,478</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related to the Derma Sciences acquisition was allocated to the Orthopedics and Tissue Technologies segment. Goodwill is the excess of the consideration transferred over the net assets recognized and represents the expected revenue and cost synergies of the combined company and assembled workforce. Goodwill recognized as a result of this acquisition is not deductible for income tax purposes. During the first quarter of 2018, the Company completed its purchase accounting of Derma Sciences.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Short-term investments recognized at the acquisition date of Derma Sciences are investments in equity and debt securities including certificates of deposit purchased with an original maturity greater than three months which are deposited in various U.S. financial institutions and are fully insured by the Federal Deposit Insurance Corporation. The Company considers securities with original maturities of greater than 90 days to be available for sale securities. Securities under this classification are recorded at fair value and unrealized gains and losses are recorded within accumulated other comprehensive income. The estimated fair value of the available for sale securities is determined based on quoted market prices. The Company evaluates securities with unrealized losses to determine whether such losses, if any, are other than temporary. Short-term investments are classified as Level 1 in fair value hierarchy. Fair values of short-term investments are determined using the unadjusted quoted prices in active markets for identical assets or liabilities that the Company has the ability to access at the balance sheet date.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2017, the Company sold the acquired short-term investments and recognized a loss of $2.3 million included in other income (expense), net in the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acquired deferred taxes of $14.5 million include a deferred tax asset of $39.7 million related to a federal net operating loss which the Company expects to utilize against income in future periods and a deferred tax asset of $16.4 million related to intangibles acquired by Derma Sciences in previous periods, offset by a deferred tax liability of $41.1 million for new intangibles for which the Company will not receive a tax benefit and a deferred tax liability of $0.5 million related to various deferred items. In the second quarter of 2017, the Company decreased the preliminary estimated value of this deferred tax liability by $1.5 million to reflect the adjustments to preliminary estimated fair values of assets and liabilities acquired. In the fourth quarter of 2017, the Company decreased the preliminary value of the deferred tax asset by $3.3 million to reflect returns filed for periods prior to the acquisition date and adjustments for expected effective state tax rates.</w:t>
      </w:r>
    </w:p>
    <w:p>
      <w:pPr>
        <w:sectPr>
          <w:pgSz w:w="11900" w:h="16838" w:orient="portrait"/>
          <w:cols w:equalWidth="0" w:num="1">
            <w:col w:w="11420"/>
          </w:cols>
          <w:pgMar w:left="240" w:top="12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Food and Drug Administration ("FDA") Untitled Letter</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LLC's ("BioD") morselized amniotic membrane-based products do not meet the criteria for regulation as human cellular tissue-based products (“HCT/Ps”) solely under Section 361 of the Public Health Service Act and that, as a result, BioD would need a biologics license to lawfully market those morselized products. Since the issuance of the Untitled Letter, BioD and more recently, the Company, has been in discussions with the FDA to communicate its disagreement with the FDA’s assertion that certain products do not fall within the HCT/Ps. The FDA has not changed its position that certain of the BioD acquired products are not eligible for marketing solely under Section 361.</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2017, the FDA issued its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 based products do not meet the criteria for regulation solely as HCT/Ps. In addition, the FDA articulated a risk-based approach to enforcement and, while some uses for amniotic membrane tissue-based products would enjoy as much as thirty-six months of enforcement discretion, other high risk uses could be subject to immediate enforcement action. The Company does not believe the uses for its amniotic membrane tissue based products fall into the high-risk category. Nonetheless, the Company can make no assurances that the FDA will continue to exercise its enforcement discretion with respect to the Company’s amniotic membrane tissue based products, and any potential action of the FDA could have a financial impact regarding the sales of such products. The Company has been considering and continues to consider regulatory approval pathways for its amniotic membrane tissue-based products. Revenues from BioD morselized amniotic material based products for the three and nine months ended September 30, 2018 and 2017 were less than 1.0% of consolidated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assumed contingent consideration incurred by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166"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former equity owners of BioD if net sales of BioD products exceed a certain amount for the twelve-month periods ending June 30, 2017 and 2018 ("BioD Earnout Payments");</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date of the acquisition, net sales used in estimating the BioD Earnout Payments was based on the weighted average of different possible scenarios using a revenue volatility of 13.5%. The BioD Earnout Payments were valued using a discount rate of 3.0%. The maximum payout related to the BioD Earnout Payments is $26.5 million. The estimated fair value as of February 24, 2017 was $9.1 million. In August 2017, the Company paid $4.8 million for the twelve-month period ending June 30, 2017 component of the BioD Earnout Payments. The Company made no additional payments after the final earn out period. As of December 31, 2017, the estimated fair value of the BioD Earnout Payments was $0.3 million.</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the date of acquisition, the Company estimated that the probability of the Product Payment was 98.0% and valued it at a discount rate of 2.5%. The maximum payout related to the Product Payment is $29.7 million. The estimated fair value as of February 24, 2017 was $26.8 million. In the second quarter of 2017, the Company adjusted the preliminary estimated fair value to increase the Product Payment by $0.9 million related to additional products that should have been included in the preliminary estimate based on the Merger Agreement. On May 25, 2017, the Company made full payment for the Product Payment of $26.6 million. The payment was included in cash used in business acquisition, net of cash acquired within investing activities in the condensed consolidated statements of cash flows since the payment was made shortly after the acquisition.</w:t>
      </w:r>
    </w:p>
    <w:p>
      <w:pPr>
        <w:spacing w:after="0" w:line="1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the acquisition, the net sales used in estimating the Medihoney Earnout Payments were based on the weighted average of different possible scenarios using revenue volatility of 27.5%. The Medihoney Earnout Payments were valued using a discount rate of 4.5%. The maximum payout related to the Medihoney Earnout Payments is $5.0 million. During the second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quarter of 2018, the Company paid $2.0 million for the Medihoney Earnout Payment. The estimated fair value as of September 30, 2018 was $0.2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as of February 24, 2017 and December 31, 2017 was $1.4 million.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fair value measurements were based on significant inputs not observed in the market and thus represented a Level 3 measurement. The contingent considerations are re-measured to fair value at each reporting date until the contingency is resolved, and those changes in fair value are recognized in earnings. Depending on the expected timing of the estimated payments, the acquisition date fair values and subsequent remeasurement could 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three and nine months ended September 30, 2017 as if the acquisitions of Codman Neurosurgery and Derma Sciences and the divestiture to Natus, which were completed by the Company during 2017, had been completed as of the beginning of 2016. The pro forma results are based upon certain assumptions and estimates, and they give effect to actual operating results prior to the acquisitions and adjustments to reflect (i) the change in interest expense, depreciation expenses, intangible asset amortization and inventory step-up, (ii) timing of recognition for certain expenses that will not be recurring in a post-acquisition period, which includes $2.9 million incurred by Derma Sciences prior to the acquisition and $2.4 million and $14.4 million incurred by Integra, for the three and nine months ended September 30, 2017, and (iii) income taxes at a rate consistent with the Company’s statutory rate at the date of the acquisitions.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62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7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62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September 30,</w:t>
            </w:r>
          </w:p>
        </w:tc>
      </w:tr>
      <w:tr>
        <w:trPr>
          <w:trHeight w:val="250"/>
        </w:trPr>
        <w:tc>
          <w:tcPr>
            <w:tcW w:w="76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7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(In thousands, except per share amounts)</w:t>
            </w:r>
          </w:p>
        </w:tc>
      </w:tr>
      <w:tr>
        <w:trPr>
          <w:trHeight w:val="256"/>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352,351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1,059,889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40"/>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9"/>
              <w:spacing w:after="0"/>
              <w:rPr>
                <w:sz w:val="20"/>
                <w:szCs w:val="20"/>
                <w:color w:val="auto"/>
              </w:rPr>
            </w:pPr>
            <w:r>
              <w:rPr>
                <w:rFonts w:ascii="Arial" w:cs="Arial" w:eastAsia="Arial" w:hAnsi="Arial"/>
                <w:sz w:val="18"/>
                <w:szCs w:val="18"/>
                <w:color w:val="auto"/>
              </w:rPr>
              <w:t>24,064</w:t>
            </w:r>
          </w:p>
        </w:tc>
      </w:tr>
      <w:tr>
        <w:trPr>
          <w:trHeight w:val="27"/>
        </w:trPr>
        <w:tc>
          <w:tcPr>
            <w:tcW w:w="7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income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0.32</w:t>
            </w:r>
          </w:p>
        </w:tc>
      </w:tr>
      <w:tr>
        <w:trPr>
          <w:trHeight w:val="27"/>
        </w:trPr>
        <w:tc>
          <w:tcPr>
            <w:tcW w:w="7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right="6740" w:firstLine="8"/>
        <w:spacing w:after="0" w:line="443"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REVENUES FROM CONTRACTS WITH CUSTOMERS </w:t>
      </w:r>
      <w:r>
        <w:rPr>
          <w:rFonts w:ascii="Arial" w:cs="Arial" w:eastAsia="Arial" w:hAnsi="Arial"/>
          <w:sz w:val="16"/>
          <w:szCs w:val="16"/>
          <w:b w:val="1"/>
          <w:bCs w:val="1"/>
          <w:i w:val="1"/>
          <w:iCs w:val="1"/>
          <w:u w:val="single" w:color="auto"/>
          <w:color w:val="auto"/>
        </w:rPr>
        <w:t>Summary of Accounting Policies on Revenue Recognition</w:t>
      </w: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from services.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30 days after the invoice date. The Company performs a review of each specific customer's creditworthiness and ability to pay prior to acceptance as a customer. Further, the Company performs periodic reviews of its customers' creditworthiness prospectively.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obligations consist mainly of transferring control of goods and services identified in the contracts, purchase orders, or invoices.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ectPr>
          <w:pgSz w:w="11900" w:h="16838" w:orient="portrait"/>
          <w:cols w:equalWidth="0" w:num="1">
            <w:col w:w="11420"/>
          </w:cols>
          <w:pgMar w:left="240" w:top="121"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the Company to review and authorize the return of a product in advance. Upon the authorization, a credit will be issued for the goods returned within a set amount of days from the shipment, which is generally ninety days.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 or services will be one year or less. The Company has no significant revenues recognized on payments expected to be received more than one year after the transfer of control of products or services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changes in the contract asset and liability balances 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asset, January 1, 2018</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3,552</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3,068</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 September 30, 2018</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3,068</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92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Contract Liability</w:t>
            </w: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7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January 1, 2018</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11,059</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4,259</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7"/>
        </w:trPr>
        <w:tc>
          <w:tcPr>
            <w:tcW w:w="40" w:type="dxa"/>
            <w:vAlign w:val="bottom"/>
          </w:tcPr>
          <w:p>
            <w:pPr>
              <w:spacing w:after="0"/>
              <w:rPr>
                <w:sz w:val="22"/>
                <w:szCs w:val="22"/>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September 30, 2018</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10,932</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the short-term portion of the contract liability of $3.6 million and the long-term portion of $7.3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the Company is expected to recognize revenue of approximately $1.1 million for the remainder of 2018, $2.8 million in 2019, $2.1 million in 2020, $1.3 million in 2021, $0.8 million in 2022, and $2.8 million thereafter.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nine months ended September 30, 2018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8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162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3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2017</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2018</w:t>
            </w: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7"/>
              </w:rPr>
              <w:t>September 30, 2017</w:t>
            </w:r>
          </w:p>
        </w:tc>
      </w:tr>
      <w:tr>
        <w:trPr>
          <w:trHeight w:val="256"/>
        </w:trPr>
        <w:tc>
          <w:tcPr>
            <w:tcW w:w="3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640" w:type="dxa"/>
            <w:vAlign w:val="bottom"/>
            <w:gridSpan w:val="4"/>
            <w:shd w:val="clear" w:color="auto" w:fill="CCEEFF"/>
          </w:tcPr>
          <w:p>
            <w:pPr>
              <w:jc w:val="right"/>
              <w:ind w:right="1074"/>
              <w:spacing w:after="0"/>
              <w:rPr>
                <w:sz w:val="20"/>
                <w:szCs w:val="20"/>
                <w:color w:val="auto"/>
              </w:rPr>
            </w:pPr>
            <w:r>
              <w:rPr>
                <w:rFonts w:ascii="Arial" w:cs="Arial" w:eastAsia="Arial" w:hAnsi="Arial"/>
                <w:sz w:val="14"/>
                <w:szCs w:val="14"/>
                <w:b w:val="1"/>
                <w:bCs w:val="1"/>
                <w:color w:val="auto"/>
              </w:rPr>
              <w:t>(amounts in thousands)</w:t>
            </w: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171,680</w:t>
            </w:r>
          </w:p>
        </w:tc>
        <w:tc>
          <w:tcPr>
            <w:tcW w:w="22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95,887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509,166</w:t>
            </w:r>
          </w:p>
        </w:tc>
        <w:tc>
          <w:tcPr>
            <w:tcW w:w="2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276,574</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Precision Tools and Instruments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68,873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205,488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204,333</w:t>
            </w: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Codman Specialty Surgical</w:t>
            </w:r>
          </w:p>
        </w:tc>
        <w:tc>
          <w:tcPr>
            <w:tcW w:w="18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239,035</w:t>
            </w:r>
          </w:p>
        </w:tc>
        <w:tc>
          <w:tcPr>
            <w:tcW w:w="2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164,760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714,654</w:t>
            </w:r>
          </w:p>
        </w:tc>
        <w:tc>
          <w:tcPr>
            <w:tcW w:w="2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480,907</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324"/>
        </w:trPr>
        <w:tc>
          <w:tcPr>
            <w:tcW w:w="3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Wound Reconstruction and Care</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78,290</w:t>
            </w:r>
          </w:p>
        </w:tc>
        <w:tc>
          <w:tcPr>
            <w:tcW w:w="22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69,667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225,003</w:t>
            </w:r>
          </w:p>
        </w:tc>
        <w:tc>
          <w:tcPr>
            <w:tcW w:w="2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194,177</w:t>
            </w: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Extremity Orthopedics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22,706</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22,912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71,244</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71,193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Private Label</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25,823</w:t>
            </w:r>
          </w:p>
        </w:tc>
        <w:tc>
          <w:tcPr>
            <w:tcW w:w="220" w:type="dxa"/>
            <w:vAlign w:val="bottom"/>
          </w:tcPr>
          <w:p>
            <w:pPr>
              <w:spacing w:after="0"/>
              <w:rPr>
                <w:sz w:val="21"/>
                <w:szCs w:val="21"/>
                <w:color w:val="auto"/>
              </w:rPr>
            </w:pP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21,495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78,225</w:t>
            </w:r>
          </w:p>
        </w:tc>
        <w:tc>
          <w:tcPr>
            <w:tcW w:w="24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73,357</w:t>
            </w: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126,819</w:t>
            </w: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114,074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374,472</w:t>
            </w:r>
          </w:p>
        </w:tc>
        <w:tc>
          <w:tcPr>
            <w:tcW w:w="2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338,727</w:t>
            </w:r>
          </w:p>
        </w:tc>
      </w:tr>
      <w:tr>
        <w:trPr>
          <w:trHeight w:val="257"/>
        </w:trPr>
        <w:tc>
          <w:tcPr>
            <w:tcW w:w="39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365,854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278,834</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1,089,126</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819,634</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Adoption of ASC Topic 606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the Company adopted Topic 606 using the modified retrospective method applied to all contracts which were not completed as of January 1, 2018.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The total assets and liabilities increased by $7.1 million and $5.2 million, respectively, as of January 1, 2018.</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impact of adoption of Topic 606 to the Company's consolidated statement of operations for the three and nine months ended September 30, 2018 was as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40" w:lineRule="exact"/>
        <w:rPr>
          <w:sz w:val="20"/>
          <w:szCs w:val="20"/>
          <w:color w:val="auto"/>
        </w:rPr>
      </w:pPr>
    </w:p>
    <w:tbl>
      <w:tblPr>
        <w:tblLayout w:type="fixed"/>
        <w:tblInd w:w="5960" w:type="dxa"/>
        <w:tblCellMar>
          <w:top w:w="0" w:type="dxa"/>
          <w:left w:w="0" w:type="dxa"/>
          <w:bottom w:w="0" w:type="dxa"/>
          <w:right w:w="0" w:type="dxa"/>
        </w:tblCellMar>
      </w:tblPr>
      <w:tr>
        <w:trPr>
          <w:trHeight w:val="192"/>
        </w:trPr>
        <w:tc>
          <w:tcPr>
            <w:tcW w:w="2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7"/>
              </w:rPr>
              <w:t>Three Months Ended September 30, 2018</w:t>
            </w:r>
          </w:p>
        </w:tc>
        <w:tc>
          <w:tcPr>
            <w:tcW w:w="2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6"/>
              </w:rPr>
              <w:t>Nine Months Ended September 30, 2018</w:t>
            </w:r>
          </w:p>
        </w:tc>
        <w:tc>
          <w:tcPr>
            <w:tcW w:w="0" w:type="dxa"/>
            <w:vAlign w:val="bottom"/>
          </w:tcPr>
          <w:p>
            <w:pPr>
              <w:spacing w:after="0"/>
              <w:rPr>
                <w:sz w:val="1"/>
                <w:szCs w:val="1"/>
                <w:color w:val="auto"/>
              </w:rPr>
            </w:pPr>
          </w:p>
        </w:tc>
      </w:tr>
      <w:tr>
        <w:trPr>
          <w:trHeight w:val="152"/>
        </w:trPr>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As Reported</w:t>
            </w:r>
          </w:p>
        </w:tc>
        <w:tc>
          <w:tcPr>
            <w:tcW w:w="1540" w:type="dxa"/>
            <w:vAlign w:val="bottom"/>
          </w:tcPr>
          <w:p>
            <w:pPr>
              <w:jc w:val="center"/>
              <w:ind w:left="8"/>
              <w:spacing w:after="0" w:line="153" w:lineRule="exact"/>
              <w:rPr>
                <w:sz w:val="20"/>
                <w:szCs w:val="20"/>
                <w:color w:val="auto"/>
              </w:rPr>
            </w:pPr>
            <w:r>
              <w:rPr>
                <w:rFonts w:ascii="Arial" w:cs="Arial" w:eastAsia="Arial" w:hAnsi="Arial"/>
                <w:sz w:val="14"/>
                <w:szCs w:val="14"/>
                <w:b w:val="1"/>
                <w:bCs w:val="1"/>
                <w:color w:val="auto"/>
                <w:w w:val="94"/>
              </w:rPr>
              <w:t>Excluding Impact of</w:t>
            </w:r>
          </w:p>
        </w:tc>
        <w:tc>
          <w:tcPr>
            <w:tcW w:w="12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As Reported</w:t>
            </w:r>
          </w:p>
        </w:tc>
        <w:tc>
          <w:tcPr>
            <w:tcW w:w="1480" w:type="dxa"/>
            <w:vAlign w:val="bottom"/>
          </w:tcPr>
          <w:p>
            <w:pPr>
              <w:jc w:val="center"/>
              <w:ind w:left="48"/>
              <w:spacing w:after="0" w:line="153" w:lineRule="exact"/>
              <w:rPr>
                <w:sz w:val="20"/>
                <w:szCs w:val="20"/>
                <w:color w:val="auto"/>
              </w:rPr>
            </w:pPr>
            <w:r>
              <w:rPr>
                <w:rFonts w:ascii="Arial" w:cs="Arial" w:eastAsia="Arial" w:hAnsi="Arial"/>
                <w:sz w:val="14"/>
                <w:szCs w:val="14"/>
                <w:b w:val="1"/>
                <w:bCs w:val="1"/>
                <w:color w:val="auto"/>
                <w:w w:val="93"/>
              </w:rPr>
              <w:t>Excluding Impact of</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9"/>
              </w:rPr>
              <w:t>Topic 606</w:t>
            </w:r>
          </w:p>
        </w:tc>
        <w:tc>
          <w:tcPr>
            <w:tcW w:w="12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Statement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280"/>
              <w:spacing w:after="0"/>
              <w:rPr>
                <w:sz w:val="20"/>
                <w:szCs w:val="20"/>
                <w:color w:val="auto"/>
              </w:rPr>
            </w:pPr>
            <w:r>
              <w:rPr>
                <w:rFonts w:ascii="Arial" w:cs="Arial" w:eastAsia="Arial" w:hAnsi="Arial"/>
                <w:sz w:val="18"/>
                <w:szCs w:val="18"/>
                <w:color w:val="auto"/>
              </w:rPr>
              <w:t>Total revenue, net</w:t>
            </w:r>
          </w:p>
        </w:tc>
        <w:tc>
          <w:tcPr>
            <w:tcW w:w="2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365,854</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368,990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1,089,126</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1,089,153</w:t>
            </w:r>
          </w:p>
        </w:tc>
      </w:tr>
      <w:tr>
        <w:trPr>
          <w:trHeight w:val="27"/>
        </w:trPr>
        <w:tc>
          <w:tcPr>
            <w:tcW w:w="38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w:t>
            </w:r>
          </w:p>
        </w:tc>
        <w:tc>
          <w:tcPr>
            <w:tcW w:w="2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143,245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143,918</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425,032</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424,969</w:t>
            </w: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2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(2,271)</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(1,092)</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(2,776)</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(2,754)</w:t>
            </w:r>
          </w:p>
        </w:tc>
      </w:tr>
      <w:tr>
        <w:trPr>
          <w:trHeight w:val="27"/>
        </w:trPr>
        <w:tc>
          <w:tcPr>
            <w:tcW w:w="38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5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13,295</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14,579</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35,663</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35,731</w:t>
            </w:r>
          </w:p>
        </w:tc>
      </w:tr>
      <w:tr>
        <w:trPr>
          <w:trHeight w:val="27"/>
        </w:trPr>
        <w:tc>
          <w:tcPr>
            <w:tcW w:w="380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Topic 606 had no significant impact on the Company's consolidated balance sheet as of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2017</w:t>
            </w: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183,669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51,933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58,637</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55,244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47,595</w:t>
            </w:r>
          </w:p>
        </w:tc>
      </w:tr>
      <w:tr>
        <w:trPr>
          <w:trHeight w:val="237"/>
        </w:trPr>
        <w:tc>
          <w:tcPr>
            <w:tcW w:w="7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290,846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296,332</w:t>
            </w: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nine-month period ended September 30, 2018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Codman Specialty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Surgical</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634,767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303,138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937,905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Codman acquisition measurement period adjustments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Goodwill at September 30,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625,689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300,680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926,369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3"/>
              </w:rPr>
              <w:t>September 30, 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7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19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855,799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(156,157)</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699,642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6"/>
              </w:rPr>
              <w:t>13 years</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232,083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(102,618)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129,465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104,347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79,444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720" w:type="dxa"/>
            <w:vAlign w:val="bottom"/>
          </w:tcPr>
          <w:p>
            <w:pPr>
              <w:jc w:val="center"/>
              <w:ind w:right="135"/>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162,900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162,900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18,559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8"/>
              </w:rPr>
              <w:t>4 years</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11,019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7,249</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1,400,869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(303,610)</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1,097,259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2017</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2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Life</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19 years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869,174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(124,096)</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745,078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20" w:type="dxa"/>
            <w:vAlign w:val="bottom"/>
          </w:tcPr>
          <w:p>
            <w:pPr>
              <w:jc w:val="center"/>
              <w:ind w:right="136"/>
              <w:spacing w:after="0"/>
              <w:rPr>
                <w:sz w:val="20"/>
                <w:szCs w:val="20"/>
                <w:color w:val="auto"/>
              </w:rPr>
            </w:pPr>
            <w:r>
              <w:rPr>
                <w:rFonts w:ascii="Arial" w:cs="Arial" w:eastAsia="Arial" w:hAnsi="Arial"/>
                <w:sz w:val="18"/>
                <w:szCs w:val="18"/>
                <w:color w:val="auto"/>
                <w:w w:val="86"/>
              </w:rPr>
              <w:t>13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233,430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(91,961)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141,469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104,879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82,586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620" w:type="dxa"/>
            <w:vAlign w:val="bottom"/>
          </w:tcPr>
          <w:p>
            <w:pPr>
              <w:jc w:val="center"/>
              <w:ind w:right="156"/>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162,900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162,900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19,629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620" w:type="dxa"/>
            <w:vAlign w:val="bottom"/>
          </w:tcPr>
          <w:p>
            <w:pPr>
              <w:jc w:val="center"/>
              <w:ind w:right="136"/>
              <w:spacing w:after="0"/>
              <w:rPr>
                <w:sz w:val="20"/>
                <w:szCs w:val="20"/>
                <w:color w:val="auto"/>
              </w:rPr>
            </w:pPr>
            <w:r>
              <w:rPr>
                <w:rFonts w:ascii="Arial" w:cs="Arial" w:eastAsia="Arial" w:hAnsi="Arial"/>
                <w:sz w:val="18"/>
                <w:szCs w:val="18"/>
                <w:color w:val="auto"/>
                <w:w w:val="88"/>
              </w:rPr>
              <w:t>4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11,511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1,416,615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(256,988)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1,159,627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with Indefinite Lives</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tests goodwill and intangible assets with indefinite lives for impairment annually in the third quarter in accordance with ASC Topic 350. Additionally, the Company may perform interim tests if an event occurs or circumstances change that could potentially reduce the fair value of a reporting unit or indefinite lived intangible asset below its carrying amount. The carrying value of each reporting unit is determined by assigning the assets and liabilities, including the existing goodwill and intangible assets, to those reporting units.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tests goodwill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assessment for some or all of its reporting units and perform a quantitative test.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goodwill, the Company elected to bypass the qualitative assessment for its three reporting units and perform a quantitative test during the third quarter of 2018. In performing this test, the Company utilized a discount rate of 9.0%. The assumptions used in evaluating goodwill for impairment are subject to change and are tracked against historical results by management. Based on the results of this quantitative test, the Company recorded no impairment of goodwill.</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intangible assets with indefinite lives, the Company elected to bypass the qualitative assessment for its Codman Tradename intangible asset and perform a quantitative test during the third quarter 2018. In performing this test, the Company utilized a discount rate of 13.0%. The assumptions used in evaluating the Codman Tradename for impairment are subject to change and are tracked against historical results by management. Based on the results of the quantitative test, the Company recorded no impairment to the Codman Tradename intangible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Definite Lived Intangible Assets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Product rights and other definite-lived intangible assets are tested periodically for impairment in accordance with ASC Topic 360 when events or changes in circumstances indicate that an asset’s carrying value may not be recoverable. The impairment testing involves comparing the carrying amount of the asset or asset group to the forecasted undiscounted future cash flows. In the event the carrying value of the asset exceeds the undiscounted future cash flows, the carrying value is considered not recoverable and an impairment exists. An impairment loss is measured as the excess of the asset’s carrying value over its fair value, calculated using discounted future cash flows. The computed impairment loss is recognized in the period that the impairment occurs.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2018, the Company recorded an impairment charge of $4.9 million in cost of goods sold related to completed technology assets acquired from Koby Ventures II, L.P dba Metasurg ("Metasurg Technology") due to recent contract negotiations and revised future projections. The remaining net book value of these intangible assets total $2.3 million as of September 30, 2018. Metasurg Technology is included in the Orthopedic and Tissue Technology segment. Of the total impairment charge of $4.9 million, $2.5 million was related to an out-of-period adjustment included in the three and nine months ended September 30, 2018. The out-of-period adjustment is attributed to the timing of performing the impairment test based on the contract termination associated with the intangible asset. The Company determined that the adjustment was not material to the consolidated financial statements for any previously reported annual or interim period and the adjustment to correct the misstatements is not material to the three or nine months ended September 30,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the Company recorded an impairment charge of $3.3 million in cost of goods sold related to completed technology assets acquired from Tarsus Medical, Inc. ("Tarsus Technology"), since the underlying product will no longer be sold. Tarsus Technology was included in the Orthopedic and Tissue Technology segment.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IPR&amp;D) is expected to be approximately $71.6 million in 2018, $66.4 million in 2019, $66.2 million in 2020, $65.2 million in 2021, $61.7 million in 2022, $60.8 million in 2023 and $599.3 million thereafter. Identifiable intangible assets are initially recorded at fair market value at the time of acquisition using an income or cost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2018, the Company entered into the fifth amendment and restatement (the "May 2018 Amendment") of its Senior Credit Facility (the "Senior Credit Facility") with a syndicate of lending banks with Bank of America, N.A., as Administrative Agent. The May 2018 Amendment extended the maturity date to May 3, 2023 and decreased the applicable rate, as described below. The Company continues to have the aggregate principal amount of $2.2 billion available to it through the following facilities:</w:t>
      </w:r>
    </w:p>
    <w:p>
      <w:pPr>
        <w:spacing w:after="0" w:line="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$900.0 million Term Loan facility;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$1.3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May 2018 Amendment, the Company’s maximum consolidated total leverage ratio in the financial covenants (as defined in the Senior Credit Facility) was modified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Fiscal Quarter</w:t>
            </w:r>
          </w:p>
        </w:tc>
        <w:tc>
          <w:tcPr>
            <w:tcW w:w="5700" w:type="dxa"/>
            <w:vAlign w:val="bottom"/>
          </w:tcPr>
          <w:p>
            <w:pPr>
              <w:ind w:left="1100"/>
              <w:spacing w:after="0"/>
              <w:rPr>
                <w:sz w:val="20"/>
                <w:szCs w:val="20"/>
                <w:color w:val="auto"/>
              </w:rPr>
            </w:pPr>
            <w:r>
              <w:rPr>
                <w:rFonts w:ascii="Arial" w:cs="Arial" w:eastAsia="Arial" w:hAnsi="Arial"/>
                <w:sz w:val="18"/>
                <w:szCs w:val="18"/>
                <w:b w:val="1"/>
                <w:bCs w:val="1"/>
                <w:color w:val="auto"/>
              </w:rPr>
              <w:t>Maximum Consolidated Total Leverage Ratio</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358"/>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Execution of May 2018 Amendment through March 31, 2019</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5.50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June 30, 2019 through March 31, 2020</w:t>
            </w: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 : 1.00</w:t>
            </w:r>
          </w:p>
        </w:tc>
      </w:tr>
      <w:tr>
        <w:trPr>
          <w:trHeight w:val="243"/>
        </w:trPr>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June 30, 2020 through March 31, 2021</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4.50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30, 2021 and thereafter</w:t>
            </w:r>
          </w:p>
        </w:tc>
        <w:tc>
          <w:tcPr>
            <w:tcW w:w="5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 : 1.00.</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Eurodollar Rate (as defined in the Senior Credit Facility) in effect from time to time plus the applicable rate (ranging from 1.00% to 1.75%), or</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plus the applicable rate (ranging from 0% to 0.75%),</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prime lending rate of Bank of America, N.A. plus the applicable rate (ranging from 0% to 0.75%),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one-month Eurodollar Rate plus 1.00% plus the applicable rate (ranging from 0% to 0.75%).</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less cash that is not subject to any restriction on the use or investment thereof to (b) consolidated EBITDA at the time of the applicable borrowing).</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September 30, 2018, the Company was in compliance with all such covenants. The Company capitalized $0.5 million of incremental financing costs in 2017 in connection with modifications to the Senior Credit Facility. In connection with the May 2018 Amendment, the Company capitalized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$4.2 million of financing costs and wrote off $0.8 million of previously capitalized financing costs during the second quarter of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Company capitalized $19.1 million of incremental financing costs related to the drawing of the Term Loan A-1 component of the Senior Credit Facility.</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2018 and December 31, 2017, there were $545.0 million and $655.0 million outstanding, respectively, under the revolving credit component of the Senior Credit Facility at weighted average interest rates of 3.8% and 3.7%, respectively. At September 30, 2018 and December 31, 2017, there were $900.0 million and $1.2 billion outstanding, respectively, under the Term Loan component of the Senior Credit Facility at weighted average interest rates of 3.7% and 3.6%, respectively. At September 30, 2018, there was approximately $754.4 million available for borrowing under the Senior Credit Facility. At September 30, 2018, $11.3 million of the Term Loan component of the Senior Credit Facility is classified as current on the consolidated balance sheet.</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outstanding borrowings of the Senior Credit Facility's revolving credit and Term Loan components at September 30, 2018 was approximately $524.1 million and, $875.4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outstanding as of September 30, 2018 and December 31, 2017 totaled $0.6 million. There were no amounts drawn as of September 30,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gridSpan w:val="3"/>
          </w:tcPr>
          <w:p>
            <w:pPr>
              <w:jc w:val="right"/>
              <w:ind w:right="424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69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2019</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22,500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2021</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56,250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67,500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708,750</w:t>
            </w:r>
          </w:p>
        </w:tc>
      </w:tr>
      <w:tr>
        <w:trPr>
          <w:trHeight w:val="27"/>
        </w:trPr>
        <w:tc>
          <w:tcPr>
            <w:tcW w:w="25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692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May 3,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 The Company held the following interest rate swaps as of September 30, 2018 (amounts in thousands):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Fixed</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82"/>
        </w:trPr>
        <w:tc>
          <w:tcPr>
            <w:tcW w:w="192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Hedged Item</w:t>
            </w:r>
          </w:p>
        </w:tc>
        <w:tc>
          <w:tcPr>
            <w:tcW w:w="1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Designation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Effective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 Date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Interest Rate</w:t>
            </w:r>
          </w:p>
        </w:tc>
        <w:tc>
          <w:tcPr>
            <w:tcW w:w="1680" w:type="dxa"/>
            <w:vAlign w:val="bottom"/>
            <w:gridSpan w:val="2"/>
          </w:tcPr>
          <w:p>
            <w:pPr>
              <w:ind w:left="400"/>
              <w:spacing w:after="0"/>
              <w:rPr>
                <w:sz w:val="20"/>
                <w:szCs w:val="20"/>
                <w:color w:val="auto"/>
              </w:rPr>
            </w:pPr>
            <w:r>
              <w:rPr>
                <w:rFonts w:ascii="Arial" w:cs="Arial" w:eastAsia="Arial" w:hAnsi="Arial"/>
                <w:sz w:val="14"/>
                <w:szCs w:val="14"/>
                <w:b w:val="1"/>
                <w:bCs w:val="1"/>
                <w:color w:val="auto"/>
              </w:rPr>
              <w:t>Floating Rate</w:t>
            </w:r>
          </w:p>
        </w:tc>
        <w:tc>
          <w:tcPr>
            <w:tcW w:w="140" w:type="dxa"/>
            <w:vAlign w:val="bottom"/>
          </w:tcPr>
          <w:p>
            <w:pPr>
              <w:spacing w:after="0"/>
              <w:rPr>
                <w:sz w:val="15"/>
                <w:szCs w:val="15"/>
                <w:color w:val="auto"/>
              </w:rPr>
            </w:pPr>
          </w:p>
        </w:tc>
        <w:tc>
          <w:tcPr>
            <w:tcW w:w="86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3"/>
        </w:trPr>
        <w:tc>
          <w:tcPr>
            <w:tcW w:w="1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82"/>
        </w:trPr>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91"/>
              </w:rPr>
              <w:t>(Liabilities)</w:t>
            </w:r>
          </w:p>
        </w:tc>
        <w:tc>
          <w:tcPr>
            <w:tcW w:w="0" w:type="dxa"/>
            <w:vAlign w:val="bottom"/>
          </w:tcPr>
          <w:p>
            <w:pPr>
              <w:spacing w:after="0"/>
              <w:rPr>
                <w:sz w:val="1"/>
                <w:szCs w:val="1"/>
                <w:color w:val="auto"/>
              </w:rPr>
            </w:pPr>
          </w:p>
        </w:tc>
      </w:tr>
      <w:tr>
        <w:trPr>
          <w:trHeight w:val="250"/>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21"/>
                <w:szCs w:val="21"/>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July 12,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2019</w:t>
            </w:r>
          </w:p>
        </w:tc>
        <w:tc>
          <w:tcPr>
            <w:tcW w:w="820" w:type="dxa"/>
            <w:vAlign w:val="bottom"/>
          </w:tcPr>
          <w:p>
            <w:pPr>
              <w:jc w:val="right"/>
              <w:spacing w:after="0"/>
              <w:rPr>
                <w:sz w:val="20"/>
                <w:szCs w:val="20"/>
                <w:color w:val="auto"/>
              </w:rPr>
            </w:pPr>
            <w:r>
              <w:rPr>
                <w:rFonts w:ascii="Arial" w:cs="Arial" w:eastAsia="Arial" w:hAnsi="Arial"/>
                <w:sz w:val="14"/>
                <w:szCs w:val="14"/>
                <w:color w:val="auto"/>
              </w:rPr>
              <w:t>0.825%</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2020</w:t>
            </w:r>
          </w:p>
        </w:tc>
        <w:tc>
          <w:tcPr>
            <w:tcW w:w="820" w:type="dxa"/>
            <w:vAlign w:val="bottom"/>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2,342</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4,322</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4,277</w:t>
            </w:r>
          </w:p>
        </w:tc>
        <w:tc>
          <w:tcPr>
            <w:tcW w:w="0" w:type="dxa"/>
            <w:vAlign w:val="bottom"/>
          </w:tcPr>
          <w:p>
            <w:pPr>
              <w:spacing w:after="0"/>
              <w:rPr>
                <w:sz w:val="1"/>
                <w:szCs w:val="1"/>
                <w:color w:val="auto"/>
              </w:rPr>
            </w:pPr>
          </w:p>
        </w:tc>
      </w:tr>
      <w:tr>
        <w:trPr>
          <w:trHeight w:val="263"/>
        </w:trPr>
        <w:tc>
          <w:tcPr>
            <w:tcW w:w="192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Pr>
          <w:p>
            <w:pPr>
              <w:spacing w:after="0"/>
              <w:rPr>
                <w:sz w:val="22"/>
                <w:szCs w:val="22"/>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July 1, 2019</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June 30, 2024</w:t>
            </w:r>
          </w:p>
        </w:tc>
        <w:tc>
          <w:tcPr>
            <w:tcW w:w="820" w:type="dxa"/>
            <w:vAlign w:val="bottom"/>
          </w:tcPr>
          <w:p>
            <w:pPr>
              <w:jc w:val="right"/>
              <w:spacing w:after="0"/>
              <w:rPr>
                <w:sz w:val="20"/>
                <w:szCs w:val="20"/>
                <w:color w:val="auto"/>
              </w:rPr>
            </w:pPr>
            <w:r>
              <w:rPr>
                <w:rFonts w:ascii="Arial" w:cs="Arial" w:eastAsia="Arial" w:hAnsi="Arial"/>
                <w:sz w:val="14"/>
                <w:szCs w:val="14"/>
                <w:color w:val="auto"/>
              </w:rPr>
              <w:t>2.423%</w:t>
            </w:r>
          </w:p>
        </w:tc>
        <w:tc>
          <w:tcPr>
            <w:tcW w:w="1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2,786</w:t>
            </w:r>
          </w:p>
        </w:tc>
        <w:tc>
          <w:tcPr>
            <w:tcW w:w="0" w:type="dxa"/>
            <w:vAlign w:val="bottom"/>
          </w:tcPr>
          <w:p>
            <w:pPr>
              <w:spacing w:after="0"/>
              <w:rPr>
                <w:sz w:val="1"/>
                <w:szCs w:val="1"/>
                <w:color w:val="auto"/>
              </w:rPr>
            </w:pPr>
          </w:p>
        </w:tc>
      </w:tr>
      <w:tr>
        <w:trPr>
          <w:trHeight w:val="277"/>
        </w:trPr>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7"/>
              </w:rPr>
              <w:t>July 1, 2019</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3"/>
              </w:rPr>
              <w:t>June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64"/>
        </w:trPr>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1-month USD LIBOR Loan</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200,000</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85"/>
              </w:rPr>
              <w:t>January 1, 2018</w:t>
            </w:r>
          </w:p>
        </w:tc>
        <w:tc>
          <w:tcPr>
            <w:tcW w:w="15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86"/>
              </w:rPr>
              <w:t>December 31, 2024</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2.313%</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1-month USD LIBOR</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7,174</w:t>
            </w:r>
          </w:p>
        </w:tc>
        <w:tc>
          <w:tcPr>
            <w:tcW w:w="0" w:type="dxa"/>
            <w:vAlign w:val="bottom"/>
          </w:tcPr>
          <w:p>
            <w:pPr>
              <w:spacing w:after="0"/>
              <w:rPr>
                <w:sz w:val="1"/>
                <w:szCs w:val="1"/>
                <w:color w:val="auto"/>
              </w:rPr>
            </w:pPr>
          </w:p>
        </w:tc>
      </w:tr>
      <w:tr>
        <w:trPr>
          <w:trHeight w:val="151"/>
        </w:trPr>
        <w:tc>
          <w:tcPr>
            <w:tcW w:w="1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Total interest rate derivatives</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designated as cash flow</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9"/>
              </w:rPr>
              <w:t>1,050,000</w:t>
            </w: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26,929</w:t>
            </w:r>
          </w:p>
        </w:tc>
        <w:tc>
          <w:tcPr>
            <w:tcW w:w="0" w:type="dxa"/>
            <w:vAlign w:val="bottom"/>
          </w:tcPr>
          <w:p>
            <w:pPr>
              <w:spacing w:after="0"/>
              <w:rPr>
                <w:sz w:val="1"/>
                <w:szCs w:val="1"/>
                <w:color w:val="auto"/>
              </w:rPr>
            </w:pPr>
          </w:p>
        </w:tc>
      </w:tr>
      <w:tr>
        <w:trPr>
          <w:trHeight w:val="173"/>
        </w:trPr>
        <w:tc>
          <w:tcPr>
            <w:tcW w:w="1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hedge</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 On October 10, 2018, the Company entered into additional interest rate swap derivative instruments designated as cash flow hedges with a total notional amount of $225.0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until the hedged item affects earnings. Once the related hedged item affects earnings, the Company reclassifies amounts recorded in AOCI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28, 2017, the Company entered into a foreign currency forward contract, with a notional amount of $8.9 million, to mitigate the foreign currency exchange risk related to a certain intercompany loan denominated in Swiss Francs ("CHF"). The contract is not designated as a hedging instrument. For the three and nine months ended September 30, 2018, the Company recognized a $0.2 million loss from the change in fair value of the contract, which was included in other income (expense), net in the consolidated statement of operations. The foreign currency forward contract was settled on September 28,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Cross-Currency Rate Swap</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 2017, the Company entered into cross-currency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September 30, 2018 (dollar amounts in thousands):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4"/>
                <w:szCs w:val="14"/>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18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Aggregate Notional</w:t>
            </w:r>
          </w:p>
        </w:tc>
        <w:tc>
          <w:tcPr>
            <w:tcW w:w="440" w:type="dxa"/>
            <w:vAlign w:val="bottom"/>
          </w:tcPr>
          <w:p>
            <w:pPr>
              <w:spacing w:after="0"/>
              <w:rPr>
                <w:sz w:val="14"/>
                <w:szCs w:val="14"/>
                <w:color w:val="auto"/>
              </w:rPr>
            </w:pPr>
          </w:p>
        </w:tc>
        <w:tc>
          <w:tcPr>
            <w:tcW w:w="1720" w:type="dxa"/>
            <w:vAlign w:val="bottom"/>
          </w:tcPr>
          <w:p>
            <w:pPr>
              <w:jc w:val="right"/>
              <w:ind w:right="6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6"/>
                <w:szCs w:val="16"/>
                <w:color w:val="auto"/>
              </w:rPr>
            </w:pPr>
          </w:p>
        </w:tc>
        <w:tc>
          <w:tcPr>
            <w:tcW w:w="1720" w:type="dxa"/>
            <w:vAlign w:val="bottom"/>
          </w:tcPr>
          <w:p>
            <w:pPr>
              <w:jc w:val="right"/>
              <w:ind w:right="736"/>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9"/>
        </w:trPr>
        <w:tc>
          <w:tcPr>
            <w:tcW w:w="3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40" w:type="dxa"/>
            <w:vAlign w:val="bottom"/>
            <w:shd w:val="clear" w:color="auto" w:fill="BFE4FF"/>
          </w:tcPr>
          <w:p>
            <w:pPr>
              <w:spacing w:after="0"/>
              <w:rPr>
                <w:sz w:val="21"/>
                <w:szCs w:val="21"/>
                <w:color w:val="auto"/>
              </w:rPr>
            </w:pPr>
          </w:p>
        </w:tc>
        <w:tc>
          <w:tcPr>
            <w:tcW w:w="136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2020</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97,065</w:t>
            </w:r>
          </w:p>
        </w:tc>
        <w:tc>
          <w:tcPr>
            <w:tcW w:w="440" w:type="dxa"/>
            <w:vAlign w:val="bottom"/>
            <w:vMerge w:val="restart"/>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135"/>
        </w:trPr>
        <w:tc>
          <w:tcPr>
            <w:tcW w:w="320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40" w:type="dxa"/>
            <w:vAlign w:val="bottom"/>
            <w:shd w:val="clear" w:color="auto" w:fill="BFE4FF"/>
          </w:tcPr>
          <w:p>
            <w:pPr>
              <w:spacing w:after="0"/>
              <w:rPr>
                <w:sz w:val="11"/>
                <w:szCs w:val="11"/>
                <w:color w:val="auto"/>
              </w:rPr>
            </w:pPr>
          </w:p>
        </w:tc>
        <w:tc>
          <w:tcPr>
            <w:tcW w:w="136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4.38%</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100,000</w:t>
            </w:r>
          </w:p>
        </w:tc>
        <w:tc>
          <w:tcPr>
            <w:tcW w:w="440" w:type="dxa"/>
            <w:vAlign w:val="bottom"/>
            <w:vMerge w:val="continue"/>
            <w:shd w:val="clear" w:color="auto" w:fill="BFE4FF"/>
          </w:tcPr>
          <w:p>
            <w:pPr>
              <w:spacing w:after="0"/>
              <w:rPr>
                <w:sz w:val="11"/>
                <w:szCs w:val="11"/>
                <w:color w:val="auto"/>
              </w:rPr>
            </w:pPr>
          </w:p>
        </w:tc>
        <w:tc>
          <w:tcPr>
            <w:tcW w:w="172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BFE4FF"/>
            </w:tcBorders>
            <w:vMerge w:val="continue"/>
            <w:shd w:val="clear" w:color="auto" w:fill="BFE4FF"/>
          </w:tcPr>
          <w:p>
            <w:pPr>
              <w:spacing w:after="0"/>
              <w:rPr>
                <w:sz w:val="12"/>
                <w:szCs w:val="12"/>
                <w:color w:val="auto"/>
              </w:rPr>
            </w:pPr>
          </w:p>
        </w:tc>
        <w:tc>
          <w:tcPr>
            <w:tcW w:w="140" w:type="dxa"/>
            <w:vAlign w:val="bottom"/>
            <w:tcBorders>
              <w:bottom w:val="single" w:sz="8" w:color="BFE4FF"/>
            </w:tcBorders>
            <w:shd w:val="clear" w:color="auto" w:fill="BFE4FF"/>
          </w:tcPr>
          <w:p>
            <w:pPr>
              <w:spacing w:after="0"/>
              <w:rPr>
                <w:sz w:val="12"/>
                <w:szCs w:val="12"/>
                <w:color w:val="auto"/>
              </w:rPr>
            </w:pPr>
          </w:p>
        </w:tc>
        <w:tc>
          <w:tcPr>
            <w:tcW w:w="124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820" w:type="dxa"/>
            <w:vAlign w:val="bottom"/>
            <w:tcBorders>
              <w:bottom w:val="single" w:sz="8" w:color="BFE4FF"/>
            </w:tcBorders>
            <w:vMerge w:val="continue"/>
            <w:shd w:val="clear" w:color="auto" w:fill="BFE4FF"/>
          </w:tcPr>
          <w:p>
            <w:pPr>
              <w:spacing w:after="0"/>
              <w:rPr>
                <w:sz w:val="12"/>
                <w:szCs w:val="12"/>
                <w:color w:val="auto"/>
              </w:rPr>
            </w:pPr>
          </w:p>
        </w:tc>
        <w:tc>
          <w:tcPr>
            <w:tcW w:w="980" w:type="dxa"/>
            <w:vAlign w:val="bottom"/>
            <w:tcBorders>
              <w:bottom w:val="single" w:sz="8" w:color="BFE4FF"/>
            </w:tcBorders>
            <w:vMerge w:val="continue"/>
            <w:shd w:val="clear" w:color="auto" w:fill="BFE4FF"/>
          </w:tcPr>
          <w:p>
            <w:pPr>
              <w:spacing w:after="0"/>
              <w:rPr>
                <w:sz w:val="12"/>
                <w:szCs w:val="12"/>
                <w:color w:val="auto"/>
              </w:rPr>
            </w:pPr>
          </w:p>
        </w:tc>
        <w:tc>
          <w:tcPr>
            <w:tcW w:w="440" w:type="dxa"/>
            <w:vAlign w:val="bottom"/>
            <w:tcBorders>
              <w:bottom w:val="single" w:sz="8" w:color="BFE4FF"/>
            </w:tcBorders>
            <w:shd w:val="clear" w:color="auto" w:fill="BFE4FF"/>
          </w:tcPr>
          <w:p>
            <w:pPr>
              <w:spacing w:after="0"/>
              <w:rPr>
                <w:sz w:val="12"/>
                <w:szCs w:val="12"/>
                <w:color w:val="auto"/>
              </w:rPr>
            </w:pPr>
          </w:p>
        </w:tc>
        <w:tc>
          <w:tcPr>
            <w:tcW w:w="1720" w:type="dxa"/>
            <w:vAlign w:val="bottom"/>
            <w:tcBorders>
              <w:bottom w:val="single" w:sz="8" w:color="BFE4FF"/>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40" w:type="dxa"/>
            <w:vAlign w:val="bottom"/>
            <w:shd w:val="clear" w:color="auto" w:fill="BFE4FF"/>
          </w:tcPr>
          <w:p>
            <w:pPr>
              <w:spacing w:after="0"/>
              <w:rPr>
                <w:sz w:val="21"/>
                <w:szCs w:val="21"/>
                <w:color w:val="auto"/>
              </w:rPr>
            </w:pPr>
          </w:p>
        </w:tc>
        <w:tc>
          <w:tcPr>
            <w:tcW w:w="136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2021</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48,533</w:t>
            </w:r>
          </w:p>
        </w:tc>
        <w:tc>
          <w:tcPr>
            <w:tcW w:w="440" w:type="dxa"/>
            <w:vAlign w:val="bottom"/>
            <w:shd w:val="clear" w:color="auto" w:fill="BFE4FF"/>
          </w:tcPr>
          <w:p>
            <w:pPr>
              <w:spacing w:after="0"/>
              <w:rPr>
                <w:sz w:val="21"/>
                <w:szCs w:val="21"/>
                <w:color w:val="auto"/>
              </w:rPr>
            </w:pPr>
          </w:p>
        </w:tc>
        <w:tc>
          <w:tcPr>
            <w:tcW w:w="172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135"/>
        </w:trPr>
        <w:tc>
          <w:tcPr>
            <w:tcW w:w="320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40" w:type="dxa"/>
            <w:vAlign w:val="bottom"/>
            <w:shd w:val="clear" w:color="auto" w:fill="BFE4FF"/>
          </w:tcPr>
          <w:p>
            <w:pPr>
              <w:spacing w:after="0"/>
              <w:rPr>
                <w:sz w:val="11"/>
                <w:szCs w:val="11"/>
                <w:color w:val="auto"/>
              </w:rPr>
            </w:pPr>
          </w:p>
        </w:tc>
        <w:tc>
          <w:tcPr>
            <w:tcW w:w="136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BFE4FF"/>
          </w:tcPr>
          <w:p>
            <w:pPr>
              <w:spacing w:after="0"/>
              <w:rPr>
                <w:sz w:val="11"/>
                <w:szCs w:val="11"/>
                <w:color w:val="auto"/>
              </w:rPr>
            </w:pPr>
          </w:p>
        </w:tc>
        <w:tc>
          <w:tcPr>
            <w:tcW w:w="172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00" w:type="dxa"/>
            <w:vAlign w:val="bottom"/>
            <w:tcBorders>
              <w:bottom w:val="single" w:sz="8" w:color="BFE4FF"/>
            </w:tcBorders>
            <w:vMerge w:val="continue"/>
            <w:shd w:val="clear" w:color="auto" w:fill="BFE4FF"/>
          </w:tcPr>
          <w:p>
            <w:pPr>
              <w:spacing w:after="0"/>
              <w:rPr>
                <w:sz w:val="12"/>
                <w:szCs w:val="12"/>
                <w:color w:val="auto"/>
              </w:rPr>
            </w:pPr>
          </w:p>
        </w:tc>
        <w:tc>
          <w:tcPr>
            <w:tcW w:w="140" w:type="dxa"/>
            <w:vAlign w:val="bottom"/>
            <w:tcBorders>
              <w:bottom w:val="single" w:sz="8" w:color="BFE4FF"/>
            </w:tcBorders>
            <w:shd w:val="clear" w:color="auto" w:fill="BFE4FF"/>
          </w:tcPr>
          <w:p>
            <w:pPr>
              <w:spacing w:after="0"/>
              <w:rPr>
                <w:sz w:val="12"/>
                <w:szCs w:val="12"/>
                <w:color w:val="auto"/>
              </w:rPr>
            </w:pPr>
          </w:p>
        </w:tc>
        <w:tc>
          <w:tcPr>
            <w:tcW w:w="124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1260" w:type="dxa"/>
            <w:vAlign w:val="bottom"/>
            <w:tcBorders>
              <w:bottom w:val="single" w:sz="8" w:color="BFE4FF"/>
            </w:tcBorders>
            <w:vMerge w:val="continue"/>
            <w:shd w:val="clear" w:color="auto" w:fill="BFE4FF"/>
          </w:tcPr>
          <w:p>
            <w:pPr>
              <w:spacing w:after="0"/>
              <w:rPr>
                <w:sz w:val="12"/>
                <w:szCs w:val="12"/>
                <w:color w:val="auto"/>
              </w:rPr>
            </w:pPr>
          </w:p>
        </w:tc>
        <w:tc>
          <w:tcPr>
            <w:tcW w:w="120" w:type="dxa"/>
            <w:vAlign w:val="bottom"/>
            <w:tcBorders>
              <w:bottom w:val="single" w:sz="8" w:color="BFE4FF"/>
            </w:tcBorders>
            <w:shd w:val="clear" w:color="auto" w:fill="BFE4FF"/>
          </w:tcPr>
          <w:p>
            <w:pPr>
              <w:spacing w:after="0"/>
              <w:rPr>
                <w:sz w:val="12"/>
                <w:szCs w:val="12"/>
                <w:color w:val="auto"/>
              </w:rPr>
            </w:pPr>
          </w:p>
        </w:tc>
        <w:tc>
          <w:tcPr>
            <w:tcW w:w="820" w:type="dxa"/>
            <w:vAlign w:val="bottom"/>
            <w:tcBorders>
              <w:bottom w:val="single" w:sz="8" w:color="BFE4FF"/>
            </w:tcBorders>
            <w:vMerge w:val="continue"/>
            <w:shd w:val="clear" w:color="auto" w:fill="BFE4FF"/>
          </w:tcPr>
          <w:p>
            <w:pPr>
              <w:spacing w:after="0"/>
              <w:rPr>
                <w:sz w:val="12"/>
                <w:szCs w:val="12"/>
                <w:color w:val="auto"/>
              </w:rPr>
            </w:pPr>
          </w:p>
        </w:tc>
        <w:tc>
          <w:tcPr>
            <w:tcW w:w="980" w:type="dxa"/>
            <w:vAlign w:val="bottom"/>
            <w:tcBorders>
              <w:bottom w:val="single" w:sz="8" w:color="BFE4FF"/>
            </w:tcBorders>
            <w:vMerge w:val="continue"/>
            <w:shd w:val="clear" w:color="auto" w:fill="BFE4FF"/>
          </w:tcPr>
          <w:p>
            <w:pPr>
              <w:spacing w:after="0"/>
              <w:rPr>
                <w:sz w:val="12"/>
                <w:szCs w:val="12"/>
                <w:color w:val="auto"/>
              </w:rPr>
            </w:pPr>
          </w:p>
        </w:tc>
        <w:tc>
          <w:tcPr>
            <w:tcW w:w="440" w:type="dxa"/>
            <w:vAlign w:val="bottom"/>
            <w:tcBorders>
              <w:bottom w:val="single" w:sz="8" w:color="BFE4FF"/>
            </w:tcBorders>
            <w:shd w:val="clear" w:color="auto" w:fill="BFE4FF"/>
          </w:tcPr>
          <w:p>
            <w:pPr>
              <w:spacing w:after="0"/>
              <w:rPr>
                <w:sz w:val="12"/>
                <w:szCs w:val="12"/>
                <w:color w:val="auto"/>
              </w:rPr>
            </w:pPr>
          </w:p>
        </w:tc>
        <w:tc>
          <w:tcPr>
            <w:tcW w:w="1720" w:type="dxa"/>
            <w:vAlign w:val="bottom"/>
            <w:tcBorders>
              <w:bottom w:val="single" w:sz="8" w:color="BFE4FF"/>
            </w:tcBorders>
            <w:shd w:val="clear" w:color="auto" w:fill="BFE4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BFE4FF"/>
          </w:tcPr>
          <w:p>
            <w:pPr>
              <w:ind w:left="40"/>
              <w:spacing w:after="0"/>
              <w:rPr>
                <w:sz w:val="20"/>
                <w:szCs w:val="20"/>
                <w:color w:val="auto"/>
              </w:rPr>
            </w:pPr>
            <w:r>
              <w:rPr>
                <w:rFonts w:ascii="Arial" w:cs="Arial" w:eastAsia="Arial" w:hAnsi="Arial"/>
                <w:sz w:val="18"/>
                <w:szCs w:val="18"/>
                <w:color w:val="auto"/>
              </w:rPr>
              <w:t>Pay CHF</w:t>
            </w:r>
          </w:p>
        </w:tc>
        <w:tc>
          <w:tcPr>
            <w:tcW w:w="140" w:type="dxa"/>
            <w:vAlign w:val="bottom"/>
            <w:shd w:val="clear" w:color="auto" w:fill="BFE4FF"/>
          </w:tcPr>
          <w:p>
            <w:pPr>
              <w:spacing w:after="0"/>
              <w:rPr>
                <w:sz w:val="21"/>
                <w:szCs w:val="21"/>
                <w:color w:val="auto"/>
              </w:rPr>
            </w:pPr>
          </w:p>
        </w:tc>
        <w:tc>
          <w:tcPr>
            <w:tcW w:w="1360" w:type="dxa"/>
            <w:vAlign w:val="bottom"/>
            <w:gridSpan w:val="2"/>
            <w:vMerge w:val="restart"/>
            <w:shd w:val="clear" w:color="auto" w:fill="BFE4FF"/>
          </w:tcPr>
          <w:p>
            <w:pPr>
              <w:jc w:val="center"/>
              <w:ind w:right="12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89"/>
              </w:rPr>
              <w:t>October 2, 2022</w:t>
            </w:r>
          </w:p>
        </w:tc>
        <w:tc>
          <w:tcPr>
            <w:tcW w:w="120" w:type="dxa"/>
            <w:vAlign w:val="bottom"/>
            <w:shd w:val="clear" w:color="auto" w:fill="BFE4FF"/>
          </w:tcPr>
          <w:p>
            <w:pPr>
              <w:spacing w:after="0"/>
              <w:rPr>
                <w:sz w:val="21"/>
                <w:szCs w:val="21"/>
                <w:color w:val="auto"/>
              </w:rPr>
            </w:pPr>
          </w:p>
        </w:tc>
        <w:tc>
          <w:tcPr>
            <w:tcW w:w="12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BFE4FF"/>
          </w:tcPr>
          <w:p>
            <w:pPr>
              <w:spacing w:after="0"/>
              <w:rPr>
                <w:sz w:val="21"/>
                <w:szCs w:val="21"/>
                <w:color w:val="auto"/>
              </w:rPr>
            </w:pPr>
          </w:p>
        </w:tc>
        <w:tc>
          <w:tcPr>
            <w:tcW w:w="820" w:type="dxa"/>
            <w:vAlign w:val="bottom"/>
            <w:shd w:val="clear" w:color="auto" w:fill="BFE4FF"/>
          </w:tcPr>
          <w:p>
            <w:pPr>
              <w:jc w:val="right"/>
              <w:ind w:right="74"/>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145,598</w:t>
            </w:r>
          </w:p>
        </w:tc>
        <w:tc>
          <w:tcPr>
            <w:tcW w:w="440" w:type="dxa"/>
            <w:vAlign w:val="bottom"/>
            <w:shd w:val="clear" w:color="auto" w:fill="BFE4FF"/>
          </w:tcPr>
          <w:p>
            <w:pPr>
              <w:spacing w:after="0"/>
              <w:rPr>
                <w:sz w:val="21"/>
                <w:szCs w:val="21"/>
                <w:color w:val="auto"/>
              </w:rPr>
            </w:pPr>
          </w:p>
        </w:tc>
        <w:tc>
          <w:tcPr>
            <w:tcW w:w="172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(4,467)</w:t>
            </w:r>
          </w:p>
        </w:tc>
        <w:tc>
          <w:tcPr>
            <w:tcW w:w="0" w:type="dxa"/>
            <w:vAlign w:val="bottom"/>
          </w:tcPr>
          <w:p>
            <w:pPr>
              <w:spacing w:after="0"/>
              <w:rPr>
                <w:sz w:val="1"/>
                <w:szCs w:val="1"/>
                <w:color w:val="auto"/>
              </w:rPr>
            </w:pPr>
          </w:p>
        </w:tc>
      </w:tr>
      <w:tr>
        <w:trPr>
          <w:trHeight w:val="135"/>
        </w:trPr>
        <w:tc>
          <w:tcPr>
            <w:tcW w:w="3200" w:type="dxa"/>
            <w:vAlign w:val="bottom"/>
            <w:vMerge w:val="restart"/>
            <w:shd w:val="clear" w:color="auto" w:fill="BFE4FF"/>
          </w:tcPr>
          <w:p>
            <w:pPr>
              <w:ind w:left="40"/>
              <w:spacing w:after="0"/>
              <w:rPr>
                <w:sz w:val="20"/>
                <w:szCs w:val="20"/>
                <w:color w:val="auto"/>
              </w:rPr>
            </w:pPr>
            <w:r>
              <w:rPr>
                <w:rFonts w:ascii="Arial" w:cs="Arial" w:eastAsia="Arial" w:hAnsi="Arial"/>
                <w:sz w:val="18"/>
                <w:szCs w:val="18"/>
                <w:color w:val="auto"/>
              </w:rPr>
              <w:t>Receive U.S.$</w:t>
            </w:r>
          </w:p>
        </w:tc>
        <w:tc>
          <w:tcPr>
            <w:tcW w:w="140" w:type="dxa"/>
            <w:vAlign w:val="bottom"/>
            <w:shd w:val="clear" w:color="auto" w:fill="BFE4FF"/>
          </w:tcPr>
          <w:p>
            <w:pPr>
              <w:spacing w:after="0"/>
              <w:rPr>
                <w:sz w:val="11"/>
                <w:szCs w:val="11"/>
                <w:color w:val="auto"/>
              </w:rPr>
            </w:pPr>
          </w:p>
        </w:tc>
        <w:tc>
          <w:tcPr>
            <w:tcW w:w="1360" w:type="dxa"/>
            <w:vAlign w:val="bottom"/>
            <w:gridSpan w:val="2"/>
            <w:vMerge w:val="continue"/>
            <w:shd w:val="clear" w:color="auto" w:fill="BFE4FF"/>
          </w:tcPr>
          <w:p>
            <w:pPr>
              <w:spacing w:after="0"/>
              <w:rPr>
                <w:sz w:val="11"/>
                <w:szCs w:val="11"/>
                <w:color w:val="auto"/>
              </w:rPr>
            </w:pPr>
          </w:p>
        </w:tc>
        <w:tc>
          <w:tcPr>
            <w:tcW w:w="1260" w:type="dxa"/>
            <w:vAlign w:val="bottom"/>
            <w:vMerge w:val="continue"/>
            <w:shd w:val="clear" w:color="auto" w:fill="BFE4FF"/>
          </w:tcPr>
          <w:p>
            <w:pPr>
              <w:spacing w:after="0"/>
              <w:rPr>
                <w:sz w:val="11"/>
                <w:szCs w:val="11"/>
                <w:color w:val="auto"/>
              </w:rPr>
            </w:pPr>
          </w:p>
        </w:tc>
        <w:tc>
          <w:tcPr>
            <w:tcW w:w="120" w:type="dxa"/>
            <w:vAlign w:val="bottom"/>
            <w:shd w:val="clear" w:color="auto" w:fill="BFE4FF"/>
          </w:tcPr>
          <w:p>
            <w:pPr>
              <w:spacing w:after="0"/>
              <w:rPr>
                <w:sz w:val="11"/>
                <w:szCs w:val="11"/>
                <w:color w:val="auto"/>
              </w:rPr>
            </w:pPr>
          </w:p>
        </w:tc>
        <w:tc>
          <w:tcPr>
            <w:tcW w:w="1260" w:type="dxa"/>
            <w:vAlign w:val="bottom"/>
            <w:vMerge w:val="restart"/>
            <w:shd w:val="clear" w:color="auto" w:fill="BFE4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BFE4FF"/>
          </w:tcPr>
          <w:p>
            <w:pPr>
              <w:spacing w:after="0"/>
              <w:rPr>
                <w:sz w:val="11"/>
                <w:szCs w:val="11"/>
                <w:color w:val="auto"/>
              </w:rPr>
            </w:pPr>
          </w:p>
        </w:tc>
        <w:tc>
          <w:tcPr>
            <w:tcW w:w="820" w:type="dxa"/>
            <w:vAlign w:val="bottom"/>
            <w:vMerge w:val="restart"/>
            <w:shd w:val="clear" w:color="auto" w:fill="BFE4FF"/>
          </w:tcPr>
          <w:p>
            <w:pPr>
              <w:jc w:val="right"/>
              <w:ind w:right="74"/>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BFE4FF"/>
          </w:tcPr>
          <w:p>
            <w:pPr>
              <w:jc w:val="right"/>
              <w:ind w:right="130"/>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BFE4FF"/>
          </w:tcPr>
          <w:p>
            <w:pPr>
              <w:spacing w:after="0"/>
              <w:rPr>
                <w:sz w:val="11"/>
                <w:szCs w:val="11"/>
                <w:color w:val="auto"/>
              </w:rPr>
            </w:pPr>
          </w:p>
        </w:tc>
        <w:tc>
          <w:tcPr>
            <w:tcW w:w="1720" w:type="dxa"/>
            <w:vAlign w:val="bottom"/>
            <w:vMerge w:val="continue"/>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00" w:type="dxa"/>
            <w:vAlign w:val="bottom"/>
            <w:tcBorders>
              <w:bottom w:val="single" w:sz="8" w:color="BFE4FF"/>
            </w:tcBorders>
            <w:vMerge w:val="continue"/>
            <w:shd w:val="clear" w:color="auto" w:fill="BFE4FF"/>
          </w:tcPr>
          <w:p>
            <w:pPr>
              <w:spacing w:after="0"/>
              <w:rPr>
                <w:sz w:val="14"/>
                <w:szCs w:val="14"/>
                <w:color w:val="auto"/>
              </w:rPr>
            </w:pPr>
          </w:p>
        </w:tc>
        <w:tc>
          <w:tcPr>
            <w:tcW w:w="140" w:type="dxa"/>
            <w:vAlign w:val="bottom"/>
            <w:tcBorders>
              <w:bottom w:val="single" w:sz="8" w:color="BFE4FF"/>
            </w:tcBorders>
            <w:shd w:val="clear" w:color="auto" w:fill="BFE4FF"/>
          </w:tcPr>
          <w:p>
            <w:pPr>
              <w:spacing w:after="0"/>
              <w:rPr>
                <w:sz w:val="14"/>
                <w:szCs w:val="14"/>
                <w:color w:val="auto"/>
              </w:rPr>
            </w:pPr>
          </w:p>
        </w:tc>
        <w:tc>
          <w:tcPr>
            <w:tcW w:w="1240" w:type="dxa"/>
            <w:vAlign w:val="bottom"/>
            <w:tcBorders>
              <w:bottom w:val="single" w:sz="8" w:color="BFE4FF"/>
            </w:tcBorders>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1260" w:type="dxa"/>
            <w:vAlign w:val="bottom"/>
            <w:tcBorders>
              <w:bottom w:val="single" w:sz="8" w:color="BFE4FF"/>
            </w:tcBorders>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1260" w:type="dxa"/>
            <w:vAlign w:val="bottom"/>
            <w:tcBorders>
              <w:bottom w:val="single" w:sz="8" w:color="BFE4FF"/>
            </w:tcBorders>
            <w:vMerge w:val="continue"/>
            <w:shd w:val="clear" w:color="auto" w:fill="BFE4FF"/>
          </w:tcPr>
          <w:p>
            <w:pPr>
              <w:spacing w:after="0"/>
              <w:rPr>
                <w:sz w:val="14"/>
                <w:szCs w:val="14"/>
                <w:color w:val="auto"/>
              </w:rPr>
            </w:pPr>
          </w:p>
        </w:tc>
        <w:tc>
          <w:tcPr>
            <w:tcW w:w="120" w:type="dxa"/>
            <w:vAlign w:val="bottom"/>
            <w:tcBorders>
              <w:bottom w:val="single" w:sz="8" w:color="BFE4FF"/>
            </w:tcBorders>
            <w:shd w:val="clear" w:color="auto" w:fill="BFE4FF"/>
          </w:tcPr>
          <w:p>
            <w:pPr>
              <w:spacing w:after="0"/>
              <w:rPr>
                <w:sz w:val="14"/>
                <w:szCs w:val="14"/>
                <w:color w:val="auto"/>
              </w:rPr>
            </w:pPr>
          </w:p>
        </w:tc>
        <w:tc>
          <w:tcPr>
            <w:tcW w:w="820" w:type="dxa"/>
            <w:vAlign w:val="bottom"/>
            <w:tcBorders>
              <w:bottom w:val="single" w:sz="8" w:color="BFE4FF"/>
            </w:tcBorders>
            <w:vMerge w:val="continue"/>
            <w:shd w:val="clear" w:color="auto" w:fill="BFE4FF"/>
          </w:tcPr>
          <w:p>
            <w:pPr>
              <w:spacing w:after="0"/>
              <w:rPr>
                <w:sz w:val="14"/>
                <w:szCs w:val="14"/>
                <w:color w:val="auto"/>
              </w:rPr>
            </w:pPr>
          </w:p>
        </w:tc>
        <w:tc>
          <w:tcPr>
            <w:tcW w:w="980" w:type="dxa"/>
            <w:vAlign w:val="bottom"/>
            <w:tcBorders>
              <w:bottom w:val="single" w:sz="8" w:color="BFE4FF"/>
            </w:tcBorders>
            <w:vMerge w:val="continue"/>
            <w:shd w:val="clear" w:color="auto" w:fill="BFE4FF"/>
          </w:tcPr>
          <w:p>
            <w:pPr>
              <w:spacing w:after="0"/>
              <w:rPr>
                <w:sz w:val="14"/>
                <w:szCs w:val="14"/>
                <w:color w:val="auto"/>
              </w:rPr>
            </w:pPr>
          </w:p>
        </w:tc>
        <w:tc>
          <w:tcPr>
            <w:tcW w:w="440" w:type="dxa"/>
            <w:vAlign w:val="bottom"/>
            <w:tcBorders>
              <w:bottom w:val="single" w:sz="8" w:color="BFE4FF"/>
            </w:tcBorders>
            <w:shd w:val="clear" w:color="auto" w:fill="BFE4FF"/>
          </w:tcPr>
          <w:p>
            <w:pPr>
              <w:spacing w:after="0"/>
              <w:rPr>
                <w:sz w:val="14"/>
                <w:szCs w:val="14"/>
                <w:color w:val="auto"/>
              </w:rPr>
            </w:pPr>
          </w:p>
        </w:tc>
        <w:tc>
          <w:tcPr>
            <w:tcW w:w="1720" w:type="dxa"/>
            <w:vAlign w:val="bottom"/>
            <w:tcBorders>
              <w:bottom w:val="single" w:sz="8" w:color="BFE4FF"/>
            </w:tcBorders>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BFE4FF"/>
            </w:tcBorders>
            <w:gridSpan w:val="2"/>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26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auto"/>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cross-currency swaps were carried on the consolidated balance sheet at fair value, and changes in the fair values were recorded as unrealized gains or losses in AOCI. For the three and nine months ended September 30, 2018, the Company recorded a loss of $2.6 million and gain of $2.2 million in other income (expense), net for the foreign currency rate translation to offset the gains or losses recognized on the intercompany loans. For the three and nine months ended September 30, 2018, the Company recorded losses of $3.1 million and gains of $3.0 million in AOCI related to the change in fair value of the cross-currency swap and gains of $1.9 million and $5.9 million in other income, net included in the consolidated statements of operations related to the interest rate differential of the cross-currency swap. As of September 30, 2018, an estimated gain of $7.6 million is expected to be reclassified within the next twelve months to other income, net from AOCI. As of September 30, 2018, the Company does not expect any gains or losses will be reclassified into earnings as a result of the discontinuance of these cash flow hedges because the original forecasted transaction will not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terms of the derivative instruments. The fair value of the interest rate swaps and the cross-currency swaps was developed using a market approach based on publicly available market yield curves and the terms of the related swap. The Company performs ongoing assessments of counterparty credit risk.</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September 30, 2018 and December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2"/>
                <w:szCs w:val="22"/>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gridSpan w:val="4"/>
          </w:tcPr>
          <w:p>
            <w:pPr>
              <w:jc w:val="right"/>
              <w:ind w:right="121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6,682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1,521</w:t>
            </w:r>
          </w:p>
        </w:tc>
      </w:tr>
      <w:tr>
        <w:trPr>
          <w:trHeight w:val="243"/>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7,603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7,757</w:t>
            </w: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70"/>
        </w:trPr>
        <w:tc>
          <w:tcPr>
            <w:tcW w:w="788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20,246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2,491</w:t>
            </w:r>
          </w:p>
        </w:tc>
      </w:tr>
      <w:tr>
        <w:trPr>
          <w:trHeight w:val="275"/>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34,531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11,769</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1,845</w:t>
            </w:r>
          </w:p>
        </w:tc>
      </w:tr>
      <w:tr>
        <w:trPr>
          <w:trHeight w:val="243"/>
        </w:trPr>
        <w:tc>
          <w:tcPr>
            <w:tcW w:w="788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88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1,575</w:t>
            </w:r>
          </w:p>
        </w:tc>
      </w:tr>
      <w:tr>
        <w:trPr>
          <w:trHeight w:val="243"/>
        </w:trPr>
        <w:tc>
          <w:tcPr>
            <w:tcW w:w="7880" w:type="dxa"/>
            <w:vAlign w:val="bottom"/>
            <w:gridSpan w:val="2"/>
          </w:tcPr>
          <w:p>
            <w:pPr>
              <w:ind w:left="28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14,466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11,714</w:t>
            </w:r>
          </w:p>
        </w:tc>
      </w:tr>
      <w:tr>
        <w:trPr>
          <w:trHeight w:val="27"/>
        </w:trPr>
        <w:tc>
          <w:tcPr>
            <w:tcW w:w="7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15,134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hanging="332"/>
        <w:spacing w:after="0" w:line="208"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At September 30, 2018 and December 31, 2017, the notional amount related to the Company’s interest rate swaps was $1.05 billion. The notional amount will be reduced by $150.0 million in June 2019.</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nine months ended September 30, 2018 and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5"/>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AOCI</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7"/>
              </w:rPr>
              <w:t>End of Quarter</w:t>
            </w:r>
          </w:p>
        </w:tc>
        <w:tc>
          <w:tcPr>
            <w:tcW w:w="22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48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22,344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26,930</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14,452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16,678</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8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1,295</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1,295</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Gain (Loss)</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7"/>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Effective Portion</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Portion</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7"/>
              </w:rPr>
              <w:t>End of Quarter</w:t>
            </w:r>
          </w:p>
        </w:tc>
        <w:tc>
          <w:tcPr>
            <w:tcW w:w="226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48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26,930</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(10,252)</w:t>
            </w:r>
          </w:p>
        </w:tc>
        <w:tc>
          <w:tcPr>
            <w:tcW w:w="226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29,307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16,678</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1,295</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1,295</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the Company expects $14.3 million of pre-tax income recorded in AOCI related to cash flow hedges to be reclassified to earnings in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manages certain foreign exchange risks through a variety of strategies, including hedging. The Company is exposed to foreign exchange risk in its international operations from foreign currency purchases, net investments in foreign subsidiaries, and foreign currency assets and liabilities created in the normal course of business. On October 1, 2018, the Company entered into cross-currency swap agreements designated as net investment hedges to partially offset the effects of foreign currency on foreign subsidiaries. On the consummation date, the total notional amount of cross-currency swaps designated as net investment hedges was $354.5 million.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options issued under the Plans become exercisable over specified periods, generally within three to four years from the date of grant for officers and employees, and within a year from date of grant for directors and generally expire eight years from the grant date for employees, and from eight to ten years for directors and certain executive officers. Restricted stock issued under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Plans vests over specified periods, generally three years after the date of grant. The vesting of performance stock issued under the Plans is subject to service and performance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there were approximately $4.8 million of total unrecognized compensation costs related to unvested stock options. These costs are expected to be recognized over a weighted-average period of approximately two years. There were 139,938 stock options granted during the nine months ended September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Performance stock and restricted stock awards generally have requisite service periods of three years. Performance stock units are subject to graded vesting conditions, and the Company expenses their fair value over the requisite service period. The Company expenses the fair value of restricted stock awards on a straight-line basis over the requisite service period. As of September 30, 2018, there were approximately $24.3 million of total unrecognized compensation costs related to these unvested awards. The Company expects to recognize these costs over a weighted-average period of approximately two years. The Company granted 266,354 restricted stock awards and 119,459 performance stock during the nine months ended September 30,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stock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DEFINED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Austria, France, Japan, Germany and Switzerland.</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periodic benefit costs for the Company’s defined benefit pension plans for the three and nine months ended September 30, 2018 were $0.5 million and $1.7 million, respectively. The components of the net periodic benefit costs other than the service cost component of $0.7 million and $2.1 million for the three and nine months ended September 30, 2018, respectively, are included in other income (expense), net in the consolidated statements of operations.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previously disclosed in its consolidated financial statements for the year ended December 31, 2017 that it expected to contribute $1.8 million to its defined benefit pension plans in 2018. For the nine months ended September 30, 2018, the Company contributed $1.1 million, to the defined benefit plans. As of September 30, 2018, the Company anticipates contributing an additional $0.9 million to its defined benefit plans in 2018, for a total of $2.0 million.</w:t>
      </w:r>
    </w:p>
    <w:p>
      <w:pPr>
        <w:spacing w:after="0" w:line="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plan assets were $30.4 million and $26.9 million as of September 30, 2018 and December 31, 2017, respectively. The net plan assets of the pension plans are invested in common trusts as of September 30, 2018 and December 31, 2017.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25, 2016, the Board of Directors terminated its October 2014 authorization for the repurchase of its outstanding common stock and authorized management to repurchase up to $150.0 million of its outstanding common stock through December 31, 2018. Shares may be repurchased either in the open market or in privately negotiated transactions. As of September 30, 2018, there remained $150.0 million available for repurchase under this authorization.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and December 31, 2017, there were 2.9 million shares of treasury stock outstanding with a cost of $120.7 million and $121.6 million, respectively, at a weighted average of $41.87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nine months ended September 30, 2018 or in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2017</w:t>
            </w:r>
          </w:p>
        </w:tc>
      </w:tr>
      <w:tr>
        <w:trPr>
          <w:trHeight w:val="275"/>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(20.6)%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2.3%</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effective income tax rates for the three months ended September 30, 2018 and 2017 were (20.6)% and 2.3%, respectively. For the three months ended September 30, 2018, in addition to the reduction of the federal statutory rate from 35% to 21% under the Tax Cuts and Jobs Act, the primary drivers of the reduction in the rate are the additional excess tax benefit of $2.1 million from share-based compensation and $1.1 million of foreign tax credits, partially offset by the inclusion of the new GILTI (as defined below) provisions of $0.8 million and other tax reform-related changes.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effective income tax rates for the nine months ended September 30, 2018 and 2017 were (8.4)% and (27.6)%, respectively. For the nine months ended September 30, 2018, the primary drivers of the higher tax rate were higher income before income taxes compared to the same period in 2017, and the inclusion of the new GILTI (as defined below) provisions of $2.2 million and other tax reform-related changes; offset in part, by the reduction in the federal statutory rate from 35% to 21% and additional foreign tax credits of $1.1 million. The nine months ended September 30, 2017 included an additional tax benefit of $1.9 million related to share-based compensation, when compared to the same period in 2018.</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Tax Cuts and Jobs Act (the "2017 Tax Act"), enacted in December 2017, made significant changes to the previous tax laws. Included among the numerous changes were a reduction of the federal statutory rate from 35% to 21%, limitations on the deductibility of interest expense and executive compensation, and the elimination of certain domestic tax deductions such as the domestic production activities deduction. Additionally, the 2017 Tax Act provided for a one-time repatriation tax on accumulated foreign subsidiaries’ untaxed foreign earnings (the “Toll Tax”).</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Tax Act implemented a territorial tax system and includes base erosion provisions on non-U.S. earnings, which subjects certain foreign earnings to additional taxation as global intangible low-taxed income (“GILTI”). These provisions became effective on January 1, 2018. As of September 30, 2018, the Company included GILTI related to current-year operations in its estimated annual effective tax rate. Pursuant to SAB 118, the Company has not yet determined whether GILTI should be a deferred tax item.</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2017 Tax Act eliminated the deferral of U.S. income tax on unrepatriated earnings from foreign subsidiaries through the imposition of the Toll Tax, a one-time tax in 2017 on deemed repatriated foreign earnings, which is paid over an eight-year period. The tax is assessed on the foreign subsidiary accumulated foreign earnings that were not previously taxed. Foreign earnings in cash and cash equivalents are taxed at 15.5% and all other earnings are taxed at 8.0%. The calculation of the Toll Tax allows for the ability to offset positive foreign earnings with existing foreign deficits and use of foreign tax credits. The Company prepared a reasonable estimate of this tax and expects to continue to refine the estimate as it finalizes its 2017 tax returns. During 2017, the Company recorded an estimated income tax expense of $5.5 million related to the Toll Tax, of which, $4.6 million is expected to be paid within one year. The Company continued to analyze its foreign earnings and profits (“E&amp;P”) during the nine months ended September 30, 2018 and has not made any adjustments to the provisional amounts recognized during 2017. The Company will continue to refine its E&amp;P analysis, which may affect the measurement of the Toll Tax liability.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2017 Tax Act’s reduction of the federal statutory rate from 35% to 21%, the Company remeasured deferred tax assets and liability and recorded a tax benefit of $43.4 million as of December 31, 2017. The Company did not record any adjustments to this provisional amount during the nine months ended September 30, 2018 and will continue to analyze and refine its calculations related to the remeasurement as the impact of the 2017 Tax Act is finalized.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made reasonable estimates of the impact of the 2017 Tax Act on its consolidated financial statements as of December 31, 2017 and recognized the provisional tax impacts related to the deemed repatriated earnings and the revaluation of deferred tax assets and liabilities and included these amounts in its consolidated financial statements for the twelve months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2017 Tax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516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20,388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85,193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78,186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82,058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76,387</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13,295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20,388</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85,193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78,186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82,058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76,387</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Warrants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1,295</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Stock options and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1,291</w:t>
            </w:r>
          </w:p>
        </w:tc>
      </w:tr>
      <w:tr>
        <w:trPr>
          <w:trHeight w:val="237"/>
        </w:trPr>
        <w:tc>
          <w:tcPr>
            <w:tcW w:w="5160" w:type="dxa"/>
            <w:vAlign w:val="bottom"/>
            <w:gridSpan w:val="4"/>
          </w:tcPr>
          <w:p>
            <w:pPr>
              <w:ind w:left="40"/>
              <w:spacing w:after="0"/>
              <w:rPr>
                <w:sz w:val="20"/>
                <w:szCs w:val="20"/>
                <w:color w:val="auto"/>
              </w:rPr>
            </w:pPr>
            <w:r>
              <w:rPr>
                <w:rFonts w:ascii="Arial" w:cs="Arial" w:eastAsia="Arial" w:hAnsi="Arial"/>
                <w:sz w:val="18"/>
                <w:szCs w:val="18"/>
                <w:color w:val="auto"/>
                <w:w w:val="98"/>
              </w:rPr>
              <w:t>Weighted average common shares for diluted earnings per share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86,299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79,455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83,142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78,973</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Diluted net income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0.26</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Shares of common stock of approximately 0.2 million and 0.3 million at September 30, 2018 and 2017, respectively, that are issuable through the exercise of dilutive securities were not included in the computation of diluted net income per share because their effect would have been antidilutive.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issuance of the 1.625% Convertible Senior Notes due in 2016, which the Company extinguished on December 15, 2016, the Company entered into call transactions and warrant transactions with the affiliates of the initial purchasers of such notes. The warrants expired on a series of expiration dates from March 2017 to August 2017. For the year ended December 31, 2017, the hedge participants exercised 8,707,202 warrants. As a result, the Company issued 2,839,743 shares of common stock for the year ended December 31, 2017. The company has no outstanding warrants as of September 30, 2018.</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three and nine months ended September 30, 2017, the potential excess conversion value on warrants was included in the Company's dilutive share calculation because the average stock price for the three and nine months ended September 30, 2017 exceeded the conversion price.</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Vested restricted and performance units that entitle the holders to approximately 0.5 million shares of common stock are included in the basic and diluted weighted average shares outstanding calculation because no further consideration is due related to the issuance of the underlying common shares.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ind w:right="8560" w:firstLine="8"/>
        <w:spacing w:after="0" w:line="453" w:lineRule="auto"/>
        <w:tabs>
          <w:tab w:leader="none" w:pos="2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w:t>
      </w:r>
      <w:r>
        <w:rPr>
          <w:rFonts w:ascii="Arial" w:cs="Arial" w:eastAsia="Arial" w:hAnsi="Arial"/>
          <w:sz w:val="16"/>
          <w:szCs w:val="16"/>
          <w:color w:val="auto"/>
        </w:rPr>
        <w:t>Comprehensive income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13,295</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20,388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unrealized gain (loss) on derivatives, net of tax</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13,534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33,731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53,759</w:t>
            </w: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2017 and September 30, 2018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Cash Flow Hedges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3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Pension Items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(23,807)</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Reclassification of stranded tax effect</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2018</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(24,339)</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2018, the Company reclassified a $6.2 million gain from AOCI to other income (expenses), net,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GEOGRAPHIC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the Company leveraged the globally recognized Codman name by rebranding the Specialty Surgical Solutions segment as Codman Specialty Surgical.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8"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and legal functions, (ii) brand management, and (iii) share-based compensation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to the operating segment results. Net sales and profit by reportable segment for the three and nine months ended September 30, 2018 and 2017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2017</w:t>
            </w:r>
          </w:p>
        </w:tc>
      </w:tr>
      <w:tr>
        <w:trPr>
          <w:trHeight w:val="250"/>
        </w:trPr>
        <w:tc>
          <w:tcPr>
            <w:tcW w:w="3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10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spacing w:after="0"/>
              <w:rPr>
                <w:sz w:val="22"/>
                <w:szCs w:val="22"/>
                <w:color w:val="auto"/>
              </w:rPr>
            </w:pPr>
          </w:p>
        </w:tc>
        <w:tc>
          <w:tcPr>
            <w:tcW w:w="74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580" w:type="dxa"/>
            <w:vAlign w:val="bottom"/>
            <w:tcBorders>
              <w:bottom w:val="single" w:sz="8" w:color="BFE4FF"/>
            </w:tcBorders>
            <w:shd w:val="clear" w:color="auto" w:fill="BFE4FF"/>
          </w:tcPr>
          <w:p>
            <w:pPr>
              <w:spacing w:after="0"/>
              <w:rPr>
                <w:sz w:val="22"/>
                <w:szCs w:val="22"/>
                <w:color w:val="auto"/>
              </w:rPr>
            </w:pPr>
          </w:p>
        </w:tc>
        <w:tc>
          <w:tcPr>
            <w:tcW w:w="124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1380" w:type="dxa"/>
            <w:vAlign w:val="bottom"/>
            <w:tcBorders>
              <w:bottom w:val="single" w:sz="8" w:color="BFE4FF"/>
            </w:tcBorders>
            <w:shd w:val="clear" w:color="auto" w:fill="BFE4FF"/>
          </w:tcPr>
          <w:p>
            <w:pPr>
              <w:spacing w:after="0"/>
              <w:rPr>
                <w:sz w:val="22"/>
                <w:szCs w:val="22"/>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239,035</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164,760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714,654</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480,907</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10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5"/>
              </w:rPr>
              <w:t>126,819</w:t>
            </w:r>
          </w:p>
        </w:tc>
        <w:tc>
          <w:tcPr>
            <w:tcW w:w="12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w w:val="92"/>
              </w:rPr>
              <w:t>114,074</w:t>
            </w:r>
          </w:p>
        </w:tc>
        <w:tc>
          <w:tcPr>
            <w:tcW w:w="10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374,472</w:t>
            </w:r>
          </w:p>
        </w:tc>
        <w:tc>
          <w:tcPr>
            <w:tcW w:w="12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338,727</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365,854</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2"/>
              </w:rPr>
              <w:t>278,834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1,089,126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819,634</w:t>
            </w:r>
          </w:p>
        </w:tc>
      </w:tr>
      <w:tr>
        <w:trPr>
          <w:trHeight w:val="67"/>
        </w:trPr>
        <w:tc>
          <w:tcPr>
            <w:tcW w:w="3780" w:type="dxa"/>
            <w:vAlign w:val="bottom"/>
            <w:tcBorders>
              <w:bottom w:val="single" w:sz="8" w:color="BFE4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378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10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80" w:type="dxa"/>
            <w:vAlign w:val="bottom"/>
            <w:tcBorders>
              <w:bottom w:val="single" w:sz="8" w:color="BFE4FF"/>
            </w:tcBorders>
            <w:shd w:val="clear" w:color="auto" w:fill="BFE4FF"/>
          </w:tcPr>
          <w:p>
            <w:pPr>
              <w:spacing w:after="0"/>
              <w:rPr>
                <w:sz w:val="20"/>
                <w:szCs w:val="20"/>
                <w:color w:val="auto"/>
              </w:rPr>
            </w:pPr>
          </w:p>
        </w:tc>
        <w:tc>
          <w:tcPr>
            <w:tcW w:w="7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580" w:type="dxa"/>
            <w:vAlign w:val="bottom"/>
            <w:tcBorders>
              <w:bottom w:val="single" w:sz="8" w:color="BFE4FF"/>
            </w:tcBorders>
            <w:shd w:val="clear" w:color="auto" w:fill="BFE4FF"/>
          </w:tcPr>
          <w:p>
            <w:pPr>
              <w:spacing w:after="0"/>
              <w:rPr>
                <w:sz w:val="20"/>
                <w:szCs w:val="20"/>
                <w:color w:val="auto"/>
              </w:rPr>
            </w:pPr>
          </w:p>
        </w:tc>
        <w:tc>
          <w:tcPr>
            <w:tcW w:w="124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1380" w:type="dxa"/>
            <w:vAlign w:val="bottom"/>
            <w:tcBorders>
              <w:bottom w:val="single" w:sz="8" w:color="BFE4FF"/>
            </w:tcBorders>
            <w:shd w:val="clear" w:color="auto" w:fill="BFE4FF"/>
          </w:tcPr>
          <w:p>
            <w:pPr>
              <w:spacing w:after="0"/>
              <w:rPr>
                <w:sz w:val="20"/>
                <w:szCs w:val="20"/>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91,871</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68,289</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272,480</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198,242</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10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35,515</w:t>
            </w:r>
          </w:p>
        </w:tc>
        <w:tc>
          <w:tcPr>
            <w:tcW w:w="12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spacing w:after="0"/>
              <w:rPr>
                <w:sz w:val="23"/>
                <w:szCs w:val="23"/>
                <w:color w:val="auto"/>
              </w:rPr>
            </w:pPr>
          </w:p>
        </w:tc>
        <w:tc>
          <w:tcPr>
            <w:tcW w:w="7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30,411</w:t>
            </w:r>
          </w:p>
        </w:tc>
        <w:tc>
          <w:tcPr>
            <w:tcW w:w="100" w:type="dxa"/>
            <w:vAlign w:val="bottom"/>
            <w:tcBorders>
              <w:bottom w:val="single" w:sz="8" w:color="BFE4FF"/>
            </w:tcBorders>
            <w:shd w:val="clear" w:color="auto" w:fill="BFE4FF"/>
          </w:tcPr>
          <w:p>
            <w:pPr>
              <w:spacing w:after="0"/>
              <w:rPr>
                <w:sz w:val="23"/>
                <w:szCs w:val="23"/>
                <w:color w:val="auto"/>
              </w:rPr>
            </w:pPr>
          </w:p>
        </w:tc>
        <w:tc>
          <w:tcPr>
            <w:tcW w:w="58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105,094</w:t>
            </w:r>
          </w:p>
        </w:tc>
        <w:tc>
          <w:tcPr>
            <w:tcW w:w="120" w:type="dxa"/>
            <w:vAlign w:val="bottom"/>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13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88,500</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127,386</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98,700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377,574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286,742</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w:t>
            </w:r>
          </w:p>
        </w:tc>
        <w:tc>
          <w:tcPr>
            <w:tcW w:w="110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(5,268)</w:t>
            </w: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7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BFE4FF"/>
            </w:tcBorders>
            <w:shd w:val="clear" w:color="auto" w:fill="BFE4FF"/>
          </w:tcPr>
          <w:p>
            <w:pPr>
              <w:spacing w:after="0"/>
              <w:rPr>
                <w:sz w:val="21"/>
                <w:szCs w:val="21"/>
                <w:color w:val="auto"/>
              </w:rPr>
            </w:pPr>
          </w:p>
        </w:tc>
        <w:tc>
          <w:tcPr>
            <w:tcW w:w="58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(15,944)</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3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(14,976)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(98,441)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(82,602)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(284,740)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(234,180)</w:t>
            </w:r>
          </w:p>
        </w:tc>
      </w:tr>
      <w:tr>
        <w:trPr>
          <w:trHeight w:val="27"/>
        </w:trPr>
        <w:tc>
          <w:tcPr>
            <w:tcW w:w="3780" w:type="dxa"/>
            <w:vAlign w:val="bottom"/>
            <w:tcBorders>
              <w:bottom w:val="single" w:sz="8" w:color="BFE4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BFE4FF"/>
            </w:tcBorders>
            <w:shd w:val="clear" w:color="auto" w:fill="BFE4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23,677</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10,642</w:t>
            </w:r>
          </w:p>
        </w:tc>
        <w:tc>
          <w:tcPr>
            <w:tcW w:w="100" w:type="dxa"/>
            <w:vAlign w:val="bottom"/>
            <w:tcBorders>
              <w:bottom w:val="single" w:sz="8" w:color="BFE4FF"/>
            </w:tcBorders>
            <w:shd w:val="clear" w:color="auto" w:fill="BFE4FF"/>
          </w:tcPr>
          <w:p>
            <w:pPr>
              <w:spacing w:after="0"/>
              <w:rPr>
                <w:sz w:val="22"/>
                <w:szCs w:val="22"/>
                <w:color w:val="auto"/>
              </w:rPr>
            </w:pPr>
          </w:p>
        </w:tc>
        <w:tc>
          <w:tcPr>
            <w:tcW w:w="580" w:type="dxa"/>
            <w:vAlign w:val="bottom"/>
            <w:tcBorders>
              <w:bottom w:val="single" w:sz="8" w:color="BFE4FF"/>
            </w:tcBorders>
            <w:shd w:val="clear" w:color="auto" w:fill="BFE4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76,890</w:t>
            </w:r>
          </w:p>
        </w:tc>
        <w:tc>
          <w:tcPr>
            <w:tcW w:w="560" w:type="dxa"/>
            <w:vAlign w:val="bottom"/>
            <w:tcBorders>
              <w:bottom w:val="single" w:sz="8" w:color="BFE4FF"/>
            </w:tcBorders>
            <w:gridSpan w:val="2"/>
            <w:shd w:val="clear" w:color="auto" w:fill="BFE4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37,586</w:t>
            </w:r>
          </w:p>
        </w:tc>
      </w:tr>
      <w:tr>
        <w:trPr>
          <w:trHeight w:val="20"/>
        </w:trPr>
        <w:tc>
          <w:tcPr>
            <w:tcW w:w="3780" w:type="dxa"/>
            <w:vAlign w:val="bottom"/>
            <w:tcBorders>
              <w:top w:val="single" w:sz="8" w:color="BFE4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3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196"/>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260,870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213,685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769,509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634,047</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Europe</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47,472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32,609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150,650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93,924</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108,304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48,540</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20,490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15,653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60,663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43,123</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365,854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278,834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1,089,126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819,634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October 11, 2018, only one active case remained against TEI. Pursuant to an indemnification agreement with BSC (i) BSC is managing the litigation; and (ii) TEI has in place a product liability insurance policy, of which it must exhaust $3.0 million before BSC’s indemnity begins to cover relevant claims (and of which only a small portion has been utilized to date and against which the insurer has reserved the entire $3.0 million).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matters, including half of certain products liability claims (including those related to the product it manufactures for BSC) not covered by insurance. As of September 30, 2018, no indemnification payments were received nor owed in relation to the lawsuits.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nine-month period ended September 30, 2018 and 2017 to reflect the change in estimate, additions, payments, transfers and the time value of money during the period.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nine months ended September 30, 2018 and 2017 is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33"/>
              <w:spacing w:after="0"/>
              <w:rPr>
                <w:sz w:val="20"/>
                <w:szCs w:val="20"/>
                <w:color w:val="auto"/>
              </w:rPr>
            </w:pPr>
            <w:r>
              <w:rPr>
                <w:rFonts w:ascii="Arial" w:cs="Arial" w:eastAsia="Arial" w:hAnsi="Arial"/>
                <w:sz w:val="14"/>
                <w:szCs w:val="14"/>
                <w:b w:val="1"/>
                <w:bCs w:val="1"/>
                <w:color w:val="auto"/>
                <w:w w:val="91"/>
              </w:rPr>
              <w:t>Contingent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11"/>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Contingent Considerations Liabilities</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Liability Related to</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11"/>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Acquisition of</w:t>
            </w:r>
          </w:p>
        </w:tc>
        <w:tc>
          <w:tcPr>
            <w:tcW w:w="120" w:type="dxa"/>
            <w:vAlign w:val="bottom"/>
          </w:tcPr>
          <w:p>
            <w:pPr>
              <w:spacing w:after="0"/>
              <w:rPr>
                <w:sz w:val="12"/>
                <w:szCs w:val="12"/>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11"/>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Related to Acquisition of Derma Sciences</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Confluent Surgical,</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5"/>
          </w:tcPr>
          <w:p>
            <w:pPr>
              <w:jc w:val="center"/>
              <w:ind w:left="62"/>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i w:val="1"/>
                <w:iCs w:val="1"/>
                <w:color w:val="auto"/>
                <w:w w:val="91"/>
              </w:rPr>
              <w:t>See Note 2</w:t>
            </w:r>
            <w:r>
              <w:rPr>
                <w:rFonts w:ascii="Arial" w:cs="Arial" w:eastAsia="Arial" w:hAnsi="Arial"/>
                <w:sz w:val="14"/>
                <w:szCs w:val="14"/>
                <w:b w:val="1"/>
                <w:bCs w:val="1"/>
                <w:color w:val="auto"/>
                <w:w w:val="91"/>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9"/>
              </w:rPr>
              <w:t>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tcBorders>
              <w:bottom w:val="single" w:sz="8" w:color="auto"/>
            </w:tcBorders>
            <w:gridSpan w:val="3"/>
            <w:shd w:val="clear" w:color="auto" w:fill="CCEEFF"/>
          </w:tcPr>
          <w:p>
            <w:pPr>
              <w:jc w:val="right"/>
              <w:ind w:right="122"/>
              <w:spacing w:after="0"/>
              <w:rPr>
                <w:sz w:val="20"/>
                <w:szCs w:val="20"/>
                <w:color w:val="auto"/>
              </w:rPr>
            </w:pPr>
            <w:r>
              <w:rPr>
                <w:rFonts w:ascii="Arial" w:cs="Arial" w:eastAsia="Arial" w:hAnsi="Arial"/>
                <w:sz w:val="14"/>
                <w:szCs w:val="14"/>
                <w:b w:val="1"/>
                <w:bCs w:val="1"/>
                <w:color w:val="auto"/>
              </w:rPr>
              <w:t>Short-term</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tcBorders>
              <w:bottom w:val="single" w:sz="8" w:color="auto"/>
            </w:tcBorders>
            <w:gridSpan w:val="4"/>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Long-term</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gridSpan w:val="2"/>
            <w:shd w:val="clear" w:color="auto" w:fill="CCEEFF"/>
          </w:tcPr>
          <w:p>
            <w:pPr>
              <w:jc w:val="center"/>
              <w:ind w:right="133"/>
              <w:spacing w:after="0"/>
              <w:rPr>
                <w:sz w:val="20"/>
                <w:szCs w:val="20"/>
                <w:color w:val="auto"/>
              </w:rPr>
            </w:pPr>
            <w:r>
              <w:rPr>
                <w:rFonts w:ascii="Arial" w:cs="Arial" w:eastAsia="Arial" w:hAnsi="Arial"/>
                <w:sz w:val="14"/>
                <w:szCs w:val="14"/>
                <w:b w:val="1"/>
                <w:bCs w:val="1"/>
                <w:color w:val="auto"/>
                <w:w w:val="94"/>
              </w:rPr>
              <w:t>Short-term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2018</w:t>
            </w:r>
          </w:p>
        </w:tc>
        <w:tc>
          <w:tcPr>
            <w:tcW w:w="140" w:type="dxa"/>
            <w:vAlign w:val="bottom"/>
          </w:tcPr>
          <w:p>
            <w:pPr>
              <w:spacing w:after="0"/>
              <w:rPr>
                <w:sz w:val="21"/>
                <w:szCs w:val="21"/>
                <w:color w:val="auto"/>
              </w:rPr>
            </w:pPr>
          </w:p>
        </w:tc>
        <w:tc>
          <w:tcPr>
            <w:tcW w:w="900" w:type="dxa"/>
            <w:vAlign w:val="bottom"/>
            <w:gridSpan w:val="3"/>
          </w:tcPr>
          <w:p>
            <w:pPr>
              <w:jc w:val="right"/>
              <w:ind w:right="381"/>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540" w:type="dxa"/>
            <w:vAlign w:val="bottom"/>
            <w:gridSpan w:val="3"/>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22,478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Loss from change in fair value of contingent consideration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2018</w:t>
            </w:r>
          </w:p>
        </w:tc>
        <w:tc>
          <w:tcPr>
            <w:tcW w:w="14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5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Contingent Considerations</w:t>
            </w:r>
          </w:p>
        </w:tc>
        <w:tc>
          <w:tcPr>
            <w:tcW w:w="160" w:type="dxa"/>
            <w:vAlign w:val="bottom"/>
          </w:tcPr>
          <w:p>
            <w:pPr>
              <w:spacing w:after="0"/>
              <w:rPr>
                <w:sz w:val="24"/>
                <w:szCs w:val="24"/>
                <w:color w:val="auto"/>
              </w:rPr>
            </w:pPr>
          </w:p>
        </w:tc>
        <w:tc>
          <w:tcPr>
            <w:tcW w:w="2000" w:type="dxa"/>
            <w:vAlign w:val="bottom"/>
            <w:gridSpan w:val="7"/>
          </w:tcPr>
          <w:p>
            <w:pPr>
              <w:jc w:val="center"/>
              <w:ind w:right="33"/>
              <w:spacing w:after="0"/>
              <w:rPr>
                <w:sz w:val="20"/>
                <w:szCs w:val="20"/>
                <w:color w:val="auto"/>
              </w:rPr>
            </w:pPr>
            <w:r>
              <w:rPr>
                <w:rFonts w:ascii="Arial" w:cs="Arial" w:eastAsia="Arial" w:hAnsi="Arial"/>
                <w:sz w:val="14"/>
                <w:szCs w:val="14"/>
                <w:b w:val="1"/>
                <w:bCs w:val="1"/>
                <w:color w:val="auto"/>
                <w:w w:val="93"/>
              </w:rPr>
              <w:t>Contingent Consideration</w:t>
            </w:r>
          </w:p>
        </w:tc>
        <w:tc>
          <w:tcPr>
            <w:tcW w:w="120" w:type="dxa"/>
            <w:vAlign w:val="bottom"/>
          </w:tcPr>
          <w:p>
            <w:pPr>
              <w:spacing w:after="0"/>
              <w:rPr>
                <w:sz w:val="24"/>
                <w:szCs w:val="24"/>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vMerge w:val="restart"/>
          </w:tcPr>
          <w:p>
            <w:pPr>
              <w:spacing w:after="0"/>
              <w:rPr>
                <w:sz w:val="12"/>
                <w:szCs w:val="12"/>
                <w:color w:val="auto"/>
              </w:rPr>
            </w:pPr>
          </w:p>
        </w:tc>
        <w:tc>
          <w:tcPr>
            <w:tcW w:w="2280" w:type="dxa"/>
            <w:vAlign w:val="bottom"/>
            <w:gridSpan w:val="10"/>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Liabilities Related to Acquisition</w:t>
            </w:r>
          </w:p>
        </w:tc>
        <w:tc>
          <w:tcPr>
            <w:tcW w:w="2160" w:type="dxa"/>
            <w:vAlign w:val="bottom"/>
            <w:gridSpan w:val="8"/>
          </w:tcPr>
          <w:p>
            <w:pPr>
              <w:jc w:val="center"/>
              <w:spacing w:after="0" w:line="149" w:lineRule="exact"/>
              <w:rPr>
                <w:sz w:val="20"/>
                <w:szCs w:val="20"/>
                <w:color w:val="auto"/>
              </w:rPr>
            </w:pPr>
            <w:r>
              <w:rPr>
                <w:rFonts w:ascii="Arial" w:cs="Arial" w:eastAsia="Arial" w:hAnsi="Arial"/>
                <w:sz w:val="14"/>
                <w:szCs w:val="14"/>
                <w:b w:val="1"/>
                <w:bCs w:val="1"/>
                <w:color w:val="auto"/>
                <w:w w:val="93"/>
              </w:rPr>
              <w:t>Liability Related to Acquisition of</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8"/>
          </w:tcPr>
          <w:p>
            <w:pPr>
              <w:jc w:val="center"/>
              <w:ind w:right="14"/>
              <w:spacing w:after="0"/>
              <w:rPr>
                <w:sz w:val="20"/>
                <w:szCs w:val="20"/>
                <w:color w:val="auto"/>
              </w:rPr>
            </w:pPr>
            <w:r>
              <w:rPr>
                <w:rFonts w:ascii="Arial" w:cs="Arial" w:eastAsia="Arial" w:hAnsi="Arial"/>
                <w:sz w:val="14"/>
                <w:szCs w:val="14"/>
                <w:b w:val="1"/>
                <w:bCs w:val="1"/>
                <w:color w:val="auto"/>
                <w:w w:val="90"/>
              </w:rPr>
              <w:t xml:space="preserve">of Derma Sciences </w:t>
            </w:r>
            <w:r>
              <w:rPr>
                <w:rFonts w:ascii="Arial" w:cs="Arial" w:eastAsia="Arial" w:hAnsi="Arial"/>
                <w:sz w:val="14"/>
                <w:szCs w:val="14"/>
                <w:b w:val="1"/>
                <w:bCs w:val="1"/>
                <w:i w:val="1"/>
                <w:iCs w:val="1"/>
                <w:color w:val="auto"/>
                <w:w w:val="90"/>
              </w:rPr>
              <w:t>(See Note 2</w:t>
            </w:r>
            <w:r>
              <w:rPr>
                <w:rFonts w:ascii="Arial" w:cs="Arial" w:eastAsia="Arial" w:hAnsi="Arial"/>
                <w:sz w:val="14"/>
                <w:szCs w:val="14"/>
                <w:b w:val="1"/>
                <w:bCs w:val="1"/>
                <w:color w:val="auto"/>
                <w:w w:val="90"/>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center"/>
              <w:ind w:right="33"/>
              <w:spacing w:after="0"/>
              <w:rPr>
                <w:sz w:val="20"/>
                <w:szCs w:val="20"/>
                <w:color w:val="auto"/>
              </w:rPr>
            </w:pPr>
            <w:r>
              <w:rPr>
                <w:rFonts w:ascii="Arial" w:cs="Arial" w:eastAsia="Arial" w:hAnsi="Arial"/>
                <w:sz w:val="14"/>
                <w:szCs w:val="14"/>
                <w:b w:val="1"/>
                <w:bCs w:val="1"/>
                <w:color w:val="auto"/>
                <w:w w:val="94"/>
              </w:rPr>
              <w:t>Confluent Surgical, 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3"/>
            <w:shd w:val="clear" w:color="auto" w:fill="CCEEFF"/>
          </w:tcPr>
          <w:p>
            <w:pPr>
              <w:jc w:val="right"/>
              <w:ind w:right="101"/>
              <w:spacing w:after="0"/>
              <w:rPr>
                <w:sz w:val="20"/>
                <w:szCs w:val="20"/>
                <w:color w:val="auto"/>
              </w:rPr>
            </w:pPr>
            <w:r>
              <w:rPr>
                <w:rFonts w:ascii="Arial" w:cs="Arial" w:eastAsia="Arial" w:hAnsi="Arial"/>
                <w:sz w:val="14"/>
                <w:szCs w:val="14"/>
                <w:b w:val="1"/>
                <w:bCs w:val="1"/>
                <w:color w:val="auto"/>
                <w:w w:val="97"/>
              </w:rPr>
              <w:t>Short-term</w:t>
            </w:r>
          </w:p>
        </w:tc>
        <w:tc>
          <w:tcPr>
            <w:tcW w:w="120" w:type="dxa"/>
            <w:vAlign w:val="bottom"/>
            <w:shd w:val="clear" w:color="auto" w:fill="CCEEFF"/>
          </w:tcPr>
          <w:p>
            <w:pPr>
              <w:spacing w:after="0"/>
              <w:rPr>
                <w:sz w:val="22"/>
                <w:szCs w:val="22"/>
                <w:color w:val="auto"/>
              </w:rPr>
            </w:pPr>
          </w:p>
        </w:tc>
        <w:tc>
          <w:tcPr>
            <w:tcW w:w="1020" w:type="dxa"/>
            <w:vAlign w:val="bottom"/>
            <w:tcBorders>
              <w:bottom w:val="single" w:sz="8" w:color="auto"/>
            </w:tcBorders>
            <w:gridSpan w:val="4"/>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4"/>
              </w:rPr>
              <w:t>Short-term</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95"/>
              </w:rPr>
              <w:t>Long-term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22,036</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Additions from acquisition of Derma Sciences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33,707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w w:val="93"/>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140" w:type="dxa"/>
            <w:vAlign w:val="bottom"/>
          </w:tcPr>
          <w:p>
            <w:pPr>
              <w:spacing w:after="0"/>
              <w:rPr>
                <w:sz w:val="21"/>
                <w:szCs w:val="21"/>
                <w:color w:val="auto"/>
              </w:rPr>
            </w:pPr>
          </w:p>
        </w:tc>
        <w:tc>
          <w:tcPr>
            <w:tcW w:w="900" w:type="dxa"/>
            <w:vAlign w:val="bottom"/>
            <w:gridSpan w:val="3"/>
          </w:tcPr>
          <w:p>
            <w:pPr>
              <w:jc w:val="right"/>
              <w:ind w:right="21"/>
              <w:spacing w:after="0"/>
              <w:rPr>
                <w:sz w:val="20"/>
                <w:szCs w:val="20"/>
                <w:color w:val="auto"/>
              </w:rPr>
            </w:pPr>
            <w:r>
              <w:rPr>
                <w:rFonts w:ascii="Arial" w:cs="Arial" w:eastAsia="Arial" w:hAnsi="Arial"/>
                <w:sz w:val="18"/>
                <w:szCs w:val="18"/>
                <w:color w:val="auto"/>
              </w:rPr>
              <w:t>2,193</w:t>
            </w: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21,312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(21,312)</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40"/>
              <w:spacing w:after="0"/>
              <w:rPr>
                <w:sz w:val="20"/>
                <w:szCs w:val="20"/>
                <w:color w:val="auto"/>
              </w:rPr>
            </w:pPr>
            <w:r>
              <w:rPr>
                <w:rFonts w:ascii="Arial" w:cs="Arial" w:eastAsia="Arial" w:hAnsi="Arial"/>
                <w:sz w:val="18"/>
                <w:szCs w:val="18"/>
                <w:color w:val="auto"/>
                <w:w w:val="96"/>
              </w:rPr>
              <w:t>(Gain)/Loss from change in fair value of contingent consideration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gridSpan w:val="3"/>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2,133</w:t>
            </w:r>
          </w:p>
        </w:tc>
        <w:tc>
          <w:tcPr>
            <w:tcW w:w="6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4"/>
              <w:spacing w:after="0"/>
              <w:rPr>
                <w:sz w:val="20"/>
                <w:szCs w:val="20"/>
                <w:color w:val="auto"/>
              </w:rPr>
            </w:pPr>
            <w:r>
              <w:rPr>
                <w:rFonts w:ascii="Arial" w:cs="Arial" w:eastAsia="Arial" w:hAnsi="Arial"/>
                <w:sz w:val="18"/>
                <w:szCs w:val="18"/>
                <w:color w:val="auto"/>
                <w:w w:val="93"/>
              </w:rPr>
              <w:t>1,356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21,312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15, 2014, the Company acquired all outstanding shares of Confluent Surgical, Inc., ("Confluent Surgical"). The purchase price includes contingent consideration. The potential maximum undiscounted contingent consideration of $30.0 million consists of $25.0 million upon obtaining certain U.S. governmental approvals (the "U.S. Contingent Consideration") and $5.0 million upon obtaining certain European governmental approvals, both related to the completion of the transition of the Confluent Surgical business. The U.S. Contingent Consideration is subject to adjustment to reduce the amount of maximum payment based on the timing of obtaining the U.S. governmental approval up to the minimum of $19.0 million. The fair values of contingent consideration related to the acquisition of Confluent Surgical were estimated using a discounted cash flow model using discount rate of 2.2%. During the first quarter of 2018, the Company received the U.S. governmental approvals and adjusted the related contingent consideration liability to $19.0 million, which the Company paid in April 2018. During the third quarter of 2018, the Company received certain European governmental approvals. The Company paid the remaining $5.0 million of contingent consideration in October of 2018.</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assesses these assumptions on an ongoing basis as additional information affecting the assumptions is obtained. The contingent consideration balance was included in accrued expenses and other current liabilities and other liabilities at September 30, 2018 and September 30, 2017.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Agreement Liability and Above Market Supply Agreement Liability</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15, 2014, the Company entered into a transitional supply agreement with Covidien Group S.a.r.l ("Covidien"). This agreement contains financial incentives to Covidien for the timely supply of products each fiscal quarter through the third anniversary of the agreement. The prices paid under the supply agreement were essentially flat through the third anniversary of the agreement, and then increase significantly in each of the following three years.</w:t>
      </w:r>
    </w:p>
    <w:p>
      <w:pPr>
        <w:spacing w:after="0" w:line="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determined the fair value of its supply agreement liability and above market supply agreement liability with Covidien during the nine-month periods ended September 30, 2018 and 2017 to reflect the payments, change in estimate and the time value of money during the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opening balances to the closing balances of these Level 3 measurements is as follows (amounts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Above Market Supply</w:t>
            </w:r>
          </w:p>
        </w:tc>
        <w:tc>
          <w:tcPr>
            <w:tcW w:w="100" w:type="dxa"/>
            <w:vAlign w:val="bottom"/>
          </w:tcPr>
          <w:p>
            <w:pPr>
              <w:spacing w:after="0"/>
              <w:rPr>
                <w:sz w:val="14"/>
                <w:szCs w:val="14"/>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Agreement Liability - Short-</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95"/>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2,641</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(Gain)/loss from change in fair value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Transfer to accounts payable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Supply Agreement</w:t>
            </w:r>
          </w:p>
        </w:tc>
        <w:tc>
          <w:tcPr>
            <w:tcW w:w="140" w:type="dxa"/>
            <w:vAlign w:val="bottom"/>
          </w:tcPr>
          <w:p>
            <w:pPr>
              <w:spacing w:after="0"/>
              <w:rPr>
                <w:sz w:val="24"/>
                <w:szCs w:val="24"/>
                <w:color w:val="auto"/>
              </w:rPr>
            </w:pPr>
          </w:p>
        </w:tc>
        <w:tc>
          <w:tcPr>
            <w:tcW w:w="1160" w:type="dxa"/>
            <w:vAlign w:val="bottom"/>
            <w:gridSpan w:val="2"/>
          </w:tcPr>
          <w:p>
            <w:pPr>
              <w:jc w:val="center"/>
              <w:ind w:right="97"/>
              <w:spacing w:after="0"/>
              <w:rPr>
                <w:sz w:val="20"/>
                <w:szCs w:val="20"/>
                <w:color w:val="auto"/>
              </w:rPr>
            </w:pPr>
            <w:r>
              <w:rPr>
                <w:rFonts w:ascii="Arial" w:cs="Arial" w:eastAsia="Arial" w:hAnsi="Arial"/>
                <w:sz w:val="14"/>
                <w:szCs w:val="14"/>
                <w:b w:val="1"/>
                <w:bCs w:val="1"/>
                <w:color w:val="auto"/>
                <w:w w:val="97"/>
              </w:rPr>
              <w:t>Above Market</w:t>
            </w:r>
          </w:p>
        </w:tc>
        <w:tc>
          <w:tcPr>
            <w:tcW w:w="180" w:type="dxa"/>
            <w:vAlign w:val="bottom"/>
          </w:tcPr>
          <w:p>
            <w:pPr>
              <w:spacing w:after="0"/>
              <w:rPr>
                <w:sz w:val="24"/>
                <w:szCs w:val="2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97"/>
              </w:rPr>
              <w:t>Above Market</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Supply Agreement</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Supply Agreement</w:t>
            </w:r>
          </w:p>
        </w:tc>
        <w:tc>
          <w:tcPr>
            <w:tcW w:w="100" w:type="dxa"/>
            <w:vAlign w:val="bottom"/>
          </w:tcPr>
          <w:p>
            <w:pPr>
              <w:spacing w:after="0"/>
              <w:rPr>
                <w:sz w:val="12"/>
                <w:szCs w:val="12"/>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vMerge w:val="restart"/>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Liability - Short-</w:t>
            </w:r>
          </w:p>
        </w:tc>
        <w:tc>
          <w:tcPr>
            <w:tcW w:w="13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Liability - Short-</w:t>
            </w:r>
          </w:p>
        </w:tc>
        <w:tc>
          <w:tcPr>
            <w:tcW w:w="18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Liability - Long-</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97"/>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term</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 from long-term to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3,216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(Gain)/loss from change in fair value</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7"/>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30, 2017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2,864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fair values of supply agreement liability and above market supply agreement liability were estimated using a discounted cash flow model using a discount rate of 12.0%. The Company assesses these assumptions on an ongoing basis as additional information impacting the assumptions is obtained. The above market supply agreement liability - short-term was included in accrued expenses and other current liabilities at September 30, 2018 and December 31,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transfers between level 1, 2 or 3 during the nine months ended September 30, 2018 and 2017. If the Company's estimate regarding the fair value of its contingent consideration liabilities, supply agreement liability and above market supply agreement liability are inaccurate, a future adjustment to these estimated fair values may be required which could change significantly.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agreement between Derma Sciences, BioD and other parties (the "BioD Merger Agreement"), which was entered into in July 2016, and require as a result of the acceleration the payment of $26.5 million by BioD. As previously disclosed and described in </w:t>
      </w:r>
      <w:r>
        <w:rPr>
          <w:rFonts w:ascii="Arial" w:cs="Arial" w:eastAsia="Arial" w:hAnsi="Arial"/>
          <w:sz w:val="17"/>
          <w:szCs w:val="17"/>
          <w:i w:val="1"/>
          <w:iCs w:val="1"/>
          <w:color w:val="auto"/>
        </w:rPr>
        <w:t>Note 2 - Business Acquisitions and Divestiture</w:t>
      </w:r>
      <w:r>
        <w:rPr>
          <w:rFonts w:ascii="Arial" w:cs="Arial" w:eastAsia="Arial" w:hAnsi="Arial"/>
          <w:sz w:val="17"/>
          <w:szCs w:val="17"/>
          <w:color w:val="auto"/>
        </w:rPr>
        <w:t>,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 and the likelihood of loss is remote.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2017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Our actual results could differ materially from those anticipated in these forward-looking statements as a result of many factors, including but not limited to those set forth under the heading “Risk Factors” in our Annual Report on Form 10-K for the year ended December 31, 2017, and under the heading "Risk Factor"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worldwide leader in medical technology focused on limiting uncertainty for surgeons so that they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and sell our products in two reportable business segments: Codman Specialty Surgical and Orthopedics and Tissue Technologies. Our Codman Specialty Surgical products offer specialty surgical implants and instrumentation for a broad range of specialties. This product category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products portfolios consists of differentiated regenerative technology products for soft tissue repair and tissue regeneration products, and small bone fixation and joint replacement hardware products for both upper extremities and lower extremities. This business also includes private-label sales of a broad set of our regenerative and wound care medicine technologies.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plants located in the United States (the "U.S."), France, Germany, Ireland, Mexico, Puerto Rico and Switzerland. We also source most of our handheld surgical instruments, specialty metal and pyrocarbon implants, and dural sealant products through specialized third-party vendors.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 During the first half of 2018, we integrated the commercial teams from the acquired global Codman Neurosurgery and legacy Integra businesses.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Orthopedics and Tissue Technologies products are sold through directly employed sales representatives, distributors focused on their respective surgical specialties and strategic partners. During the first half of 2018, we completed the expansion of our sales channels by establishing dedicated teams for the extremity orthopedics, acute wound reconstruction, outpatient wound care and surgical reconstruction markets.</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becoming a company recognized as a leader by our customers worldwide in specialty surgical applications, regenerative technologies and extremities orthopedics. Our strategy is built around four pillars: 1) building an execution-focused culture, 2) achieving relevant scale, 3) improving agility and innovations, and 4) leading in customer excellence. These four pillars support our strategic initiatives to deliver on our commitments through improved planning and communication, optimizing our infrastructure, and strategically aligned tuck-in acquisitions.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acquisitions), (2) gross margins on total revenues, (3) earnings before interest, taxes, depreciation, and amortization, (4) earnings per diluted share of common stock, and (5) operating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252" w:lineRule="exact"/>
        <w:rPr>
          <w:sz w:val="20"/>
          <w:szCs w:val="20"/>
          <w:color w:val="auto"/>
        </w:rPr>
      </w:pPr>
    </w:p>
    <w:p>
      <w:pPr>
        <w:ind w:left="620" w:hanging="315"/>
        <w:spacing w:after="0" w:line="277"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amniotic tissue, and polyethylene</w:t>
      </w:r>
      <w:r>
        <w:rPr>
          <w:rFonts w:ascii="Arial" w:cs="Arial" w:eastAsia="Arial" w:hAnsi="Arial"/>
          <w:sz w:val="18"/>
          <w:szCs w:val="18"/>
          <w:i w:val="1"/>
          <w:iCs w:val="1"/>
          <w:color w:val="auto"/>
        </w:rPr>
        <w:t xml:space="preserve"> </w:t>
      </w:r>
      <w:r>
        <w:rPr>
          <w:rFonts w:ascii="Arial" w:cs="Arial" w:eastAsia="Arial" w:hAnsi="Arial"/>
          <w:sz w:val="18"/>
          <w:szCs w:val="18"/>
          <w:color w:val="auto"/>
        </w:rPr>
        <w:t>glycol technologies that are sold through all our sales channels.</w:t>
      </w:r>
    </w:p>
    <w:p>
      <w:pPr>
        <w:spacing w:after="0" w:line="116" w:lineRule="exact"/>
        <w:rPr>
          <w:rFonts w:ascii="Arial" w:cs="Arial" w:eastAsia="Arial" w:hAnsi="Arial"/>
          <w:sz w:val="18"/>
          <w:szCs w:val="18"/>
          <w:color w:val="auto"/>
        </w:rPr>
      </w:pPr>
    </w:p>
    <w:p>
      <w:pPr>
        <w:jc w:val="both"/>
        <w:ind w:left="620" w:hanging="315"/>
        <w:spacing w:after="0" w:line="273"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The selling platforms of Codman Specialty Surgical and Orthopedics and Tissue Technologies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 a different strength to our core business. Codman Specialty Surgical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small joint replacement and advanced wound care, as well as to increase gross margins. We generate synergies between these platforms, such as our regenerative technology, instrument sourcing capabilities, and enterprise contract management.</w:t>
      </w:r>
    </w:p>
    <w:p>
      <w:pPr>
        <w:spacing w:after="0" w:line="124" w:lineRule="exact"/>
        <w:rPr>
          <w:rFonts w:ascii="Arial" w:cs="Arial" w:eastAsia="Arial" w:hAnsi="Arial"/>
          <w:sz w:val="17"/>
          <w:szCs w:val="17"/>
          <w:color w:val="auto"/>
        </w:rPr>
      </w:pPr>
    </w:p>
    <w:p>
      <w:pPr>
        <w:jc w:val="both"/>
        <w:ind w:left="620" w:hanging="315"/>
        <w:spacing w:after="0" w:line="273"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Specialized Sales Footprint</w:t>
      </w:r>
      <w:r>
        <w:rPr>
          <w:rFonts w:ascii="Arial" w:cs="Arial" w:eastAsia="Arial" w:hAnsi="Arial"/>
          <w:sz w:val="17"/>
          <w:szCs w:val="17"/>
          <w:color w:val="auto"/>
        </w:rPr>
        <w:t>. Our medical technology investment and manufacturing strategy provides us with a specialized set of customer call</w:t>
      </w:r>
      <w:r>
        <w:rPr>
          <w:rFonts w:ascii="Arial" w:cs="Arial" w:eastAsia="Arial" w:hAnsi="Arial"/>
          <w:sz w:val="17"/>
          <w:szCs w:val="17"/>
          <w:i w:val="1"/>
          <w:iCs w:val="1"/>
          <w:color w:val="auto"/>
        </w:rPr>
        <w:t xml:space="preserve"> </w:t>
      </w:r>
      <w:r>
        <w:rPr>
          <w:rFonts w:ascii="Arial" w:cs="Arial" w:eastAsia="Arial" w:hAnsi="Arial"/>
          <w:sz w:val="17"/>
          <w:szCs w:val="17"/>
          <w:color w:val="auto"/>
        </w:rPr>
        <w:t>points and synergies. We have market-leading products across our portfolio that provide both scale and depth in solutions for a broad set of clinical needs across many departments in healthcare systems. We also have clinical expertise across all our channels in the U.S. and an opportunity to expand and leverage this expertise in markets worldwide. In response to our customers’ needs for clinical and technical solutions across multiple departments and clinical areas, we have developed and deployed our enterprise selling team to bring unique clinical solutions for the most difficult healthcare issues in our key accounts across multiple clinical sites and multi-hospital integrated delivery networks.</w:t>
      </w:r>
    </w:p>
    <w:p>
      <w:pPr>
        <w:spacing w:after="0" w:line="124" w:lineRule="exact"/>
        <w:rPr>
          <w:rFonts w:ascii="Arial" w:cs="Arial" w:eastAsia="Arial" w:hAnsi="Arial"/>
          <w:sz w:val="17"/>
          <w:szCs w:val="17"/>
          <w:color w:val="auto"/>
        </w:rPr>
      </w:pPr>
    </w:p>
    <w:p>
      <w:pPr>
        <w:jc w:val="both"/>
        <w:ind w:left="620" w:hanging="315"/>
        <w:spacing w:after="0" w:line="26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important to help us grow to be a multi-billion-dollar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growth strategy includes the acquisition of businesses, assets or products lines to increase the breadth of our offerings and reach of our product portfolios and drive relevant scale to our customers. As a result of several recent acquisitions, our financial results for the three and nine months ended September 30, 2018 may not be directly comparable to those of the corresponding prior-year periods. See Note 2, </w:t>
      </w:r>
      <w:r>
        <w:rPr>
          <w:rFonts w:ascii="Arial" w:cs="Arial" w:eastAsia="Arial" w:hAnsi="Arial"/>
          <w:sz w:val="18"/>
          <w:szCs w:val="18"/>
          <w:i w:val="1"/>
          <w:iCs w:val="1"/>
          <w:color w:val="auto"/>
        </w:rPr>
        <w:t>Business Acquisitions and Divestiture,</w:t>
      </w:r>
      <w:r>
        <w:rPr>
          <w:rFonts w:ascii="Arial" w:cs="Arial" w:eastAsia="Arial" w:hAnsi="Arial"/>
          <w:sz w:val="18"/>
          <w:szCs w:val="18"/>
          <w:color w:val="auto"/>
        </w:rPr>
        <w:t xml:space="preserve"> to our consolidated financial statements for a further discussion.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1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11, 2017, the Company entered into an asset purchase agreement (the “Purchase Agreement”) with DePuy Synthes, Inc., a Delaware corporation (“DePuy Synthes”), a wholly-owned subsidiary of Johnson &amp; Johnson, pursuant to which the Company agreed to acquire certain assets, and assume certain liabilities, of Johnson &amp; Johnson’s Codman neurosurgery business (the “Codman Acquisition”). The assets and liabilities subject to the Codman Acquisition relate to the research, development, manufacturing, marketing, distribution and sale of certain products used in connection with neurosurgery procedures.</w:t>
      </w:r>
    </w:p>
    <w:p>
      <w:pPr>
        <w:spacing w:after="0" w:line="1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2017, based upon the terms and subject to the conditions set forth in the Purchase Agreement, the Codman Acquisition was completed. Under the terms of the Purchase Agreement, the Company paid an aggregate purchase price of $1.014 billion, subject to adjustments set forth in the Purchase Agreement relating to the book value of inventory transferred to us at the closing of the Codman Acquisition, the book value of certain inventory retained by DePuy Synthes that will be transferred to the Company in the future along with certain prepaid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the outstanding shares of Derma Sciences, Inc., a Delaware corporation ("Derma Sciences") for an aggregate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Derma Sciences is a tissue regeneration company focused on advanced wound and burn care that offers products to help manage chronic and hard-to-heal wounds, especially those resulting from diabetes and poor vascular functioning.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8, 2017, the Company and certain of its subsidiaries entered into an asset purchase agreement (the “Divestiture Agreement”) with Natus Medical Incorporated (“Natus”), pursuant to which the Company agreed to divest its Camino Intracranial Pressure monitoring and the U.S. rights to the fixed pressure shunts businesses together with certain of the neurosurgery assets that were acquired as part of the Codman Acquisition (the “Divestiture”). The Divestiture Agreement was entered in connection with the review of the Codman Acquisition by the Federal Trade Commission and the antitrust authority of Spain. The Divestiture was conditional upon completion of the Codman Acquisition.</w:t>
      </w:r>
    </w:p>
    <w:p>
      <w:pPr>
        <w:spacing w:after="0" w:line="5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October 6, 2017, upon the terms and subject to the conditions set forth in the Divestiture Agreement (see Note 2 - </w:t>
      </w:r>
      <w:r>
        <w:rPr>
          <w:rFonts w:ascii="Arial" w:cs="Arial" w:eastAsia="Arial" w:hAnsi="Arial"/>
          <w:sz w:val="17"/>
          <w:szCs w:val="17"/>
          <w:i w:val="1"/>
          <w:iCs w:val="1"/>
          <w:color w:val="auto"/>
        </w:rPr>
        <w:t>Business Acquisitions and Divestiture</w:t>
      </w:r>
      <w:r>
        <w:rPr>
          <w:rFonts w:ascii="Arial" w:cs="Arial" w:eastAsia="Arial" w:hAnsi="Arial"/>
          <w:sz w:val="17"/>
          <w:szCs w:val="17"/>
          <w:color w:val="auto"/>
        </w:rPr>
        <w:t>), the Divestiture was completed and Natus paid an aggregate purchase price of $46.4 million. Revenues related to the Divestiture included in the Company's financial results for the three and nine month periods ended September 30, 2017 were 9.6 million and 27.0 million, respectively.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continue to invest in collecting clinical evidence to support our existing products and new product launches, and to ensure that we obtain market access for broader and more cost-effective solutions. In 2017, we introduced seven new regenerative technology products, including new sizes of PriMatrix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OmniGraft</w:t>
      </w:r>
      <w:r>
        <w:rPr>
          <w:rFonts w:ascii="Arial" w:cs="Arial" w:eastAsia="Arial" w:hAnsi="Arial"/>
          <w:sz w:val="22"/>
          <w:szCs w:val="22"/>
          <w:color w:val="auto"/>
          <w:vertAlign w:val="superscript"/>
        </w:rPr>
        <w:t>®</w:t>
      </w:r>
      <w:r>
        <w:rPr>
          <w:rFonts w:ascii="Arial" w:cs="Arial" w:eastAsia="Arial" w:hAnsi="Arial"/>
          <w:sz w:val="16"/>
          <w:szCs w:val="16"/>
          <w:color w:val="auto"/>
        </w:rPr>
        <w:t>, and our largest electromechanical product, the CUSA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Clarity. In the second quarter of 2018, we launched the CUSA Clarity platform in Japan. Our R&amp;D pipeline for 2018 continues to progress, including the launches of AmnioExcel Plus and our Integra XT ankle revision system. We continue to work on advanced shoulder products and are developing a pyrocarbon hemishoulder product to add to our orthopedic reconstruction portfolio, and also remain on track to launch Panta II within the next two quarters. Panta II is a new fusion nail used in ankle fixation. In our electromechanical technologies portfolio, we are focused on the development of core clinical applications and anticipate a steady flow of product launches in the fourth quarter of 2018 and early 2019, including the introduction of a new electrosurgery generator, a next generation ICP monitor platform and an innovative customer-centric toolkit for our Certas valve along with additional shunt configurations. We also work with several instrument partners to bring new surgical instrument patterns to the market, enabling us to add new instruments with minimal expense and invest in ongoing development, such as in LED technology.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Untitled Letter</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22, 2015, the FDA issued an Untitled Letter (the "Untitled Letter") alleging that BioD LLC's ("BioD") morselized amniotic membrane tissue based products do not meet the criteria for regulation as HCT/Ps solely under Section 361 of the Public Health Services Act ("Section 361")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 361.</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 based products would have as much as thirty-six months of enforcement discretion, other high risk uses could be subject to immediate enforcement action. The Company does not believe the uses for its amniotic membrane tissue based products fall into the high-risk category.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 based products.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from BioD morselized amniotic membrane based products for the nine months ended September 30, 2018 were less than 1.0% of consolidated revenues.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three months ended September 30, 2018 was $13.3 million, or $0.15 per diluted share, as compared to $3.2 million or $0.04 per diluted share for the three months ended September 30, 2017.</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nine months ended September 30, 2018 was $35.7 million, or $0.43 per diluted share, as compared to $20.4 million or $0.26 per diluted share for the nine months ended September 30,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from the same period last year resulted from higher sales and better operating expense leverage. Costs and expenses increased sequentially as new employees, especially in selling and general administrative functions, joined the Company and from higher operating and integration expenses associated with the business that we acquired.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5"/>
              </w:rPr>
              <w:t>Three Months Ended September 30,</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5"/>
              </w:rPr>
              <w:t>Nine Months Ended September 30,</w:t>
            </w:r>
          </w:p>
        </w:tc>
        <w:tc>
          <w:tcPr>
            <w:tcW w:w="2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r>
      <w:tr>
        <w:trPr>
          <w:trHeight w:val="264"/>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integration-related charges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24,904</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68,919</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2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1,944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11,885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5,336</w:t>
            </w:r>
          </w:p>
        </w:tc>
        <w:tc>
          <w:tcPr>
            <w:tcW w:w="2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2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Certain employee severance charges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Hurricane related expenses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1,261</w:t>
            </w:r>
          </w:p>
        </w:tc>
        <w:tc>
          <w:tcPr>
            <w:tcW w:w="24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33,438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31,399</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83,217</w:t>
            </w:r>
          </w:p>
        </w:tc>
        <w:tc>
          <w:tcPr>
            <w:tcW w:w="24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5"/>
          <w:szCs w:val="15"/>
          <w:color w:val="auto"/>
        </w:rPr>
        <w:t>*The impairment charges above for the three and nine months ended 2017 were not previously disclosed as special charges in the form 10-Q filed on October 26, 2017.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196"/>
        </w:trPr>
        <w:tc>
          <w:tcPr>
            <w:tcW w:w="5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11,373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12,857</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22,065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23,968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63,981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68,097</w:t>
            </w:r>
          </w:p>
        </w:tc>
      </w:tr>
      <w:tr>
        <w:trPr>
          <w:trHeight w:val="27"/>
        </w:trPr>
        <w:tc>
          <w:tcPr>
            <w:tcW w:w="5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2,263</w:t>
            </w:r>
          </w:p>
        </w:tc>
      </w:tr>
      <w:tr>
        <w:trPr>
          <w:trHeight w:val="27"/>
        </w:trPr>
        <w:tc>
          <w:tcPr>
            <w:tcW w:w="5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33,438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31,399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96,073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83,217</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 We expect additional capital and integration expenses in the fourth quarter of 2018 associated with the integration of Codman Neurosurgery.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objectives that management has established, and against other companies in our industry. We provide this information to investors so that they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can analyze our operating results in the same way that management does and to use this information in their assessment of our core business and valuation of Integra.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9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Segment Net Sales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900" w:type="dxa"/>
            <w:vAlign w:val="bottom"/>
            <w:gridSpan w:val="5"/>
          </w:tcPr>
          <w:p>
            <w:pPr>
              <w:ind w:left="56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Codman Specialty Surgical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239,035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164,760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714,654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480,907</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Orthopedics &amp; Tissue Technologies</w:t>
            </w: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126,819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114,074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374,472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338,727</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365,854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278,834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1,089,126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819,634</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143,245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101,757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425,032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287,340</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 on 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222,609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177,077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664,094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532,294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Gross margin as a percentage of total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2018 as Compared to Three Months Ended September 30,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September 30, 2018, total revenues increased by $87.1 million to $365.9 million from $278.8 million for the same period in 2017. Domestic revenues increased $47.2 million, or 22.1%, to $260.9 million and were 71.3% of total revenues for the three months ended September 30, 2018. International revenues increased by $39.9 million to $105.0 million for the three months ended September 30, 2018 compared to $65.1 million during the same period in the prior year. The increase resulted from sales from products acquired as part of the Codman Neurosurgery acquisition of $78.9 million, a $1.1 million unfavorable impact of foreign exchange as well as growth in both segments of $18.9 million, offset by $9.6 million of revenue from the divested products in 2017.</w:t>
      </w:r>
    </w:p>
    <w:p>
      <w:pPr>
        <w:spacing w:after="0" w:line="13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Codman Specialty Surgical revenues were $239.0 million, an increase of 45.1% from the prior-year period. The increase primarily resulted from revenues from Codman Neurosurgery of $78.9 million. Growth in our legacy Neurosurgery portfolio was primarily driven by our CUSA capital and disposables which increased high-single digits compared to the prior year. Additionally Dural Repair achieved mid-single digit growth driven by DuraSeal and DuraGen in the U.S. compared to the same period last year. Precision Tools and Instruments revenue decreased by low-single digits compared to the same period last year primarily due to revenue declines in our stereotaxy and brain mapping product lines.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Orthopedics and Tissue Technologies revenues were $126.8 million, an increase of 11.2% from the prior-year period. In our Wound Reconstruction and Care portfolio used in inpatient and outpatient procedures, sales of our Integra skin products including, PriMatrix, and amniotic tissue products all increased high-single or low double-digits. Private Label increased by double-digits over the prior period due to timing of customer orders. In our Extremity Orthopedics business, sales declined mid-single digits, driven by a decline in our lower fixation portfolio.</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margin increased to $222.6 million for the three-month period ended September 30, 2018, an increase of $45.5 million from $177.1 million for the same period last year. Gross margin as a percentage of total revenue decreased to 60.8% for the third quarter of 2018 from 63.5% in the same period last year. The decrease in gross margin percentage resulted primarily from dilution related to product sales from the Codman Neurosurgery acquisition that have lower margins than the average for the Company's other product lines. Additionally, there were higher net costs in the quarter associated with amortization for technology-based intangible assets recorded in connection with the Codman Neurosurgery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expect our consolidated gross margin percentage for the full year 2018 to be approximately 61.0%.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gridSpan w:val="2"/>
          </w:tcPr>
          <w:p>
            <w:pPr>
              <w:ind w:left="8360"/>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4"/>
              <w:spacing w:after="0"/>
              <w:rPr>
                <w:sz w:val="20"/>
                <w:szCs w:val="20"/>
                <w:color w:val="auto"/>
              </w:rPr>
            </w:pPr>
            <w:r>
              <w:rPr>
                <w:rFonts w:ascii="Arial" w:cs="Arial" w:eastAsia="Arial" w:hAnsi="Arial"/>
                <w:sz w:val="14"/>
                <w:szCs w:val="14"/>
                <w:b w:val="1"/>
                <w:bCs w:val="1"/>
                <w:color w:val="auto"/>
              </w:rPr>
              <w:t>2017</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7"/>
        </w:trPr>
        <w:tc>
          <w:tcPr>
            <w:tcW w:w="7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$32.5 million, or 19.5%, to $198.9 million in the three months ended September 30, 2018, compared to $166.4 million in the same period last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 the third quarter of 2018 increased by $5.3 million to $20.3 million compared to $15.0 million in the same period last year, primarily from the Codman Acquisition. We expect full-year 2018 spending on research and development to be approximately 5.5% to 6.0% of total revenues.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expenses in the third quarter of 2018 increased by $27.5 million to $173.4 million compared to $145.9 million in the same period last year. As a percentage of revenue, the Company showed improved leverage of 47.4% compared to the prior period of 52.3%. Selling and marketing expenses increased by $23.3 million compared to the third quarter last year, primarily resulting from selling and marketing expenses of Codman Neurosurgery included in the third quarter of 2018 and additional investments in adding direct sales representatives and distributors. We also paid higher commissions resulting from the increase in revenues. General and administrative costs increased by $4.1 million, resulting from additional operating expenses resulting from the Codman Neurosurgery acquisition. We expect full-year selling, general and administrative expenses to be approximately 45.0% of revenue in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w w:val="93"/>
              </w:rPr>
              <w:t>Three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3840" w:type="dxa"/>
            <w:vAlign w:val="bottom"/>
          </w:tcPr>
          <w:p>
            <w:pPr>
              <w:spacing w:after="0"/>
              <w:rPr>
                <w:sz w:val="22"/>
                <w:szCs w:val="22"/>
                <w:color w:val="auto"/>
              </w:rPr>
            </w:pPr>
          </w:p>
        </w:tc>
        <w:tc>
          <w:tcPr>
            <w:tcW w:w="4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22"/>
                <w:szCs w:val="22"/>
                <w:color w:val="auto"/>
              </w:rPr>
            </w:pPr>
          </w:p>
        </w:tc>
      </w:tr>
      <w:tr>
        <w:trPr>
          <w:trHeight w:val="196"/>
        </w:trPr>
        <w:tc>
          <w:tcPr>
            <w:tcW w:w="3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gridSpan w:val="2"/>
          </w:tcPr>
          <w:p>
            <w:pPr>
              <w:jc w:val="center"/>
              <w:ind w:right="33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17"/>
                <w:szCs w:val="17"/>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8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75</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w w:val="98"/>
              </w:rPr>
              <w:t>(14,478)</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(6,761)</w:t>
            </w:r>
          </w:p>
        </w:tc>
      </w:tr>
      <w:tr>
        <w:trPr>
          <w:trHeight w:val="27"/>
        </w:trPr>
        <w:tc>
          <w:tcPr>
            <w:tcW w:w="3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7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1,750</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459"/>
        </w:trPr>
        <w:tc>
          <w:tcPr>
            <w:tcW w:w="3840" w:type="dxa"/>
            <w:vAlign w:val="bottom"/>
          </w:tcPr>
          <w:p>
            <w:pPr>
              <w:spacing w:after="0"/>
              <w:rPr>
                <w:sz w:val="24"/>
                <w:szCs w:val="24"/>
                <w:color w:val="auto"/>
              </w:rPr>
            </w:pPr>
          </w:p>
        </w:tc>
        <w:tc>
          <w:tcPr>
            <w:tcW w:w="3700" w:type="dxa"/>
            <w:vAlign w:val="bottom"/>
          </w:tcPr>
          <w:p>
            <w:pPr>
              <w:jc w:val="right"/>
              <w:ind w:right="1656"/>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expense for the three months ended September 30, 2018 increased by $7.7 million, primarily resulting from an increase in our weighted average interest rate and the higher outstanding balance on our Senior Credit Facility, for the period compared to the same period in 2017. Interest expense also includes amortization of financing costs capitalized in the fourth quarter of 2017. The weighted average interest rate for three months ended September 30, 2018 increased to 3.7% compared to 2.7% for the same period in the prior year mainly because of increases in our consolidated leverage ratio and the LIBOR rate.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September 30, 2018 and 2017.</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(expense), net for the three months ended September 30, 2018 increased by $2.5 million compared to the same period last year. Other income for the third quarter of 2018 was primarily driven by $1.9 million in gains from cross-currency swaps. Other income (expense), net includes the impact of transactional foreign exchanges gains and losses.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336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w w:val="93"/>
              </w:rPr>
              <w:t>Three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3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r>
      <w:tr>
        <w:trPr>
          <w:trHeight w:val="196"/>
        </w:trPr>
        <w:tc>
          <w:tcPr>
            <w:tcW w:w="7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8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w w:val="94"/>
              </w:rPr>
              <w:t>11,024</w:t>
            </w:r>
          </w:p>
        </w:tc>
        <w:tc>
          <w:tcPr>
            <w:tcW w:w="13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3,235</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80" w:type="dxa"/>
            <w:vAlign w:val="bottom"/>
          </w:tcPr>
          <w:p>
            <w:pPr>
              <w:spacing w:after="0"/>
              <w:rPr>
                <w:sz w:val="21"/>
                <w:szCs w:val="21"/>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(2,271)</w:t>
            </w:r>
          </w:p>
        </w:tc>
        <w:tc>
          <w:tcPr>
            <w:tcW w:w="130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76</w:t>
            </w:r>
          </w:p>
        </w:tc>
      </w:tr>
      <w:tr>
        <w:trPr>
          <w:trHeight w:val="27"/>
        </w:trPr>
        <w:tc>
          <w:tcPr>
            <w:tcW w:w="7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(20.6)%</w:t>
            </w:r>
          </w:p>
        </w:tc>
        <w:tc>
          <w:tcPr>
            <w:tcW w:w="1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Tax Cuts and Jobs Act (the "2017 Tax Act") was enacted, which reduced the federal statutory rate from 35% to 21%. The Company’s effective income tax rates for the three months ended September 30, 2018 and 2017 were (20.6)% and 2.3%, respectively. For the three months ended September 30, 2018, in addition to the reduction of the federal statutory rate from 35% to 21% under the 2017 Tax Act, the primary drivers of the reduction in the rate are the additional excess tax benefit of $2.1 million from share-based compensation, and $1.1 million of foreign tax credits, partially offset by the inclusion of the new GILTI provisions of $0.8 million and other tax reform–related changes</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expects its effective income tax rate for the full year to be approximately 0.4%, driven primarily by the new GILTI provisions and other tax reform– related changes, offset by the drop in the federal rate from 35% to 21%, foreign tax credits, and the jurisdictional mix of pretax income in U.S.–based operations relative to foreign operations. This estimate could be revised in the future as additional information is presented to the Company.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Tax Act. The Company recognized the provisional tax impacts related to deemed repatriated earnings and the revaluation of deferred tax assets and liabilities and included these amounts in its consolidated financial statements for the twelve months ended December 31, 2017. The Company has not recognized adjustments related to these provisional amounts during the three months ended September 30, 2018.</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recognized the provisions of the 2017 Tax Act, which became effective during the three months ended March 31, 2018 and included GILTI provisions and provisions involving limitations to the deductibility of executive compensation, interest expense, and certain employee fringe benefits. The ultimate impact may differ from these provisional amounts, possibly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materially, because of, among other things, additional analysis, changes in interpretations and assumptions made by the Company, additional regulatory guidance that may be issued and actions that the Company may take as a result of the 2017 Tax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2018 as Compared to Nine Months Ended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2018, total revenues increased by $269.5 million to $1,089.1 million from $819.6 million during the prior-year period. Domestic revenues increased $135.5 million, or 21.4%, to $769.5 million and were 70.7% of total revenues. International revenues increased by $134.0 million to $319.6 million for the nine months ended September 30, 2018 compared to $185.6 million during the same period in the prior year. The increase resulted from sales from products acquired as part of the Codman Neurosurgery acquisition of $236.0 million, a $6.4 million favorable impact of foreign exchange as well as growth in both segments of $54.1 million which includes nine months of Derma Sciences revenue in 2018, offset by $27.0 million of revenue from the divested products in 2017.</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Codman Specialty Surgical revenues were $714.7 million, an increase of 48.6% from the prior-year period. The increase resulted from sales from products acquired as part of the Codman Neurosurgery acquisition of $236.0 million. Growth in our legacy Neurosurgery portfolio was primarily driven by our CUSA capital and disposables. Precision Tools and Instruments growth remained relatively flat period over period.</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Orthopedics and Tissue Technologies revenues were $374.5 million, an increase of 10.6% from the prior-year period. In our Wound Reconstruction and Care portfolio used in inpatient and outpatient procedures, sales of our Integra skin products including, PriMatrix, and amniotic tissue products all increased high-single or low-double digits. Private Label increased by mid-single digits over the prior period due to increased volume in the business. In our Extremity Orthopedics business, sales declined low-single digits driven by a decline in our lower fixation portfolio.</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margin increased to $664.1 million for the nine-month period ended September 30, 2018, an increase from $532.3 million for the same period last year. Gross margin as a percentage of total revenue decreased to 61.0% for the year to date period from 64.9% for the same period last year. The decrease in gross margin percentage resulted primarily from dilution related to product sales from the Codman Neurosurgery acquisition that have lower margins than the average for the Company's other product lines. Additionally, there were higher net costs associated with fair value inventory purchase accounting adjustments and amortization for technology-based intangible assets recorded in connection with the Codman Neurosurgery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23495</wp:posOffset>
            </wp:positionV>
            <wp:extent cx="1663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220"/>
        <w:spacing w:after="0"/>
        <w:tabs>
          <w:tab w:leader="none" w:pos="1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23495</wp:posOffset>
            </wp:positionV>
            <wp:extent cx="1663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5.6%</w:t>
      </w:r>
    </w:p>
    <w:p>
      <w:pPr>
        <w:spacing w:after="0" w:line="63"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6"/>
          <w:szCs w:val="16"/>
          <w:color w:val="auto"/>
        </w:rPr>
        <w:t>52.9%</w:t>
      </w:r>
    </w:p>
    <w:p>
      <w:pPr>
        <w:spacing w:after="0" w:line="6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1.8%</w:t>
      </w:r>
    </w:p>
    <w:p>
      <w:pPr>
        <w:spacing w:after="0" w:line="77"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53.9%</w:t>
      </w:r>
      <w:r>
        <w:rPr>
          <w:sz w:val="20"/>
          <w:szCs w:val="20"/>
          <w:color w:val="auto"/>
        </w:rPr>
        <w:tab/>
      </w:r>
      <w:r>
        <w:rPr>
          <w:rFonts w:ascii="Arial" w:cs="Arial" w:eastAsia="Arial" w:hAnsi="Arial"/>
          <w:sz w:val="16"/>
          <w:szCs w:val="16"/>
          <w:color w:val="auto"/>
        </w:rPr>
        <w:t>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48895</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125" w:right="239" w:bottom="1440" w:gutter="0" w:footer="0" w:header="0"/>
          <w:type w:val="continuous"/>
        </w:sectPr>
      </w:pP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$92.5 million, or 18.7%, to $587.2 million for the first nine months of 2018, compared to $494.7 million in the same period last year.</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 the first nine months of 2018 increased approximately $11.5 million to $57.8 million compared to $46.3 million, primarily from the Codman Neurosurgery acquisition.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 the first nine months of 2018 increased by $80.0 million to $513.5 million compared to $433.5 million in the same period last year. As a percentage of revenue, the Company showed improved leverage of 47.1% compared to the prior period of 52.9%. Selling and marketing expenses increased by $65.1 million, primarily from selling and marketing expenses of the acquired Codman Neurosurgery business and investments in connection with the addition of direct sales representatives and distributors. We also paid higher commissions resulting from the increase in revenues. General and administrative costs increased by $15.0 million, resulting primarily from additional operating expenses resulting from the Codman Neurosurgery acquisition.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 the first nine months of 2018 increased by $0.9 million to $15.9 million, compared to $15.0 million in the same period last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 the first nine months of 2018 reflects the increase in intangibles due to the acquisitions in 2017.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9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9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325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(50,750)</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(18,073)</w:t>
            </w:r>
          </w:p>
        </w:tc>
      </w:tr>
      <w:tr>
        <w:trPr>
          <w:trHeight w:val="27"/>
        </w:trPr>
        <w:tc>
          <w:tcPr>
            <w:tcW w:w="9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6,422</w:t>
            </w: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r>
      <w:tr>
        <w:trPr>
          <w:trHeight w:val="27"/>
        </w:trPr>
        <w:tc>
          <w:tcPr>
            <w:tcW w:w="9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for the nine month period ended September 30, 2018 increased by $32.7 million, primarily resulting from an increase in our weighted average interest rate and the higher outstanding balance on our Senior Credit Facility for the period compared to the same period in 2017. Interest expense also includes amortization of financing costs capitalized in the fourth quarter of 2017. The weighted average interest rate for nine months ended September 30, 2018 increased to 3.7% compared to 2.7% for the same period in the prior year mainly because of increases in our consolidated leverage ratio and the LIBOR rate. Interest expense in 2018 also includes a $0.8 million write-off of previously capitalized financing costs associated with the May 2018 Amendment.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nine months ended September 30, 2018 and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net for the nine months ended September 30, 2018 increased by $10.1 million compared to the same period last year. Other income for the nine months ended September 30, 2018 was primarily driven by a $5.9 million gain from cross-currency swaps. Other income (expense), net for the nine months ended September 30, 2017 includes a $2.3 million loss on a sale of short term investments. Other income (expense), net includes the impact of transactional foreign exchanges gains and losses.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ind w:right="7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196"/>
        </w:trPr>
        <w:tc>
          <w:tcPr>
            <w:tcW w:w="8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left="579"/>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7"/>
                <w:szCs w:val="17"/>
                <w:color w:val="auto"/>
              </w:rPr>
            </w:pPr>
          </w:p>
        </w:tc>
      </w:tr>
      <w:tr>
        <w:trPr>
          <w:trHeight w:val="256"/>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32,887</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15,982</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(2,776)</w:t>
            </w:r>
          </w:p>
        </w:tc>
        <w:tc>
          <w:tcPr>
            <w:tcW w:w="50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(4,406)</w:t>
            </w:r>
          </w:p>
        </w:tc>
      </w:tr>
      <w:tr>
        <w:trPr>
          <w:trHeight w:val="27"/>
        </w:trPr>
        <w:tc>
          <w:tcPr>
            <w:tcW w:w="8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nine months ended September 30, 2018 and 2017 were (8.4)% and (27.6)%,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2018, the primary drivers of the higher tax rate are higher income before income taxes compared to the same period in 2017 and the inclusion of the new GILTI provisions and other tax reform-related changes, offset by the reduction in the federal statutory rate from 35% to 21%. The nine months ended September 30, 2017 included an additional tax benefit of $1.9 million related to share-based compensation, when compared to the same period in 2018.</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expects its effective income tax rate for the full year to be approximately 0.4%, driven primarily by the new GILTI provisions and other tax reform–related changes, offset by the drop in the federal rate from 35% to 21%, foreign tax credits, and the jurisdictional mix of pretax income in U.S.–based operations relative to foreign operations. This estimate could be revised in the future as additional information is presented to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29, 2017, the United Kingdom ("UK") provided formal notice of its intention to leave the European Union ("EU"). This notice began the two-year negotiation process for the UK’s exit. Existing tax exemptions and tax relief between the UK and EU member states will most likely cease. The Company has entities domiciled in the UK and conducts transactions with entities within the EU. New tax legislation or renegotiated exemptions and tax relief could result in additional tax liabilities. The Company will continue to monitor the ongoing negotiations and will assess the impact on its tax expense.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recognized the provisions of the 2017 Tax Act which became effective during the three months ended March 31, 2018 and included GILTI provisions and provisions involving limitations to the deductibility of executive compensation, interest expense, and certain employee fringe benefits. The ultimate impact may differ from these provisional amounts, possibly materially, because of, among other things, additional analysis, changes in interpretations and assumptions made by the Company, additional regulatory guidance that may be issued and actions that the Company may take as a result of the 2017 Tax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6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260,870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213,685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769,509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634,047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47,472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32,609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150,650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93,924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37,022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20,490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15,653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60,663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43,123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365,854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278,834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1,089,126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819,634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Domestic revenues increased to $260.9 million, or 71% of total revenues, for the three months ended September 30, 2018 from $213.7 million, or 77% of total revenues. The Codman Neurosurgery acquisitions accounted for $36.6 million of the increase in domestic revenues. Additionally, growth in domestic revenues was driven by CUSA capital and disposables, DuraSeal, Integra skin, amniotic tissues, and PriMatrix. European sales increased by $14.9 million for the three months ended September 30, 2018 compared to the same period last year, resulting primarily from $17.4 million related to the Codman Neurosurgery acquisition as well as an increase in revenues from our regenerative technologies portfolio and CUSA disposables. The increase in revenues related to Codman Neurosurgery was partially offset by a decrease in revenues for Precision Tools and Instruments for the three months ended September 30, 2018. Sales to customers in Asia Pacific and the Rest of the World for the three months ended September 30, 2018 increased by $25.0 million compared to the same period last year, primarily driven by the acquisition of Codman Neurosurgery. Foreign exchange fluctuations on international revenues had an unfavorable impact of $1.1 million on revenues for the three months ended September 30, 2018 compared to the same period in 2017.</w:t>
      </w:r>
    </w:p>
    <w:p>
      <w:pPr>
        <w:spacing w:after="0" w:line="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revenues increased to $769.5 million, or 71% of total revenues, for the nine months ended September 30, 2018 from $634.0 million, or 77% of total revenues. The Codman Neurosurgery acquisitions accounted for $109.3 million of the increase in domestic revenues. Additionally, growth in domestic revenues was driven by CUSA capital and disposables, DuraSeal, Integra skin, amniotic tissues, and PriMatrix. European sales increased by $56.7 million for the nine months ended September 30, 2018</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compared to the same period last year, resulting primarily from $54.0 million related to the Codman Neurosurgery acquisition as well as an increase in revenues from our regenerative technologies portfolio and CUSA disposables. Sales to customers in Asia Pacific and the Rest of the World for the nine months ended September 30, 2018 increased by $77.3 million, primarily driven by the acquisition of Codman Neurosurgery. Foreign exchange fluctuations on international revenues had a favorable impact of $6.4 million on revenues for the nine months ended September 30, 2018 compared to the same period in 2017.</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had cash and cash equivalents totaling approximately $206.0 million and $174.9 million at September 30, 2018 and December 31, 2017, respectively, which are valued based on Level 1 measurements in the fair value hierarchy. At September 30, 2018, our non-U.S. subsidiaries held approximately $188.9 million of cash and cash equivalents that are available for use outside the U.S. If cash and cash equivalents held by our non-U.S. subsidiaries were repatriated to the U.S., or used for operations, certain amounts could be subject to tax in the U. S. for the incremental amount in excess of the foreign tax paid. On October 8, 2018, the Company repatriated $47.7 million from non-U.S. subsidiaries into the U.S.</w:t>
      </w:r>
    </w:p>
    <w:p>
      <w:pPr>
        <w:spacing w:after="0" w:line="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Tax Act imposes a Toll Tax of 15.5% on cash and cash equivalents and 8.0% on all foreign earnings related to the deemed repatriation of undistributed earnings of foreign subsidiaries. An income tax expense of approximately $5.5 million was computed as a Toll Tax on certain foreign earnings for the year ended December 31, 2017, of which $4.6 million is expected to be paid within one year. We intend to indefinitely reinvest future earnings of the Company’s foreign subsidiaries and will evaluate this position each quarter. This evaluation process will be dependent on working capital needs, investment in operations and future acquisitions. If we determine a change in this position, we will provide for any US and non-U.S. taxes on these earnings except in certain cases where there are no material income tax consequences for repatriation.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6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2"/>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CCEEFF"/>
            </w:tcBorders>
            <w:shd w:val="clear" w:color="auto" w:fill="CCEEFF"/>
          </w:tcPr>
          <w:p>
            <w:pPr>
              <w:jc w:val="right"/>
              <w:ind w:right="88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156,995</w:t>
            </w:r>
          </w:p>
        </w:tc>
        <w:tc>
          <w:tcPr>
            <w:tcW w:w="110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102,995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w w:val="98"/>
              </w:rPr>
              <w:t>(24,375)</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(237,767)</w:t>
            </w:r>
          </w:p>
        </w:tc>
      </w:tr>
      <w:tr>
        <w:trPr>
          <w:trHeight w:val="27"/>
        </w:trPr>
        <w:tc>
          <w:tcPr>
            <w:tcW w:w="7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8"/>
              </w:rPr>
              <w:t>(96,817)</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504,733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(4,747)</w:t>
            </w:r>
          </w:p>
        </w:tc>
        <w:tc>
          <w:tcPr>
            <w:tcW w:w="11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9,927</w:t>
            </w:r>
          </w:p>
        </w:tc>
      </w:tr>
    </w:tbl>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2018, we anticipate that our principal uses of cash will include approximately $65.0 to $75.0 million of capital expenditures, primarily for support and maintenance in our existing plants for facility automation, additions to our instruments kits used in the sales of orthopedic products and development of our new Mansfield, Massachusetts facility, which will be used to manufacture products acquired as part of the Codman Neurosurgery transaction.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generated operating cash flows of $157.0 million for the nine months ended September 30, 2018, an increase of $54.0 million from $103.0 million for the same period in 2017. Net income after non-cash adjustments increased for the nine months ended September 30, 2018 by approximately $44.9 million compared to the same period in 2017, which resulted primarily from the Codman Neurosurgery acquisition in 2017. The changes in assets and liabilities, net of business acquisitions, increased cash flows from operating activities by $9.6 million for the nine months ended September 30, 2018 compared to an increase of $0.5 million for the same period in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2018, we paid $52.1 million for capital expenditures, most of which were directed to the expansion of our new Mansfield, Massachusetts facility, and commercial expansion. We received $26.7 million from the Codman Neurosurgery acquisition for a working capital adjustment.</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2017, we paid $29.8 million for capital expenditures, most of which were directed to the expansion of a manufacturing facility and commercial expansion. We also used $225.6 million for acquisitions, net of cash acquired. We received $17.0 million from sale of short-term investments acquired from Derma Sciences.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(Used in) Financing Activities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cash from financing activities in the nine months ended September 30, 2018 were $349.6 million from the issuance of common stock and $50.0 million in borrowings under our Senior Credit Facility. These were offset by repayments of $460.0 million on the revolving portion of our Senior Credit Facility and $33.8 million in net cash paid for financing liabilities from business acquisitions.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source of cash from financing activities in the nine months ended September 30, 2017 was $571.4 million in borrowings under our Senior Credit Facility used to acquire Derma Sciences and to fund a portion of the Codman Acquisition and proceeds that we received from the exercise of stock options of $9.8 million, offset by repayments of $65.0 million on the revolving portion of our Senior Credit Facility and $6.8 million cash taxes paid in net equity settlement. In the third quarter of 2017, we paid $4.8 million related to the BioD Earnout Payments.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Debt Maturities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first quarterly installment of the Company's Term Loan component of its Senior Credit Facility is due on September 30, 2019. The Company recorded $11.3 million as a current liability in the Company's consolidated balance sheet.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amended and restated Senior Credit Agreement and Note 7 -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discussion of our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25, 2016, our Board of Directors terminated its October 2014 authorization for the repurchase of its outstanding common stock and authorized management to repurchase up to $150.0 million of its outstanding common stock through December 2018. Shares may be repurchased either in the open market or in privately negotiated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repurchased any shares of common stock under these authorizations through September 30,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off–balance sheet financing arrangements during the nine months ended September 30, 2018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were obligated to pay the following amounts under various agreements: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 2018</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2019-2020</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2021-2022</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545.0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123.7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708.8</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139.7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Employment Agreements (3)</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Contingent Consideration - Confluent</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1,769.2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1,375.3</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840" w:right="40" w:hanging="293"/>
        <w:spacing w:after="0" w:line="264"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from time to time and considers all of the outstanding amounts to be long term based on its current intent and ability to repay the borrowing outside of the next twelve-month period.</w:t>
      </w:r>
    </w:p>
    <w:p>
      <w:pPr>
        <w:spacing w:after="0" w:line="19" w:lineRule="exact"/>
        <w:rPr>
          <w:rFonts w:ascii="Arial" w:cs="Arial" w:eastAsia="Arial" w:hAnsi="Arial"/>
          <w:sz w:val="18"/>
          <w:szCs w:val="18"/>
          <w:color w:val="auto"/>
        </w:rPr>
      </w:pPr>
    </w:p>
    <w:p>
      <w:pPr>
        <w:ind w:left="840" w:right="40" w:hanging="293"/>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excluded its contingent consideration obligation related to a prior acquisition from the contractual obligations table above; this liability had a total estimated fair value of $0.3 million at September 30, 2018. This liability has been excluded because the amount to be paid and the potential payment date is not fixed.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excluded the liability for uncertain tax benefits from the contractual obligations table above, including interest and penalties, totaling $0.4 million at September 30, 2018. This liability for uncertain tax benefits has been excluded because we cannot make a reliable estimate of the period in which the uncertain tax benefits may be realized.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2017 have not materially 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record realized and unrealized gains and losses on these contracts that qualify as cash flow hedges in other comprehensive income, and then recognize them in other income or expense when the hedged item affects net earnings.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2017, we entered into cross-currency swap agreements to convert our Swiss Franc ("CHF") denominated intercompany loans into U.S. dollars. The objective of these cross-currency swaps is to reduce volatility of earnings and cash flows associated with changes in the foreign currency exchange rate. Under the terms of these contracts, which have been designated as cash flow hedges, we will make interest payments in CHF and receive interest in U.S. dollars. Upon the maturity of these contracts, the Company will pay the principal amount of the loans in CHF and receive U.S. dollars from the counterparties. See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details of the cross-currency swaps.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November 2017, we entered into a foreign currency forward contract to mitigate the foreign currency exchange risk related to certain intercompany loans denominated in CHF. The contract is not designated as a hedging instrument. See Note 7, </w:t>
      </w:r>
      <w:r>
        <w:rPr>
          <w:rFonts w:ascii="Arial" w:cs="Arial" w:eastAsia="Arial" w:hAnsi="Arial"/>
          <w:sz w:val="16"/>
          <w:szCs w:val="16"/>
          <w:i w:val="1"/>
          <w:iCs w:val="1"/>
          <w:color w:val="auto"/>
        </w:rPr>
        <w:t>Derivative Instruments</w:t>
      </w:r>
      <w:r>
        <w:rPr>
          <w:rFonts w:ascii="Arial" w:cs="Arial" w:eastAsia="Arial" w:hAnsi="Arial"/>
          <w:sz w:val="16"/>
          <w:szCs w:val="16"/>
          <w:color w:val="auto"/>
        </w:rPr>
        <w:t>, for details of the cross currency swaps.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2018, we entered into cross-currency swap agreements designated as net investment hedges to partially offset the effects of foreign currency on foreign subsidiaries with Swiss Franc ("CHF") and Euro ("EUR") designated functional currencies. Under the terms of these contracts, which have been designated as cash flow hedges, we will make interest payments in CHF and EUR and receive interest in U.S. dollars. Upon the maturity of these contracts, the Company will pay the principal amount of the loans in CHF and EUR and receive U.S. dollars from the counterparties. See Note 7,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details of the cross-currency swaps.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resulting from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September 30, 2018 would increase interest income by approximately $2.1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use interest rate derivative instruments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 our earnings and cash flow exposure to changes in interest rates. This interest rate swap fixes the interest rate on a portion of our expected LIBOR-indexed floating-rate borrowings beginning various dates starting on December 31, 2016. See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the details of interest rate swaps.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outstanding borrowings at September 30, 2018, a one-percentage point change in interest rates would affect interest expense on the debt by $5.5 million on an annualized basis.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cost-benefit relationship of possible controls and procedures. Management has designed our disclosure controls and procedures to provide reasonable assurance of achieving the desired control objectives.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2018. Based upon this evaluation, our principal executive officer and principal financial officer concluded that our disclosure controls and procedures were effective as of September 30, 2018 to provide such reasonable assurance.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September 30, 2018 that have materially affected, or are reasonably likely to materially affect, our internal control over financial reporting.</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As of October 11, 2018, only one active case remained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$2.95 million of the $3.0 million; the remainder represents TEI’s deductible which has already been paid). Because the thrust of the products liability litigation focuses on synthetic surgical mesh products, counsel is filing motions to dismiss on behalf of TEI in many cases. In addition, Integra has certain protections in the merger agreements with TEI which would indemnify the Company for up to three years after closing for losses relating to a variety of matters, including half of certain products liability claims (including those related to the product it manufactures for BSC) not covered by insurance. As of September 30, 2018, no indemnification payments were received nor owed in relation to the lawsuits for the indemnification time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3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disclosed and described in </w:t>
      </w:r>
      <w:r>
        <w:rPr>
          <w:rFonts w:ascii="Arial" w:cs="Arial" w:eastAsia="Arial" w:hAnsi="Arial"/>
          <w:sz w:val="16"/>
          <w:szCs w:val="16"/>
          <w:i w:val="1"/>
          <w:iCs w:val="1"/>
          <w:color w:val="auto"/>
        </w:rPr>
        <w:t>Note 2 -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Acquisition</w:t>
      </w:r>
      <w:r>
        <w:rPr>
          <w:rFonts w:ascii="Arial" w:cs="Arial" w:eastAsia="Arial" w:hAnsi="Arial"/>
          <w:sz w:val="18"/>
          <w:szCs w:val="18"/>
          <w:color w:val="auto"/>
        </w:rPr>
        <w:t>, to the Company's consolidated financial statements for the three months ended September 30, 2018, Integra assumed this contingent liability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risk factors included in our Annual Report on Form 10-K for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under the repurchase program during the nine months ended September 30,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Richard Gorelick’s upcoming retirement on January 2, 2019 from the Corporation as Corporate Vice President, General Counsel, Administration and Secretary, the Compensation Committee of the Board of Directors approved the payment to Mr. Gorelick of $1,995,000, upon receipt of Mr. Gorelick’s timely execution and non-revocation of an Agreement and General Release.</w:t>
      </w:r>
    </w:p>
    <w:p>
      <w:pPr>
        <w:spacing w:after="0" w:line="1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Upon the hiring of the new Corporate Vice President, General Counsel and Secretary, Mr. Gorelick will resign as an officer of the Company and assume the role of Special Advisor until his retirement date on January 2,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Exhibits</w:t>
      </w:r>
    </w:p>
    <w:p>
      <w:pPr>
        <w:spacing w:after="0" w:line="31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74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Certification of Principal Executive Officer Pursuant to Section 302 of the Sarbanes-Oxley Act of 2002</w:t>
              </w:r>
            </w:hyperlink>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742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Certification of Principal Financial Officer Pursuant to Section 302 of the Sarbanes-Oxley Act of 2002</w:t>
              </w:r>
            </w:hyperlink>
          </w:p>
        </w:tc>
        <w:tc>
          <w:tcPr>
            <w:tcW w:w="20" w:type="dxa"/>
            <w:vAlign w:val="bottom"/>
          </w:tcPr>
          <w:p>
            <w:pPr>
              <w:spacing w:after="0"/>
              <w:rPr>
                <w:sz w:val="24"/>
                <w:szCs w:val="24"/>
                <w:color w:val="auto"/>
              </w:rPr>
            </w:pPr>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744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Certification of Principal Executive Officer Pursuant to Section 906 of the Sarbanes-Oxley Act of 2002</w:t>
              </w:r>
            </w:hyperlink>
          </w:p>
        </w:tc>
      </w:tr>
      <w:tr>
        <w:trPr>
          <w:trHeight w:val="520"/>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7400" w:type="dxa"/>
            <w:vAlign w:val="bottom"/>
            <w:tcBorders>
              <w:bottom w:val="single" w:sz="8" w:color="0000FF"/>
            </w:tcBorders>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Certification of Principal Financial Officer Pursuant to Section 906 of the Sarbanes-Oxley Act of 2002</w:t>
              </w:r>
            </w:hyperlink>
          </w:p>
        </w:tc>
        <w:tc>
          <w:tcPr>
            <w:tcW w:w="40" w:type="dxa"/>
            <w:vAlign w:val="bottom"/>
            <w:gridSpan w:val="2"/>
          </w:tcPr>
          <w:p>
            <w:pPr>
              <w:spacing w:after="0"/>
              <w:rPr>
                <w:sz w:val="24"/>
                <w:szCs w:val="24"/>
                <w:color w:val="auto"/>
              </w:rPr>
            </w:pPr>
          </w:p>
        </w:tc>
      </w:tr>
      <w:tr>
        <w:trPr>
          <w:trHeight w:val="561"/>
        </w:trPr>
        <w:tc>
          <w:tcPr>
            <w:tcW w:w="114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3"/>
              </w:rPr>
              <w:t>*†101.SCH</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6"/>
              </w:rPr>
              <w:t>*†101.CAL</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5"/>
              </w:rPr>
              <w:t>*†101.DEF</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7"/>
              </w:rPr>
              <w:t>*†101.LAB</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140" w:type="dxa"/>
            <w:vAlign w:val="bottom"/>
          </w:tcPr>
          <w:p>
            <w:pPr>
              <w:jc w:val="right"/>
              <w:ind w:right="190"/>
              <w:spacing w:after="0"/>
              <w:rPr>
                <w:sz w:val="20"/>
                <w:szCs w:val="20"/>
                <w:color w:val="auto"/>
              </w:rPr>
            </w:pPr>
            <w:r>
              <w:rPr>
                <w:rFonts w:ascii="Arial" w:cs="Arial" w:eastAsia="Arial" w:hAnsi="Arial"/>
                <w:sz w:val="18"/>
                <w:szCs w:val="18"/>
                <w:color w:val="auto"/>
                <w:w w:val="94"/>
              </w:rPr>
              <w:t>*†101.PRE</w:t>
            </w:r>
          </w:p>
        </w:tc>
        <w:tc>
          <w:tcPr>
            <w:tcW w:w="74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hanging="685"/>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2018 filed on November 1, 2018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440"/>
              <w:spacing w:after="0"/>
              <w:rPr>
                <w:sz w:val="20"/>
                <w:szCs w:val="20"/>
                <w:color w:val="auto"/>
              </w:rPr>
            </w:pPr>
            <w:r>
              <w:rPr>
                <w:rFonts w:ascii="Arial" w:cs="Arial" w:eastAsia="Arial" w:hAnsi="Arial"/>
                <w:sz w:val="18"/>
                <w:szCs w:val="18"/>
                <w:color w:val="auto"/>
              </w:rPr>
              <w:t>November 1, 2018</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8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8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440"/>
              <w:spacing w:after="0"/>
              <w:rPr>
                <w:sz w:val="20"/>
                <w:szCs w:val="20"/>
                <w:color w:val="auto"/>
              </w:rPr>
            </w:pPr>
            <w:r>
              <w:rPr>
                <w:rFonts w:ascii="Arial" w:cs="Arial" w:eastAsia="Arial" w:hAnsi="Arial"/>
                <w:sz w:val="18"/>
                <w:szCs w:val="18"/>
                <w:color w:val="auto"/>
              </w:rPr>
              <w:t>November 1, 2018</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Glenn G. Coleman</w:t>
            </w:r>
          </w:p>
        </w:tc>
      </w:tr>
      <w:tr>
        <w:trPr>
          <w:trHeight w:val="27"/>
        </w:trPr>
        <w:tc>
          <w:tcPr>
            <w:tcW w:w="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Glenn G. Coleman</w:t>
            </w:r>
          </w:p>
        </w:tc>
      </w:tr>
      <w:tr>
        <w:trPr>
          <w:trHeight w:val="270"/>
        </w:trPr>
        <w:tc>
          <w:tcPr>
            <w:tcW w:w="8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270"/>
        </w:trPr>
        <w:tc>
          <w:tcPr>
            <w:tcW w:w="8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440"/>
              <w:spacing w:after="0"/>
              <w:rPr>
                <w:sz w:val="20"/>
                <w:szCs w:val="20"/>
                <w:color w:val="auto"/>
              </w:rPr>
            </w:pPr>
            <w:r>
              <w:rPr>
                <w:rFonts w:ascii="Arial" w:cs="Arial" w:eastAsia="Arial" w:hAnsi="Arial"/>
                <w:sz w:val="18"/>
                <w:szCs w:val="18"/>
                <w:color w:val="auto"/>
              </w:rPr>
              <w:t>November 1, 2018</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Jeffrey A. Mosebrook</w:t>
            </w:r>
          </w:p>
        </w:tc>
      </w:tr>
      <w:tr>
        <w:trPr>
          <w:trHeight w:val="27"/>
        </w:trPr>
        <w:tc>
          <w:tcPr>
            <w:tcW w:w="8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8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70"/>
        </w:trPr>
        <w:tc>
          <w:tcPr>
            <w:tcW w:w="8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Vice President, Corporate Controller</w:t>
            </w:r>
          </w:p>
        </w:tc>
      </w:tr>
      <w:tr>
        <w:trPr>
          <w:trHeight w:val="270"/>
        </w:trPr>
        <w:tc>
          <w:tcPr>
            <w:tcW w:w="8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702"/>
        </w:trPr>
        <w:tc>
          <w:tcPr>
            <w:tcW w:w="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9"/>
              </w:rPr>
              <w:t>Table of Contents</w:t>
            </w: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4"/>
        </w:trPr>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Exhibits</w:t>
            </w:r>
          </w:p>
        </w:tc>
        <w:tc>
          <w:tcPr>
            <w:tcW w:w="1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0"/>
        </w:trPr>
        <w:tc>
          <w:tcPr>
            <w:tcW w:w="6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Principal Executive Officer Pursuant to Section 302 of the Sarbanes-Oxley Act of 2002</w:t>
              </w:r>
            </w:hyperlink>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Principal Financial Officer Pursuant to Section 302 of the Sarbanes-Oxley Act of 2002</w:t>
              </w:r>
            </w:hyperlink>
          </w:p>
        </w:tc>
        <w:tc>
          <w:tcPr>
            <w:tcW w:w="40" w:type="dxa"/>
            <w:vAlign w:val="bottom"/>
          </w:tcPr>
          <w:p>
            <w:pPr>
              <w:spacing w:after="0"/>
              <w:rPr>
                <w:sz w:val="24"/>
                <w:szCs w:val="24"/>
                <w:color w:val="auto"/>
              </w:rPr>
            </w:pPr>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Certification of Principal Executive Officer Pursuant to Section 906 of the Sarbanes-Oxley Act of 2002</w:t>
              </w:r>
            </w:hyperlink>
          </w:p>
        </w:tc>
      </w:tr>
      <w:tr>
        <w:trPr>
          <w:trHeight w:val="52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60" w:type="dxa"/>
            <w:vAlign w:val="bottom"/>
            <w:gridSpan w:val="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Principal Financial Officer Pursuant to Section 906 of the Sarbanes-Oxley Act of 2002</w:t>
              </w:r>
            </w:hyperlink>
          </w:p>
        </w:tc>
      </w:tr>
      <w:tr>
        <w:trPr>
          <w:trHeight w:val="561"/>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*†101.INS</w:t>
            </w:r>
          </w:p>
        </w:tc>
        <w:tc>
          <w:tcPr>
            <w:tcW w:w="74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gridSpan w:val="2"/>
          </w:tcPr>
          <w:p>
            <w:pPr>
              <w:spacing w:after="0"/>
              <w:rPr>
                <w:sz w:val="24"/>
                <w:szCs w:val="24"/>
                <w:color w:val="auto"/>
              </w:rPr>
            </w:pP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*†101.SCH</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*†101.CAL</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*†101.DEF</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*†101.LAB</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*†101.PRE</w:t>
            </w:r>
          </w:p>
        </w:tc>
        <w:tc>
          <w:tcPr>
            <w:tcW w:w="746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2018 filed on November 1, 2018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0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November 1, 2018</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November 1, 2018</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2018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1."/>
      <w:numFmt w:val="decimal"/>
      <w:start w:val="3"/>
    </w:lvl>
  </w:abstractNum>
  <w:abstractNum w:abstractNumId="6">
    <w:nsid w:val="3352255A"/>
    <w:multiLevelType w:val="hybridMultilevel"/>
    <w:lvl w:ilvl="0">
      <w:lvlJc w:val="left"/>
      <w:lvlText w:val="%1."/>
      <w:numFmt w:val="lowerRoman"/>
      <w:start w:val="1"/>
    </w:lvl>
  </w:abstractNum>
  <w:abstractNum w:abstractNumId="7">
    <w:nsid w:val="109CF92E"/>
    <w:multiLevelType w:val="hybridMultilevel"/>
    <w:lvl w:ilvl="0">
      <w:lvlJc w:val="left"/>
      <w:lvlText w:val="%1."/>
      <w:numFmt w:val="lowerRoman"/>
      <w:start w:val="1"/>
    </w:lvl>
    <w:lvl w:ilvl="1">
      <w:lvlJc w:val="left"/>
      <w:lvlText w:val="%2."/>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3"/>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
      <w:numFmt w:val="bullet"/>
      <w:start w:val="1"/>
    </w:lvl>
    <w:lvl w:ilvl="1">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2019-12-28T18:20:31Z</dcterms:created>
  <dcterms:modified xsi:type="dcterms:W3CDTF">2019-12-28T18:20:31Z</dcterms:modified>
</cp:coreProperties>
</file>