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3"/>
          <w:szCs w:val="13"/>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Washington, D.C. 20549</w:t>
      </w:r>
    </w:p>
    <w:p>
      <w:pPr>
        <w:spacing w:after="0" w:line="78" w:lineRule="exact"/>
        <w:rPr>
          <w:sz w:val="24"/>
          <w:szCs w:val="24"/>
          <w:color w:val="auto"/>
        </w:rPr>
      </w:pPr>
    </w:p>
    <w:p>
      <w:pPr>
        <w:ind w:left="4500"/>
        <w:spacing w:after="0"/>
        <w:rPr>
          <w:sz w:val="20"/>
          <w:szCs w:val="20"/>
          <w:color w:val="auto"/>
        </w:rPr>
      </w:pPr>
      <w:r>
        <w:rPr>
          <w:rFonts w:ascii="Arial" w:cs="Arial" w:eastAsia="Arial" w:hAnsi="Arial"/>
          <w:sz w:val="13"/>
          <w:szCs w:val="13"/>
          <w:b w:val="1"/>
          <w:bCs w:val="1"/>
          <w:color w:val="auto"/>
        </w:rPr>
        <w:t>SCHEDULE 14A</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(RULE 14a-101)</w:t>
      </w:r>
    </w:p>
    <w:p>
      <w:pPr>
        <w:spacing w:after="0" w:line="68"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INFORMATION REQUIRED IN PROXY STATEMENT</w:t>
      </w:r>
    </w:p>
    <w:p>
      <w:pPr>
        <w:spacing w:after="0" w:line="101"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SCHEDULE 14A INFORMATION</w:t>
      </w:r>
    </w:p>
    <w:p>
      <w:pPr>
        <w:spacing w:after="0" w:line="91" w:lineRule="exact"/>
        <w:rPr>
          <w:sz w:val="24"/>
          <w:szCs w:val="24"/>
          <w:color w:val="auto"/>
        </w:rPr>
      </w:pPr>
    </w:p>
    <w:p>
      <w:pPr>
        <w:ind w:left="2680"/>
        <w:spacing w:after="0"/>
        <w:rPr>
          <w:sz w:val="20"/>
          <w:szCs w:val="20"/>
          <w:color w:val="auto"/>
        </w:rPr>
      </w:pPr>
      <w:r>
        <w:rPr>
          <w:rFonts w:ascii="Arial" w:cs="Arial" w:eastAsia="Arial" w:hAnsi="Arial"/>
          <w:sz w:val="13"/>
          <w:szCs w:val="13"/>
          <w:b w:val="1"/>
          <w:bCs w:val="1"/>
          <w:color w:val="auto"/>
        </w:rPr>
        <w:t>PROXY STATEMENT PURSUANT TO SECTION 14(a) OF THE SECURITIES</w:t>
      </w:r>
    </w:p>
    <w:p>
      <w:pPr>
        <w:spacing w:after="0" w:line="23" w:lineRule="exact"/>
        <w:rPr>
          <w:sz w:val="24"/>
          <w:szCs w:val="24"/>
          <w:color w:val="auto"/>
        </w:rPr>
      </w:pPr>
    </w:p>
    <w:p>
      <w:pPr>
        <w:jc w:val="center"/>
        <w:ind w:right="-99"/>
        <w:spacing w:after="0"/>
        <w:tabs>
          <w:tab w:leader="none" w:pos="140" w:val="left"/>
        </w:tabs>
        <w:rPr>
          <w:sz w:val="20"/>
          <w:szCs w:val="20"/>
          <w:color w:val="auto"/>
        </w:rPr>
      </w:pPr>
      <w:r>
        <w:rPr>
          <w:rFonts w:ascii="Arial" w:cs="Arial" w:eastAsia="Arial" w:hAnsi="Arial"/>
          <w:sz w:val="13"/>
          <w:szCs w:val="13"/>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3"/>
          <w:szCs w:val="13"/>
          <w:color w:val="auto"/>
        </w:rPr>
        <w:t>Filed by a Party other than the Registrant o</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71"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21" w:lineRule="exact"/>
        <w:rPr>
          <w:rFonts w:ascii="Arial" w:cs="Arial" w:eastAsia="Arial" w:hAnsi="Arial"/>
          <w:sz w:val="13"/>
          <w:szCs w:val="13"/>
          <w:color w:val="auto"/>
        </w:rPr>
      </w:pPr>
    </w:p>
    <w:p>
      <w:pPr>
        <w:ind w:right="5380" w:firstLine="8"/>
        <w:spacing w:after="0" w:line="161" w:lineRule="exact"/>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Confidential, for Use of the Commission Only (as permitted by Rule 14a-6(e)(2)) </w:t>
      </w:r>
      <w:r>
        <w:rPr>
          <w:rFonts w:ascii="MS PGothic" w:cs="MS PGothic" w:eastAsia="MS PGothic" w:hAnsi="MS PGothic"/>
          <w:sz w:val="13"/>
          <w:szCs w:val="13"/>
          <w:color w:val="auto"/>
        </w:rPr>
        <w:t>☑</w:t>
      </w:r>
      <w:r>
        <w:rPr>
          <w:rFonts w:ascii="Arial" w:cs="Arial" w:eastAsia="Arial" w:hAnsi="Arial"/>
          <w:sz w:val="13"/>
          <w:szCs w:val="13"/>
          <w:color w:val="auto"/>
        </w:rPr>
        <w:t xml:space="preserve"> Definitive Proxy Statement</w:t>
      </w:r>
    </w:p>
    <w:p>
      <w:pPr>
        <w:ind w:left="140" w:hanging="132"/>
        <w:spacing w:after="0"/>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9" w:lineRule="exact"/>
        <w:rPr>
          <w:rFonts w:ascii="Arial" w:cs="Arial" w:eastAsia="Arial" w:hAnsi="Arial"/>
          <w:sz w:val="13"/>
          <w:szCs w:val="13"/>
          <w:color w:val="auto"/>
        </w:rPr>
      </w:pPr>
    </w:p>
    <w:p>
      <w:pPr>
        <w:ind w:left="140" w:hanging="132"/>
        <w:spacing w:after="0"/>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Section 240.14a-12</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INTEGRA LIFESCIENCES HOLDINGS CORPORATION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63341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63341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81"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35" w:lineRule="exact"/>
        <w:rPr>
          <w:sz w:val="24"/>
          <w:szCs w:val="24"/>
          <w:color w:val="auto"/>
        </w:rPr>
      </w:pP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14a-6(i)(4) and 0-12.</w:t>
      </w:r>
    </w:p>
    <w:p>
      <w:pPr>
        <w:spacing w:after="0" w:line="66"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81"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1" w:lineRule="exact"/>
        <w:rPr>
          <w:rFonts w:ascii="Arial" w:cs="Arial" w:eastAsia="Arial" w:hAnsi="Arial"/>
          <w:sz w:val="13"/>
          <w:szCs w:val="13"/>
          <w:color w:val="auto"/>
        </w:rPr>
      </w:pPr>
    </w:p>
    <w:p>
      <w:pPr>
        <w:ind w:left="800" w:right="60" w:hanging="491"/>
        <w:spacing w:after="0" w:line="291" w:lineRule="auto"/>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28"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81"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71" w:lineRule="exact"/>
        <w:rPr>
          <w:rFonts w:ascii="Arial" w:cs="Arial" w:eastAsia="Arial" w:hAnsi="Arial"/>
          <w:sz w:val="13"/>
          <w:szCs w:val="13"/>
          <w:color w:val="auto"/>
        </w:rPr>
      </w:pP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60" w:lineRule="exact"/>
        <w:rPr>
          <w:rFonts w:ascii="Arial" w:cs="Arial" w:eastAsia="Arial" w:hAnsi="Arial"/>
          <w:sz w:val="13"/>
          <w:szCs w:val="13"/>
          <w:color w:val="auto"/>
        </w:rPr>
      </w:pPr>
    </w:p>
    <w:p>
      <w:pPr>
        <w:ind w:left="300" w:hanging="292"/>
        <w:spacing w:after="0" w:line="291"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1"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81"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81" w:lineRule="exact"/>
        <w:rPr>
          <w:rFonts w:ascii="Arial" w:cs="Arial" w:eastAsia="Arial" w:hAnsi="Arial"/>
          <w:sz w:val="13"/>
          <w:szCs w:val="13"/>
          <w:color w:val="auto"/>
        </w:rPr>
      </w:pPr>
    </w:p>
    <w:p>
      <w:pPr>
        <w:ind w:left="800" w:hanging="491"/>
        <w:spacing w:after="0"/>
        <w:tabs>
          <w:tab w:leader="none" w:pos="80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509270</wp:posOffset>
            </wp:positionH>
            <wp:positionV relativeFrom="paragraph">
              <wp:posOffset>-2072005</wp:posOffset>
            </wp:positionV>
            <wp:extent cx="63404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-1861820</wp:posOffset>
            </wp:positionV>
            <wp:extent cx="63404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-1550035</wp:posOffset>
            </wp:positionV>
            <wp:extent cx="63404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-1346835</wp:posOffset>
            </wp:positionV>
            <wp:extent cx="63404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-1136650</wp:posOffset>
            </wp:positionV>
            <wp:extent cx="63404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-551815</wp:posOffset>
            </wp:positionV>
            <wp:extent cx="63404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-341630</wp:posOffset>
            </wp:positionV>
            <wp:extent cx="63404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-138430</wp:posOffset>
            </wp:positionV>
            <wp:extent cx="63404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71120</wp:posOffset>
            </wp:positionV>
            <wp:extent cx="63404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175895</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880"/>
          </w:cols>
          <w:pgMar w:left="900" w:top="207" w:right="1119" w:bottom="1440" w:gutter="0" w:footer="0" w:header="0"/>
        </w:sectPr>
      </w:pPr>
    </w:p>
    <w:bookmarkStart w:id="1" w:name="page2"/>
    <w:bookmarkEnd w:id="1"/>
    <w:p>
      <w:pPr>
        <w:ind w:left="6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5761990</wp:posOffset>
            </wp:positionH>
            <wp:positionV relativeFrom="page">
              <wp:posOffset>470535</wp:posOffset>
            </wp:positionV>
            <wp:extent cx="1151255" cy="41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51255" cy="413385"/>
                    </a:xfrm>
                    <a:prstGeom prst="rect">
                      <a:avLst/>
                    </a:prstGeom>
                    <a:noFill/>
                  </pic:spPr>
                </pic:pic>
              </a:graphicData>
            </a:graphic>
          </wp:anchor>
        </w:drawing>
        <w:t>311 ENTERPRISE DRIVE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PLAINSBORO, NEW JERSEY 08536</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BE HELD ON MAY 17, 2011</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Stockholders of Integra LifeSciences Holdings Corporation:</w:t>
      </w:r>
    </w:p>
    <w:p>
      <w:pPr>
        <w:spacing w:after="0" w:line="101" w:lineRule="exact"/>
        <w:rPr>
          <w:sz w:val="20"/>
          <w:szCs w:val="20"/>
          <w:color w:val="auto"/>
        </w:rPr>
      </w:pPr>
    </w:p>
    <w:p>
      <w:pPr>
        <w:ind w:left="680" w:right="820" w:firstLine="399"/>
        <w:spacing w:after="0" w:line="291" w:lineRule="auto"/>
        <w:rPr>
          <w:sz w:val="20"/>
          <w:szCs w:val="20"/>
          <w:color w:val="auto"/>
        </w:rPr>
      </w:pPr>
      <w:r>
        <w:rPr>
          <w:rFonts w:ascii="Arial" w:cs="Arial" w:eastAsia="Arial" w:hAnsi="Arial"/>
          <w:sz w:val="13"/>
          <w:szCs w:val="13"/>
          <w:color w:val="auto"/>
        </w:rPr>
        <w:t>NOTICE IS HEREBY GIVEN that the 2011 Annual Meeting of Stockholders (the “Meeting”) of Integra LifeSciences Holdings Corporation (the “Company”) will be held as, and for the purposes, set forth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ind w:left="680"/>
              <w:spacing w:after="0"/>
              <w:rPr>
                <w:sz w:val="20"/>
                <w:szCs w:val="20"/>
                <w:color w:val="auto"/>
              </w:rPr>
            </w:pPr>
            <w:r>
              <w:rPr>
                <w:rFonts w:ascii="Arial" w:cs="Arial" w:eastAsia="Arial" w:hAnsi="Arial"/>
                <w:sz w:val="13"/>
                <w:szCs w:val="13"/>
                <w:color w:val="auto"/>
              </w:rPr>
              <w:t>TIME</w:t>
            </w:r>
          </w:p>
        </w:tc>
        <w:tc>
          <w:tcPr>
            <w:tcW w:w="8940" w:type="dxa"/>
            <w:vAlign w:val="bottom"/>
          </w:tcPr>
          <w:p>
            <w:pPr>
              <w:ind w:left="580"/>
              <w:spacing w:after="0"/>
              <w:rPr>
                <w:sz w:val="20"/>
                <w:szCs w:val="20"/>
                <w:color w:val="auto"/>
              </w:rPr>
            </w:pPr>
            <w:r>
              <w:rPr>
                <w:rFonts w:ascii="Arial" w:cs="Arial" w:eastAsia="Arial" w:hAnsi="Arial"/>
                <w:sz w:val="13"/>
                <w:szCs w:val="13"/>
                <w:color w:val="auto"/>
              </w:rPr>
              <w:t>9:00 a.m. local time on Tuesday, May 17, 2011</w:t>
            </w:r>
          </w:p>
        </w:tc>
      </w:tr>
      <w:tr>
        <w:trPr>
          <w:trHeight w:val="240"/>
        </w:trPr>
        <w:tc>
          <w:tcPr>
            <w:tcW w:w="2520" w:type="dxa"/>
            <w:vAlign w:val="bottom"/>
          </w:tcPr>
          <w:p>
            <w:pPr>
              <w:ind w:left="680"/>
              <w:spacing w:after="0"/>
              <w:rPr>
                <w:sz w:val="20"/>
                <w:szCs w:val="20"/>
                <w:color w:val="auto"/>
              </w:rPr>
            </w:pPr>
            <w:r>
              <w:rPr>
                <w:rFonts w:ascii="Arial" w:cs="Arial" w:eastAsia="Arial" w:hAnsi="Arial"/>
                <w:sz w:val="13"/>
                <w:szCs w:val="13"/>
                <w:color w:val="auto"/>
              </w:rPr>
              <w:t>PLACE</w:t>
            </w:r>
          </w:p>
        </w:tc>
        <w:tc>
          <w:tcPr>
            <w:tcW w:w="8940" w:type="dxa"/>
            <w:vAlign w:val="bottom"/>
          </w:tcPr>
          <w:p>
            <w:pPr>
              <w:ind w:left="580"/>
              <w:spacing w:after="0"/>
              <w:rPr>
                <w:sz w:val="20"/>
                <w:szCs w:val="20"/>
                <w:color w:val="auto"/>
              </w:rPr>
            </w:pPr>
            <w:r>
              <w:rPr>
                <w:rFonts w:ascii="Arial" w:cs="Arial" w:eastAsia="Arial" w:hAnsi="Arial"/>
                <w:sz w:val="13"/>
                <w:szCs w:val="13"/>
                <w:color w:val="auto"/>
              </w:rPr>
              <w:t>Integra LifeSciences Holdings Corporation Corporate Headquarters, 315 Enterprise Drive Plainsboro, New Jersey 08536</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ITEMS OF BUSINESS</w:t>
            </w:r>
          </w:p>
        </w:tc>
        <w:tc>
          <w:tcPr>
            <w:tcW w:w="8940" w:type="dxa"/>
            <w:vAlign w:val="bottom"/>
          </w:tcPr>
          <w:p>
            <w:pPr>
              <w:ind w:left="580"/>
              <w:spacing w:after="0"/>
              <w:rPr>
                <w:sz w:val="20"/>
                <w:szCs w:val="20"/>
                <w:color w:val="auto"/>
              </w:rPr>
            </w:pPr>
            <w:r>
              <w:rPr>
                <w:rFonts w:ascii="Arial" w:cs="Arial" w:eastAsia="Arial" w:hAnsi="Arial"/>
                <w:sz w:val="13"/>
                <w:szCs w:val="13"/>
                <w:color w:val="auto"/>
              </w:rPr>
              <w:t>1. To elect nine directors of the Company to serve until the next annual meeting of stockholders and until their successors are duly elected</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and qualified.</w:t>
            </w:r>
          </w:p>
        </w:tc>
      </w:tr>
      <w:tr>
        <w:trPr>
          <w:trHeight w:val="230"/>
        </w:trPr>
        <w:tc>
          <w:tcPr>
            <w:tcW w:w="2520" w:type="dxa"/>
            <w:vAlign w:val="bottom"/>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2. To ratify the appointment of PricewaterhouseCoopers LLP as the Company’s independent registered public accounting firm for the fiscal</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year 2011.</w:t>
            </w:r>
          </w:p>
        </w:tc>
      </w:tr>
      <w:tr>
        <w:trPr>
          <w:trHeight w:val="240"/>
        </w:trPr>
        <w:tc>
          <w:tcPr>
            <w:tcW w:w="252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3. To vote on a non-binding resolution to approve the compensation of our named executive officers.</w:t>
            </w:r>
          </w:p>
        </w:tc>
      </w:tr>
      <w:tr>
        <w:trPr>
          <w:trHeight w:val="240"/>
        </w:trPr>
        <w:tc>
          <w:tcPr>
            <w:tcW w:w="252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4. To vote on a non-binding proposal on the frequency of the advisory vote on the compensation of our named executive officers.</w:t>
            </w:r>
          </w:p>
        </w:tc>
      </w:tr>
      <w:tr>
        <w:trPr>
          <w:trHeight w:val="240"/>
        </w:trPr>
        <w:tc>
          <w:tcPr>
            <w:tcW w:w="252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5. To act upon any other matters properly coming before the meeting or any adjournment or postponement thereof.</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RECORD DATE</w:t>
            </w:r>
          </w:p>
        </w:tc>
        <w:tc>
          <w:tcPr>
            <w:tcW w:w="8940" w:type="dxa"/>
            <w:vAlign w:val="bottom"/>
          </w:tcPr>
          <w:p>
            <w:pPr>
              <w:ind w:left="580"/>
              <w:spacing w:after="0"/>
              <w:rPr>
                <w:sz w:val="20"/>
                <w:szCs w:val="20"/>
                <w:color w:val="auto"/>
              </w:rPr>
            </w:pPr>
            <w:r>
              <w:rPr>
                <w:rFonts w:ascii="Arial" w:cs="Arial" w:eastAsia="Arial" w:hAnsi="Arial"/>
                <w:sz w:val="13"/>
                <w:szCs w:val="13"/>
                <w:color w:val="auto"/>
              </w:rPr>
              <w:t>Holders of record of the Company’s common stock at the close of business on March 31, 2011 are entitled to notice of, and to vote at, the</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Meeting and any adjournment or postponement thereof. A complete list of stockholders entitled to vote at the Meeting will be available for</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inspection by any stockholder for any purpose germane to the Meeting for ten days prior to the Meeting during ordinary business hours at the</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Company’s headquarters located at 311 Enterprise Drive, Plainsboro, New Jersey.</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ANNUAL REPORT</w:t>
            </w:r>
          </w:p>
        </w:tc>
        <w:tc>
          <w:tcPr>
            <w:tcW w:w="8940" w:type="dxa"/>
            <w:vAlign w:val="bottom"/>
          </w:tcPr>
          <w:p>
            <w:pPr>
              <w:ind w:left="580"/>
              <w:spacing w:after="0"/>
              <w:rPr>
                <w:sz w:val="20"/>
                <w:szCs w:val="20"/>
                <w:color w:val="auto"/>
              </w:rPr>
            </w:pPr>
            <w:r>
              <w:rPr>
                <w:rFonts w:ascii="Arial" w:cs="Arial" w:eastAsia="Arial" w:hAnsi="Arial"/>
                <w:sz w:val="13"/>
                <w:szCs w:val="13"/>
                <w:color w:val="auto"/>
              </w:rPr>
              <w:t>The 2010 Annual Report of Integra LifeSciences Holdings Corporation is being mailed simultaneously herewith. The Annual Report is not to</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be considered part of the proxy solicitation materials.</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IMPORTANT</w:t>
            </w:r>
          </w:p>
        </w:tc>
        <w:tc>
          <w:tcPr>
            <w:tcW w:w="8940" w:type="dxa"/>
            <w:vAlign w:val="bottom"/>
          </w:tcPr>
          <w:p>
            <w:pPr>
              <w:ind w:left="580"/>
              <w:spacing w:after="0"/>
              <w:rPr>
                <w:sz w:val="20"/>
                <w:szCs w:val="20"/>
                <w:color w:val="auto"/>
              </w:rPr>
            </w:pPr>
            <w:r>
              <w:rPr>
                <w:rFonts w:ascii="Arial" w:cs="Arial" w:eastAsia="Arial" w:hAnsi="Arial"/>
                <w:sz w:val="13"/>
                <w:szCs w:val="13"/>
                <w:color w:val="auto"/>
              </w:rPr>
              <w:t>In order to avoid additional soliciting expense to the Company, please MARK, SIGN, DATE and MAIL your proxy PROMPTLY in the</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return envelope provided, even if you plan to attend the Meeting. If you attend the Meeting and wish to vote your shares in person,</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arrangements will be made for you to do so.</w:t>
            </w:r>
          </w:p>
        </w:tc>
      </w:tr>
      <w:tr>
        <w:trPr>
          <w:trHeight w:val="250"/>
        </w:trPr>
        <w:tc>
          <w:tcPr>
            <w:tcW w:w="2520" w:type="dxa"/>
            <w:vAlign w:val="bottom"/>
          </w:tcPr>
          <w:p>
            <w:pPr>
              <w:spacing w:after="0"/>
              <w:rPr>
                <w:sz w:val="21"/>
                <w:szCs w:val="21"/>
                <w:color w:val="auto"/>
              </w:rPr>
            </w:pPr>
          </w:p>
        </w:tc>
        <w:tc>
          <w:tcPr>
            <w:tcW w:w="8940" w:type="dxa"/>
            <w:vAlign w:val="bottom"/>
          </w:tcPr>
          <w:p>
            <w:pPr>
              <w:ind w:left="3060"/>
              <w:spacing w:after="0"/>
              <w:rPr>
                <w:sz w:val="20"/>
                <w:szCs w:val="20"/>
                <w:color w:val="auto"/>
              </w:rPr>
            </w:pPr>
            <w:r>
              <w:rPr>
                <w:rFonts w:ascii="Arial" w:cs="Arial" w:eastAsia="Arial" w:hAnsi="Arial"/>
                <w:sz w:val="13"/>
                <w:szCs w:val="13"/>
                <w:color w:val="auto"/>
              </w:rPr>
              <w:t>By order of the Board of Directors,</w:t>
            </w:r>
          </w:p>
        </w:tc>
      </w:tr>
      <w:tr>
        <w:trPr>
          <w:trHeight w:val="411"/>
        </w:trPr>
        <w:tc>
          <w:tcPr>
            <w:tcW w:w="2520" w:type="dxa"/>
            <w:vAlign w:val="bottom"/>
          </w:tcPr>
          <w:p>
            <w:pPr>
              <w:spacing w:after="0"/>
              <w:rPr>
                <w:sz w:val="24"/>
                <w:szCs w:val="24"/>
                <w:color w:val="auto"/>
              </w:rPr>
            </w:pPr>
          </w:p>
        </w:tc>
        <w:tc>
          <w:tcPr>
            <w:tcW w:w="8940" w:type="dxa"/>
            <w:vAlign w:val="bottom"/>
          </w:tcPr>
          <w:p>
            <w:pPr>
              <w:ind w:left="3160"/>
              <w:spacing w:after="0"/>
              <w:rPr>
                <w:sz w:val="20"/>
                <w:szCs w:val="20"/>
                <w:color w:val="auto"/>
              </w:rPr>
            </w:pPr>
            <w:r>
              <w:rPr>
                <w:rFonts w:ascii="Arial" w:cs="Arial" w:eastAsia="Arial" w:hAnsi="Arial"/>
                <w:sz w:val="13"/>
                <w:szCs w:val="13"/>
                <w:color w:val="auto"/>
              </w:rPr>
              <w:t>/s/ Richard D. Gorelick</w:t>
            </w:r>
          </w:p>
        </w:tc>
      </w:tr>
      <w:tr>
        <w:trPr>
          <w:trHeight w:val="240"/>
        </w:trPr>
        <w:tc>
          <w:tcPr>
            <w:tcW w:w="2520" w:type="dxa"/>
            <w:vAlign w:val="bottom"/>
          </w:tcPr>
          <w:p>
            <w:pPr>
              <w:spacing w:after="0"/>
              <w:rPr>
                <w:sz w:val="20"/>
                <w:szCs w:val="20"/>
                <w:color w:val="auto"/>
              </w:rPr>
            </w:pPr>
          </w:p>
        </w:tc>
        <w:tc>
          <w:tcPr>
            <w:tcW w:w="8940" w:type="dxa"/>
            <w:vAlign w:val="bottom"/>
          </w:tcPr>
          <w:p>
            <w:pPr>
              <w:ind w:left="3160"/>
              <w:spacing w:after="0"/>
              <w:rPr>
                <w:sz w:val="20"/>
                <w:szCs w:val="20"/>
                <w:color w:val="auto"/>
              </w:rPr>
            </w:pPr>
            <w:r>
              <w:rPr>
                <w:rFonts w:ascii="Arial" w:cs="Arial" w:eastAsia="Arial" w:hAnsi="Arial"/>
                <w:sz w:val="13"/>
                <w:szCs w:val="13"/>
                <w:color w:val="auto"/>
              </w:rPr>
              <w:t>Richard D. Gorelick</w:t>
            </w:r>
          </w:p>
        </w:tc>
      </w:tr>
      <w:tr>
        <w:trPr>
          <w:trHeight w:val="160"/>
        </w:trPr>
        <w:tc>
          <w:tcPr>
            <w:tcW w:w="2520" w:type="dxa"/>
            <w:vAlign w:val="bottom"/>
          </w:tcPr>
          <w:p>
            <w:pPr>
              <w:spacing w:after="0"/>
              <w:rPr>
                <w:sz w:val="13"/>
                <w:szCs w:val="13"/>
                <w:color w:val="auto"/>
              </w:rPr>
            </w:pPr>
          </w:p>
        </w:tc>
        <w:tc>
          <w:tcPr>
            <w:tcW w:w="8940" w:type="dxa"/>
            <w:vAlign w:val="bottom"/>
          </w:tcPr>
          <w:p>
            <w:pPr>
              <w:ind w:left="3160"/>
              <w:spacing w:after="0"/>
              <w:rPr>
                <w:sz w:val="20"/>
                <w:szCs w:val="20"/>
                <w:color w:val="auto"/>
              </w:rPr>
            </w:pPr>
            <w:r>
              <w:rPr>
                <w:rFonts w:ascii="Arial" w:cs="Arial" w:eastAsia="Arial" w:hAnsi="Arial"/>
                <w:sz w:val="13"/>
                <w:szCs w:val="13"/>
                <w:i w:val="1"/>
                <w:iCs w:val="1"/>
                <w:color w:val="auto"/>
              </w:rPr>
              <w:t>Senior Vice President, General Counsel,</w:t>
            </w:r>
          </w:p>
        </w:tc>
      </w:tr>
      <w:tr>
        <w:trPr>
          <w:trHeight w:val="171"/>
        </w:trPr>
        <w:tc>
          <w:tcPr>
            <w:tcW w:w="2520" w:type="dxa"/>
            <w:vAlign w:val="bottom"/>
          </w:tcPr>
          <w:p>
            <w:pPr>
              <w:spacing w:after="0"/>
              <w:rPr>
                <w:sz w:val="14"/>
                <w:szCs w:val="14"/>
                <w:color w:val="auto"/>
              </w:rPr>
            </w:pPr>
          </w:p>
        </w:tc>
        <w:tc>
          <w:tcPr>
            <w:tcW w:w="8940" w:type="dxa"/>
            <w:vAlign w:val="bottom"/>
          </w:tcPr>
          <w:p>
            <w:pPr>
              <w:ind w:left="3220"/>
              <w:spacing w:after="0"/>
              <w:rPr>
                <w:sz w:val="20"/>
                <w:szCs w:val="20"/>
                <w:color w:val="auto"/>
              </w:rPr>
            </w:pPr>
            <w:r>
              <w:rPr>
                <w:rFonts w:ascii="Arial" w:cs="Arial" w:eastAsia="Arial" w:hAnsi="Arial"/>
                <w:sz w:val="13"/>
                <w:szCs w:val="13"/>
                <w:i w:val="1"/>
                <w:iCs w:val="1"/>
                <w:color w:val="auto"/>
              </w:rPr>
              <w:t>Human Resources and Secretary</w:t>
            </w:r>
          </w:p>
        </w:tc>
      </w:tr>
      <w:tr>
        <w:trPr>
          <w:trHeight w:val="320"/>
        </w:trPr>
        <w:tc>
          <w:tcPr>
            <w:tcW w:w="2520" w:type="dxa"/>
            <w:vAlign w:val="bottom"/>
          </w:tcPr>
          <w:p>
            <w:pPr>
              <w:ind w:left="680"/>
              <w:spacing w:after="0"/>
              <w:rPr>
                <w:sz w:val="20"/>
                <w:szCs w:val="20"/>
                <w:color w:val="auto"/>
              </w:rPr>
            </w:pPr>
            <w:r>
              <w:rPr>
                <w:rFonts w:ascii="Arial" w:cs="Arial" w:eastAsia="Arial" w:hAnsi="Arial"/>
                <w:sz w:val="13"/>
                <w:szCs w:val="13"/>
                <w:color w:val="auto"/>
              </w:rPr>
              <w:t>Plainsboro, New Jersey</w:t>
            </w:r>
          </w:p>
        </w:tc>
        <w:tc>
          <w:tcPr>
            <w:tcW w:w="8940" w:type="dxa"/>
            <w:vAlign w:val="bottom"/>
          </w:tcPr>
          <w:p>
            <w:pPr>
              <w:spacing w:after="0"/>
              <w:rPr>
                <w:sz w:val="24"/>
                <w:szCs w:val="24"/>
                <w:color w:val="auto"/>
              </w:rPr>
            </w:pPr>
          </w:p>
        </w:tc>
      </w:tr>
      <w:tr>
        <w:trPr>
          <w:trHeight w:val="171"/>
        </w:trPr>
        <w:tc>
          <w:tcPr>
            <w:tcW w:w="2520" w:type="dxa"/>
            <w:vAlign w:val="bottom"/>
          </w:tcPr>
          <w:p>
            <w:pPr>
              <w:ind w:left="680"/>
              <w:spacing w:after="0"/>
              <w:rPr>
                <w:sz w:val="20"/>
                <w:szCs w:val="20"/>
                <w:color w:val="auto"/>
              </w:rPr>
            </w:pPr>
            <w:r>
              <w:rPr>
                <w:rFonts w:ascii="Arial" w:cs="Arial" w:eastAsia="Arial" w:hAnsi="Arial"/>
                <w:sz w:val="13"/>
                <w:szCs w:val="13"/>
                <w:color w:val="auto"/>
              </w:rPr>
              <w:t>April 14, 2011</w:t>
            </w:r>
          </w:p>
        </w:tc>
        <w:tc>
          <w:tcPr>
            <w:tcW w:w="8940" w:type="dxa"/>
            <w:vAlign w:val="bottom"/>
          </w:tcPr>
          <w:p>
            <w:pPr>
              <w:spacing w:after="0"/>
              <w:rPr>
                <w:sz w:val="14"/>
                <w:szCs w:val="14"/>
                <w:color w:val="auto"/>
              </w:rPr>
            </w:pPr>
          </w:p>
        </w:tc>
      </w:tr>
      <w:tr>
        <w:trPr>
          <w:trHeight w:val="165"/>
        </w:trPr>
        <w:tc>
          <w:tcPr>
            <w:tcW w:w="2520" w:type="dxa"/>
            <w:vAlign w:val="bottom"/>
            <w:tcBorders>
              <w:bottom w:val="single" w:sz="8" w:color="808080"/>
            </w:tcBorders>
          </w:tcPr>
          <w:p>
            <w:pPr>
              <w:spacing w:after="0"/>
              <w:rPr>
                <w:sz w:val="14"/>
                <w:szCs w:val="14"/>
                <w:color w:val="auto"/>
              </w:rPr>
            </w:pPr>
          </w:p>
        </w:tc>
        <w:tc>
          <w:tcPr>
            <w:tcW w:w="8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379" w:right="219" w:bottom="1440" w:gutter="0" w:footer="0" w:header="0"/>
        </w:sectPr>
      </w:pPr>
    </w:p>
    <w:bookmarkStart w:id="2" w:name="page3"/>
    <w:bookmarkEnd w:id="2"/>
    <w:p>
      <w:pPr>
        <w:jc w:val="both"/>
        <w:ind w:firstLine="399"/>
        <w:spacing w:after="0" w:line="276" w:lineRule="auto"/>
        <w:rPr>
          <w:sz w:val="20"/>
          <w:szCs w:val="20"/>
          <w:color w:val="auto"/>
        </w:rPr>
      </w:pPr>
      <w:r>
        <w:rPr>
          <w:rFonts w:ascii="Arial" w:cs="Arial" w:eastAsia="Arial" w:hAnsi="Arial"/>
          <w:sz w:val="13"/>
          <w:szCs w:val="13"/>
          <w:b w:val="1"/>
          <w:bCs w:val="1"/>
          <w:color w:val="auto"/>
        </w:rPr>
        <w:t>SEC rules changed how shares held in brokerage accounts are voted in director elections. If you do not vote your shares on the Election of Directors, your brokerage firm may not vote them for you; your shares will remain unvoted. Previously, if your brokerage firm did not receive instructions from you, they were permitted to vote your shares for you in director elections.</w:t>
      </w:r>
    </w:p>
    <w:p>
      <w:pPr>
        <w:spacing w:after="0" w:line="55" w:lineRule="exact"/>
        <w:rPr>
          <w:sz w:val="20"/>
          <w:szCs w:val="20"/>
          <w:color w:val="auto"/>
        </w:rPr>
      </w:pPr>
    </w:p>
    <w:p>
      <w:pPr>
        <w:jc w:val="both"/>
        <w:ind w:right="40" w:firstLine="399"/>
        <w:spacing w:after="0" w:line="309" w:lineRule="auto"/>
        <w:rPr>
          <w:sz w:val="20"/>
          <w:szCs w:val="20"/>
          <w:color w:val="auto"/>
        </w:rPr>
      </w:pPr>
      <w:r>
        <w:rPr>
          <w:rFonts w:ascii="Arial" w:cs="Arial" w:eastAsia="Arial" w:hAnsi="Arial"/>
          <w:sz w:val="12"/>
          <w:szCs w:val="12"/>
          <w:b w:val="1"/>
          <w:bCs w:val="1"/>
          <w:color w:val="auto"/>
        </w:rPr>
        <w:t>Therefore, it is very important that you vote your shares for all proposals, including the Election of Directors (Proposal 1), the non-binding resolution to approve the compensation of our named executive officers (Proposal 3) and the non-binding proposal on the frequency of the advisory vote on the compensation of our named executive officers (Proposal 4), each of which are viewed as “non-routine” matters for which brokerage firms may not vote for you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73660</wp:posOffset>
            </wp:positionV>
            <wp:extent cx="72885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780"/>
          </w:cols>
          <w:pgMar w:left="900" w:top="728" w:right="1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3"/>
          </w:tcPr>
          <w:p>
            <w:pPr>
              <w:ind w:left="20"/>
              <w:spacing w:after="0"/>
              <w:rPr>
                <w:sz w:val="20"/>
                <w:szCs w:val="20"/>
                <w:color w:val="auto"/>
              </w:rPr>
            </w:pPr>
            <w:r>
              <w:rPr>
                <w:rFonts w:ascii="Arial" w:cs="Arial" w:eastAsia="Arial" w:hAnsi="Arial"/>
                <w:sz w:val="13"/>
                <w:szCs w:val="13"/>
                <w:b w:val="1"/>
                <w:bCs w:val="1"/>
                <w:color w:val="auto"/>
              </w:rPr>
              <w:t>TABLE OF CONTENTS</w:t>
            </w:r>
          </w:p>
        </w:tc>
        <w:tc>
          <w:tcPr>
            <w:tcW w:w="2180" w:type="dxa"/>
            <w:vAlign w:val="bottom"/>
          </w:tcPr>
          <w:p>
            <w:pPr>
              <w:spacing w:after="0"/>
              <w:rPr>
                <w:sz w:val="15"/>
                <w:szCs w:val="15"/>
                <w:color w:val="auto"/>
              </w:rPr>
            </w:pPr>
          </w:p>
        </w:tc>
      </w:tr>
      <w:tr>
        <w:trPr>
          <w:trHeight w:val="311"/>
        </w:trPr>
        <w:tc>
          <w:tcPr>
            <w:tcW w:w="440" w:type="dxa"/>
            <w:vAlign w:val="bottom"/>
            <w:tcBorders>
              <w:bottom w:val="single" w:sz="8" w:color="0000EE"/>
            </w:tcBorders>
          </w:tcPr>
          <w:p>
            <w:pPr>
              <w:spacing w:after="0"/>
              <w:rPr>
                <w:rFonts w:ascii="Arial" w:cs="Arial" w:eastAsia="Arial" w:hAnsi="Arial"/>
                <w:sz w:val="13"/>
                <w:szCs w:val="13"/>
                <w:color w:val="0000EE"/>
                <w:w w:val="86"/>
              </w:rPr>
            </w:pPr>
            <w:hyperlink w:anchor="page6">
              <w:r>
                <w:rPr>
                  <w:rFonts w:ascii="Arial" w:cs="Arial" w:eastAsia="Arial" w:hAnsi="Arial"/>
                  <w:sz w:val="13"/>
                  <w:szCs w:val="13"/>
                  <w:color w:val="0000EE"/>
                  <w:w w:val="86"/>
                </w:rPr>
                <w:t>Purpose</w:t>
              </w:r>
            </w:hyperlink>
          </w:p>
        </w:tc>
        <w:tc>
          <w:tcPr>
            <w:tcW w:w="7320" w:type="dxa"/>
            <w:vAlign w:val="bottom"/>
            <w:gridSpan w:val="2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0"/>
        </w:trPr>
        <w:tc>
          <w:tcPr>
            <w:tcW w:w="680" w:type="dxa"/>
            <w:vAlign w:val="bottom"/>
            <w:tcBorders>
              <w:bottom w:val="single" w:sz="8" w:color="0000EE"/>
            </w:tcBorders>
            <w:gridSpan w:val="2"/>
          </w:tcPr>
          <w:p>
            <w:pPr>
              <w:spacing w:after="0" w:line="141"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Record Date</w:t>
              </w:r>
            </w:hyperlink>
          </w:p>
        </w:tc>
        <w:tc>
          <w:tcPr>
            <w:tcW w:w="7080" w:type="dxa"/>
            <w:vAlign w:val="bottom"/>
            <w:gridSpan w:val="23"/>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Voting and Revocability of Proxies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40"/>
        </w:trPr>
        <w:tc>
          <w:tcPr>
            <w:tcW w:w="1880" w:type="dxa"/>
            <w:vAlign w:val="bottom"/>
            <w:tcBorders>
              <w:top w:val="single" w:sz="8" w:color="0000EE"/>
            </w:tcBorders>
            <w:gridSpan w:val="10"/>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Proposal 1: Election of Directors</w:t>
              </w:r>
            </w:hyperlink>
          </w:p>
        </w:tc>
        <w:tc>
          <w:tcPr>
            <w:tcW w:w="5880" w:type="dxa"/>
            <w:vAlign w:val="bottom"/>
            <w:gridSpan w:val="15"/>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4260" w:type="dxa"/>
            <w:vAlign w:val="bottom"/>
            <w:tcBorders>
              <w:bottom w:val="single" w:sz="8" w:color="0000EE"/>
            </w:tcBorders>
            <w:gridSpan w:val="22"/>
          </w:tcPr>
          <w:p>
            <w:pPr>
              <w:spacing w:after="0" w:line="141" w:lineRule="exact"/>
              <w:rPr>
                <w:rFonts w:ascii="Arial" w:cs="Arial" w:eastAsia="Arial" w:hAnsi="Arial"/>
                <w:sz w:val="13"/>
                <w:szCs w:val="13"/>
                <w:color w:val="0000EE"/>
                <w:w w:val="93"/>
              </w:rPr>
            </w:pPr>
            <w:hyperlink w:anchor="page11">
              <w:r>
                <w:rPr>
                  <w:rFonts w:ascii="Arial" w:cs="Arial" w:eastAsia="Arial" w:hAnsi="Arial"/>
                  <w:sz w:val="13"/>
                  <w:szCs w:val="13"/>
                  <w:color w:val="0000EE"/>
                  <w:w w:val="93"/>
                </w:rPr>
                <w:t>Information Concerning Meetings, Executive Sessions and Certain Committees</w:t>
              </w:r>
            </w:hyperlink>
          </w:p>
        </w:tc>
        <w:tc>
          <w:tcPr>
            <w:tcW w:w="3500" w:type="dxa"/>
            <w:vAlign w:val="bottom"/>
            <w:gridSpan w:val="3"/>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13">
              <w:r>
                <w:rPr>
                  <w:rFonts w:ascii="Arial" w:cs="Arial" w:eastAsia="Arial" w:hAnsi="Arial"/>
                  <w:sz w:val="13"/>
                  <w:szCs w:val="13"/>
                  <w:color w:val="0000EE"/>
                </w:rPr>
                <w:t>Director Qualifications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15">
              <w:r>
                <w:rPr>
                  <w:rFonts w:ascii="Arial" w:cs="Arial" w:eastAsia="Arial" w:hAnsi="Arial"/>
                  <w:sz w:val="13"/>
                  <w:szCs w:val="13"/>
                  <w:color w:val="0000EE"/>
                </w:rPr>
                <w:t>Board Leadership Structure</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10</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The Board’s Role in Risk Oversight</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11</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17">
              <w:r>
                <w:rPr>
                  <w:rFonts w:ascii="Arial" w:cs="Arial" w:eastAsia="Arial" w:hAnsi="Arial"/>
                  <w:sz w:val="13"/>
                  <w:szCs w:val="13"/>
                  <w:color w:val="0000EE"/>
                </w:rPr>
                <w:t>Risk Assessment Regarding Compensation Policies and Practices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17">
              <w:r>
                <w:rPr>
                  <w:rFonts w:ascii="Arial" w:cs="Arial" w:eastAsia="Arial" w:hAnsi="Arial"/>
                  <w:sz w:val="13"/>
                  <w:szCs w:val="13"/>
                  <w:color w:val="0000EE"/>
                </w:rPr>
                <w:t>Director Attendance at Annual Meetings; Shareholder Communications with Directors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r>
      <w:tr>
        <w:trPr>
          <w:trHeight w:val="140"/>
        </w:trPr>
        <w:tc>
          <w:tcPr>
            <w:tcW w:w="4640" w:type="dxa"/>
            <w:vAlign w:val="bottom"/>
            <w:tcBorders>
              <w:top w:val="single" w:sz="8" w:color="0000EE"/>
            </w:tcBorders>
            <w:gridSpan w:val="23"/>
          </w:tcPr>
          <w:p>
            <w:pPr>
              <w:spacing w:after="0" w:line="141" w:lineRule="exact"/>
              <w:rPr>
                <w:rFonts w:ascii="Arial" w:cs="Arial" w:eastAsia="Arial" w:hAnsi="Arial"/>
                <w:sz w:val="13"/>
                <w:szCs w:val="13"/>
                <w:color w:val="0000EE"/>
              </w:rPr>
            </w:pPr>
            <w:hyperlink w:anchor="page18">
              <w:r>
                <w:rPr>
                  <w:rFonts w:ascii="Arial" w:cs="Arial" w:eastAsia="Arial" w:hAnsi="Arial"/>
                  <w:sz w:val="13"/>
                  <w:szCs w:val="13"/>
                  <w:color w:val="0000EE"/>
                </w:rPr>
                <w:t>Information About Executive Officers</w:t>
              </w:r>
            </w:hyperlink>
          </w:p>
        </w:tc>
        <w:tc>
          <w:tcPr>
            <w:tcW w:w="3120" w:type="dxa"/>
            <w:vAlign w:val="bottom"/>
            <w:gridSpan w:val="2"/>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20">
              <w:r>
                <w:rPr>
                  <w:rFonts w:ascii="Arial" w:cs="Arial" w:eastAsia="Arial" w:hAnsi="Arial"/>
                  <w:sz w:val="13"/>
                  <w:szCs w:val="13"/>
                  <w:color w:val="0000EE"/>
                </w:rPr>
                <w:t>Proposal 2: Ratification of Independent Registered Public Accounting Firm</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15</w:t>
            </w:r>
          </w:p>
        </w:tc>
      </w:tr>
      <w:tr>
        <w:trPr>
          <w:trHeight w:val="140"/>
        </w:trPr>
        <w:tc>
          <w:tcPr>
            <w:tcW w:w="2960" w:type="dxa"/>
            <w:vAlign w:val="bottom"/>
            <w:tcBorders>
              <w:top w:val="single" w:sz="8" w:color="0000EE"/>
              <w:bottom w:val="single" w:sz="8" w:color="0000EE"/>
            </w:tcBorders>
            <w:gridSpan w:val="17"/>
          </w:tcPr>
          <w:p>
            <w:pPr>
              <w:spacing w:after="0" w:line="141" w:lineRule="exact"/>
              <w:rPr>
                <w:rFonts w:ascii="Arial" w:cs="Arial" w:eastAsia="Arial" w:hAnsi="Arial"/>
                <w:sz w:val="13"/>
                <w:szCs w:val="13"/>
                <w:color w:val="0000EE"/>
                <w:w w:val="93"/>
              </w:rPr>
            </w:pPr>
            <w:hyperlink w:anchor="page22">
              <w:r>
                <w:rPr>
                  <w:rFonts w:ascii="Arial" w:cs="Arial" w:eastAsia="Arial" w:hAnsi="Arial"/>
                  <w:sz w:val="13"/>
                  <w:szCs w:val="13"/>
                  <w:color w:val="0000EE"/>
                  <w:w w:val="93"/>
                </w:rPr>
                <w:t>Proposal 3: Advisory Vote on Executive Compensation</w:t>
              </w:r>
            </w:hyperlink>
          </w:p>
        </w:tc>
        <w:tc>
          <w:tcPr>
            <w:tcW w:w="1080" w:type="dxa"/>
            <w:vAlign w:val="bottom"/>
            <w:tcBorders>
              <w:top w:val="single" w:sz="8" w:color="0000EE"/>
            </w:tcBorders>
            <w:gridSpan w:val="4"/>
          </w:tcPr>
          <w:p>
            <w:pPr>
              <w:spacing w:after="0"/>
              <w:rPr>
                <w:sz w:val="12"/>
                <w:szCs w:val="12"/>
                <w:color w:val="auto"/>
              </w:rPr>
            </w:pPr>
          </w:p>
        </w:tc>
        <w:tc>
          <w:tcPr>
            <w:tcW w:w="3720" w:type="dxa"/>
            <w:vAlign w:val="bottom"/>
            <w:gridSpan w:val="4"/>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17</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24">
              <w:r>
                <w:rPr>
                  <w:rFonts w:ascii="Arial" w:cs="Arial" w:eastAsia="Arial" w:hAnsi="Arial"/>
                  <w:sz w:val="13"/>
                  <w:szCs w:val="13"/>
                  <w:color w:val="0000EE"/>
                </w:rPr>
                <w:t>Proposal 4: Advisory Vote on the Frequency of an Advisory Vote on Executive Compensation</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19</w:t>
            </w:r>
          </w:p>
        </w:tc>
      </w:tr>
      <w:tr>
        <w:trPr>
          <w:trHeight w:val="140"/>
        </w:trPr>
        <w:tc>
          <w:tcPr>
            <w:tcW w:w="2140" w:type="dxa"/>
            <w:vAlign w:val="bottom"/>
            <w:tcBorders>
              <w:top w:val="single" w:sz="8" w:color="0000EE"/>
              <w:bottom w:val="single" w:sz="8" w:color="0000EE"/>
            </w:tcBorders>
            <w:gridSpan w:val="15"/>
          </w:tcPr>
          <w:p>
            <w:pPr>
              <w:spacing w:after="0" w:line="141" w:lineRule="exact"/>
              <w:rPr>
                <w:rFonts w:ascii="Arial" w:cs="Arial" w:eastAsia="Arial" w:hAnsi="Arial"/>
                <w:sz w:val="13"/>
                <w:szCs w:val="13"/>
                <w:color w:val="0000EE"/>
                <w:w w:val="93"/>
              </w:rPr>
            </w:pPr>
            <w:hyperlink w:anchor="page25">
              <w:r>
                <w:rPr>
                  <w:rFonts w:ascii="Arial" w:cs="Arial" w:eastAsia="Arial" w:hAnsi="Arial"/>
                  <w:sz w:val="13"/>
                  <w:szCs w:val="13"/>
                  <w:color w:val="0000EE"/>
                  <w:w w:val="93"/>
                </w:rPr>
                <w:t>Compensation Discussion and Analysis</w:t>
              </w:r>
            </w:hyperlink>
          </w:p>
        </w:tc>
        <w:tc>
          <w:tcPr>
            <w:tcW w:w="2880" w:type="dxa"/>
            <w:vAlign w:val="bottom"/>
            <w:tcBorders>
              <w:top w:val="single" w:sz="8" w:color="0000EE"/>
            </w:tcBorders>
            <w:gridSpan w:val="9"/>
          </w:tcPr>
          <w:p>
            <w:pPr>
              <w:spacing w:after="0"/>
              <w:rPr>
                <w:sz w:val="12"/>
                <w:szCs w:val="12"/>
                <w:color w:val="auto"/>
              </w:rPr>
            </w:pPr>
          </w:p>
        </w:tc>
        <w:tc>
          <w:tcPr>
            <w:tcW w:w="2740" w:type="dxa"/>
            <w:vAlign w:val="bottom"/>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46">
              <w:r>
                <w:rPr>
                  <w:rFonts w:ascii="Arial" w:cs="Arial" w:eastAsia="Arial" w:hAnsi="Arial"/>
                  <w:sz w:val="13"/>
                  <w:szCs w:val="13"/>
                  <w:color w:val="0000EE"/>
                </w:rPr>
                <w:t>Compensation Committee Report</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41</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1960" w:type="dxa"/>
            <w:vAlign w:val="bottom"/>
            <w:tcBorders>
              <w:bottom w:val="single" w:sz="8" w:color="0000EE"/>
            </w:tcBorders>
            <w:gridSpan w:val="12"/>
          </w:tcPr>
          <w:p>
            <w:pPr>
              <w:spacing w:after="0" w:line="141" w:lineRule="exact"/>
              <w:rPr>
                <w:rFonts w:ascii="Arial" w:cs="Arial" w:eastAsia="Arial" w:hAnsi="Arial"/>
                <w:sz w:val="13"/>
                <w:szCs w:val="13"/>
                <w:color w:val="0000EE"/>
                <w:w w:val="93"/>
              </w:rPr>
            </w:pPr>
            <w:hyperlink w:anchor="page47">
              <w:r>
                <w:rPr>
                  <w:rFonts w:ascii="Arial" w:cs="Arial" w:eastAsia="Arial" w:hAnsi="Arial"/>
                  <w:sz w:val="13"/>
                  <w:szCs w:val="13"/>
                  <w:color w:val="0000EE"/>
                  <w:w w:val="93"/>
                </w:rPr>
                <w:t>Compensation of Executive Officers</w:t>
              </w:r>
            </w:hyperlink>
          </w:p>
        </w:tc>
        <w:tc>
          <w:tcPr>
            <w:tcW w:w="5800" w:type="dxa"/>
            <w:vAlign w:val="bottom"/>
            <w:gridSpan w:val="13"/>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42</w:t>
            </w:r>
          </w:p>
        </w:tc>
      </w:tr>
      <w:tr>
        <w:trPr>
          <w:trHeight w:val="140"/>
        </w:trPr>
        <w:tc>
          <w:tcPr>
            <w:tcW w:w="1260" w:type="dxa"/>
            <w:vAlign w:val="bottom"/>
            <w:tcBorders>
              <w:bottom w:val="single" w:sz="8" w:color="0000EE"/>
            </w:tcBorders>
            <w:gridSpan w:val="5"/>
          </w:tcPr>
          <w:p>
            <w:pPr>
              <w:spacing w:after="0" w:line="141" w:lineRule="exact"/>
              <w:rPr>
                <w:rFonts w:ascii="Arial" w:cs="Arial" w:eastAsia="Arial" w:hAnsi="Arial"/>
                <w:sz w:val="13"/>
                <w:szCs w:val="13"/>
                <w:color w:val="0000EE"/>
                <w:w w:val="93"/>
              </w:rPr>
            </w:pPr>
            <w:hyperlink w:anchor="page59">
              <w:r>
                <w:rPr>
                  <w:rFonts w:ascii="Arial" w:cs="Arial" w:eastAsia="Arial" w:hAnsi="Arial"/>
                  <w:sz w:val="13"/>
                  <w:szCs w:val="13"/>
                  <w:color w:val="0000EE"/>
                  <w:w w:val="93"/>
                </w:rPr>
                <w:t>Director Compensation</w:t>
              </w:r>
            </w:hyperlink>
          </w:p>
        </w:tc>
        <w:tc>
          <w:tcPr>
            <w:tcW w:w="6500" w:type="dxa"/>
            <w:vAlign w:val="bottom"/>
            <w:gridSpan w:val="20"/>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54</w:t>
            </w:r>
          </w:p>
        </w:tc>
      </w:tr>
      <w:tr>
        <w:trPr>
          <w:trHeight w:val="140"/>
        </w:trPr>
        <w:tc>
          <w:tcPr>
            <w:tcW w:w="2120" w:type="dxa"/>
            <w:vAlign w:val="bottom"/>
            <w:tcBorders>
              <w:bottom w:val="single" w:sz="8" w:color="0000EE"/>
            </w:tcBorders>
            <w:gridSpan w:val="14"/>
          </w:tcPr>
          <w:p>
            <w:pPr>
              <w:spacing w:after="0" w:line="141" w:lineRule="exact"/>
              <w:rPr>
                <w:rFonts w:ascii="Arial" w:cs="Arial" w:eastAsia="Arial" w:hAnsi="Arial"/>
                <w:sz w:val="13"/>
                <w:szCs w:val="13"/>
                <w:color w:val="0000EE"/>
                <w:w w:val="94"/>
              </w:rPr>
            </w:pPr>
            <w:hyperlink w:anchor="page60">
              <w:r>
                <w:rPr>
                  <w:rFonts w:ascii="Arial" w:cs="Arial" w:eastAsia="Arial" w:hAnsi="Arial"/>
                  <w:sz w:val="13"/>
                  <w:szCs w:val="13"/>
                  <w:color w:val="0000EE"/>
                  <w:w w:val="94"/>
                </w:rPr>
                <w:t>Equity Compensation Plan Information</w:t>
              </w:r>
            </w:hyperlink>
          </w:p>
        </w:tc>
        <w:tc>
          <w:tcPr>
            <w:tcW w:w="5640" w:type="dxa"/>
            <w:vAlign w:val="bottom"/>
            <w:gridSpan w:val="11"/>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r>
      <w:tr>
        <w:trPr>
          <w:trHeight w:val="140"/>
        </w:trPr>
        <w:tc>
          <w:tcPr>
            <w:tcW w:w="3320" w:type="dxa"/>
            <w:vAlign w:val="bottom"/>
            <w:tcBorders>
              <w:bottom w:val="single" w:sz="8" w:color="0000EE"/>
            </w:tcBorders>
            <w:gridSpan w:val="19"/>
          </w:tcPr>
          <w:p>
            <w:pPr>
              <w:spacing w:after="0" w:line="141" w:lineRule="exact"/>
              <w:rPr>
                <w:rFonts w:ascii="Arial" w:cs="Arial" w:eastAsia="Arial" w:hAnsi="Arial"/>
                <w:sz w:val="13"/>
                <w:szCs w:val="13"/>
                <w:color w:val="0000EE"/>
                <w:w w:val="93"/>
              </w:rPr>
            </w:pPr>
            <w:hyperlink w:anchor="page61">
              <w:r>
                <w:rPr>
                  <w:rFonts w:ascii="Arial" w:cs="Arial" w:eastAsia="Arial" w:hAnsi="Arial"/>
                  <w:sz w:val="13"/>
                  <w:szCs w:val="13"/>
                  <w:color w:val="0000EE"/>
                  <w:w w:val="93"/>
                </w:rPr>
                <w:t>Compensation Committee Interlocks and Insider Participation</w:t>
              </w:r>
            </w:hyperlink>
          </w:p>
        </w:tc>
        <w:tc>
          <w:tcPr>
            <w:tcW w:w="4440" w:type="dxa"/>
            <w:vAlign w:val="bottom"/>
            <w:gridSpan w:val="6"/>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56</w:t>
            </w:r>
          </w:p>
        </w:tc>
      </w:tr>
      <w:tr>
        <w:trPr>
          <w:trHeight w:val="140"/>
        </w:trPr>
        <w:tc>
          <w:tcPr>
            <w:tcW w:w="2540" w:type="dxa"/>
            <w:vAlign w:val="bottom"/>
            <w:tcBorders>
              <w:bottom w:val="single" w:sz="8" w:color="0000EE"/>
            </w:tcBorders>
            <w:gridSpan w:val="16"/>
          </w:tcPr>
          <w:p>
            <w:pPr>
              <w:spacing w:after="0" w:line="141" w:lineRule="exact"/>
              <w:rPr>
                <w:rFonts w:ascii="Arial" w:cs="Arial" w:eastAsia="Arial" w:hAnsi="Arial"/>
                <w:sz w:val="13"/>
                <w:szCs w:val="13"/>
                <w:color w:val="0000EE"/>
                <w:w w:val="91"/>
              </w:rPr>
            </w:pPr>
            <w:hyperlink w:anchor="page61">
              <w:r>
                <w:rPr>
                  <w:rFonts w:ascii="Arial" w:cs="Arial" w:eastAsia="Arial" w:hAnsi="Arial"/>
                  <w:sz w:val="13"/>
                  <w:szCs w:val="13"/>
                  <w:color w:val="0000EE"/>
                  <w:w w:val="91"/>
                </w:rPr>
                <w:t>Certain Relationships and Related Transactions</w:t>
              </w:r>
            </w:hyperlink>
          </w:p>
        </w:tc>
        <w:tc>
          <w:tcPr>
            <w:tcW w:w="5220" w:type="dxa"/>
            <w:vAlign w:val="bottom"/>
            <w:gridSpan w:val="9"/>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56</w:t>
            </w:r>
          </w:p>
        </w:tc>
      </w:tr>
      <w:tr>
        <w:trPr>
          <w:trHeight w:val="140"/>
        </w:trPr>
        <w:tc>
          <w:tcPr>
            <w:tcW w:w="1340" w:type="dxa"/>
            <w:vAlign w:val="bottom"/>
            <w:tcBorders>
              <w:bottom w:val="single" w:sz="8" w:color="0000EE"/>
            </w:tcBorders>
            <w:gridSpan w:val="6"/>
          </w:tcPr>
          <w:p>
            <w:pPr>
              <w:spacing w:after="0" w:line="141" w:lineRule="exact"/>
              <w:rPr>
                <w:rFonts w:ascii="Arial" w:cs="Arial" w:eastAsia="Arial" w:hAnsi="Arial"/>
                <w:sz w:val="13"/>
                <w:szCs w:val="13"/>
                <w:color w:val="0000EE"/>
                <w:w w:val="95"/>
              </w:rPr>
            </w:pPr>
            <w:hyperlink w:anchor="page62">
              <w:r>
                <w:rPr>
                  <w:rFonts w:ascii="Arial" w:cs="Arial" w:eastAsia="Arial" w:hAnsi="Arial"/>
                  <w:sz w:val="13"/>
                  <w:szCs w:val="13"/>
                  <w:color w:val="0000EE"/>
                  <w:w w:val="95"/>
                </w:rPr>
                <w:t>Audit Committee Report</w:t>
              </w:r>
            </w:hyperlink>
          </w:p>
        </w:tc>
        <w:tc>
          <w:tcPr>
            <w:tcW w:w="6420" w:type="dxa"/>
            <w:vAlign w:val="bottom"/>
            <w:gridSpan w:val="19"/>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57</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63">
              <w:r>
                <w:rPr>
                  <w:rFonts w:ascii="Arial" w:cs="Arial" w:eastAsia="Arial" w:hAnsi="Arial"/>
                  <w:sz w:val="13"/>
                  <w:szCs w:val="13"/>
                  <w:color w:val="0000EE"/>
                </w:rPr>
                <w:t>Principal Stockholders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3180" w:type="dxa"/>
            <w:vAlign w:val="bottom"/>
            <w:tcBorders>
              <w:bottom w:val="single" w:sz="8" w:color="0000EE"/>
            </w:tcBorders>
            <w:gridSpan w:val="18"/>
          </w:tcPr>
          <w:p>
            <w:pPr>
              <w:spacing w:after="0" w:line="141" w:lineRule="exact"/>
              <w:rPr>
                <w:rFonts w:ascii="Arial" w:cs="Arial" w:eastAsia="Arial" w:hAnsi="Arial"/>
                <w:sz w:val="13"/>
                <w:szCs w:val="13"/>
                <w:color w:val="0000EE"/>
                <w:w w:val="94"/>
              </w:rPr>
            </w:pPr>
            <w:hyperlink w:anchor="page65">
              <w:r>
                <w:rPr>
                  <w:rFonts w:ascii="Arial" w:cs="Arial" w:eastAsia="Arial" w:hAnsi="Arial"/>
                  <w:sz w:val="13"/>
                  <w:szCs w:val="13"/>
                  <w:color w:val="0000EE"/>
                  <w:w w:val="94"/>
                </w:rPr>
                <w:t>Section 16(a) Beneficial Ownership Reporting Compliance</w:t>
              </w:r>
            </w:hyperlink>
          </w:p>
        </w:tc>
        <w:tc>
          <w:tcPr>
            <w:tcW w:w="4580" w:type="dxa"/>
            <w:vAlign w:val="bottom"/>
            <w:gridSpan w:val="7"/>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60</w:t>
            </w:r>
          </w:p>
        </w:tc>
      </w:tr>
      <w:tr>
        <w:trPr>
          <w:trHeight w:val="140"/>
        </w:trPr>
        <w:tc>
          <w:tcPr>
            <w:tcW w:w="7760" w:type="dxa"/>
            <w:vAlign w:val="bottom"/>
            <w:gridSpan w:val="25"/>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Stockholder Proposals</w:t>
              </w:r>
            </w:hyperlink>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60</w:t>
            </w:r>
          </w:p>
        </w:tc>
      </w:tr>
      <w:tr>
        <w:trPr>
          <w:trHeight w:val="140"/>
        </w:trPr>
        <w:tc>
          <w:tcPr>
            <w:tcW w:w="76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93"/>
              </w:rPr>
            </w:pPr>
            <w:hyperlink w:anchor="page66">
              <w:r>
                <w:rPr>
                  <w:rFonts w:ascii="Arial" w:cs="Arial" w:eastAsia="Arial" w:hAnsi="Arial"/>
                  <w:sz w:val="13"/>
                  <w:szCs w:val="13"/>
                  <w:color w:val="0000EE"/>
                  <w:w w:val="93"/>
                </w:rPr>
                <w:t>Other Matters</w:t>
              </w:r>
            </w:hyperlink>
          </w:p>
        </w:tc>
        <w:tc>
          <w:tcPr>
            <w:tcW w:w="460" w:type="dxa"/>
            <w:vAlign w:val="bottom"/>
            <w:tcBorders>
              <w:top w:val="single" w:sz="8" w:color="0000EE"/>
            </w:tcBorders>
          </w:tcPr>
          <w:p>
            <w:pPr>
              <w:spacing w:after="0"/>
              <w:rPr>
                <w:sz w:val="12"/>
                <w:szCs w:val="12"/>
                <w:color w:val="auto"/>
              </w:rPr>
            </w:pPr>
          </w:p>
        </w:tc>
        <w:tc>
          <w:tcPr>
            <w:tcW w:w="6540" w:type="dxa"/>
            <w:vAlign w:val="bottom"/>
            <w:gridSpan w:val="21"/>
          </w:tcPr>
          <w:p>
            <w:pPr>
              <w:spacing w:after="0"/>
              <w:rPr>
                <w:sz w:val="12"/>
                <w:szCs w:val="12"/>
                <w:color w:val="auto"/>
              </w:rPr>
            </w:pP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61</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58" w:right="10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2"/>
          <w:szCs w:val="12"/>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151130</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INTEGRA LIFESCIENCES HOLDINGS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311 ENTERPRISE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113855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113855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MEETING OF STOCKHOLDERS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TO BE HELD ON MAY 17, 2011</w:t>
      </w:r>
    </w:p>
    <w:p>
      <w:pPr>
        <w:spacing w:after="0" w:line="87" w:lineRule="exact"/>
        <w:rPr>
          <w:sz w:val="20"/>
          <w:szCs w:val="20"/>
          <w:color w:val="auto"/>
        </w:rPr>
      </w:pPr>
    </w:p>
    <w:p>
      <w:pPr>
        <w:jc w:val="center"/>
        <w:ind w:left="920" w:right="2100"/>
        <w:spacing w:after="0" w:line="269"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MAY 17, 2011. The proxy statement and annual report to security holders are available on our internet site at http://investor.integralife.com/financials.cfm</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PURPOSE OF MEETING</w:t>
      </w:r>
    </w:p>
    <w:p>
      <w:pPr>
        <w:spacing w:after="0" w:line="103"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We are providing this Proxy Statement to holders of our common stock in connection with the solicitation by the Board of Directors of Integra LifeSciences Holdings Corporation (the “Company”) of proxies to be voted at the Company’s 2011 Annual Meeting of Stockholders (the “Meeting”) and at any adjournments or postponements thereof. The Meeting will begin at 9:00 a.m. local time on Tuesday, May 17, 2011 at the Company’s Corporate Headquarters, 315 Enterprise Drive, Plainsboro, New Jersey. We are first mailing this Proxy Statement, the Notice of Annual Meeting of Stockholders and the form of proxy to stockholders of the Company on or about April 14, 2011.</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 the Meeting, we will ask the stockholders of the Company to consider and vote upon:</w:t>
      </w:r>
    </w:p>
    <w:p>
      <w:pPr>
        <w:spacing w:after="0" w:line="101" w:lineRule="exact"/>
        <w:rPr>
          <w:sz w:val="20"/>
          <w:szCs w:val="20"/>
          <w:color w:val="auto"/>
        </w:rPr>
      </w:pPr>
    </w:p>
    <w:p>
      <w:pPr>
        <w:ind w:left="400" w:right="40" w:firstLine="390"/>
        <w:spacing w:after="0" w:line="291" w:lineRule="auto"/>
        <w:tabs>
          <w:tab w:leader="none" w:pos="942"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election of nine directors to serve until the next annual meeting of stockholders and until their successors are duly elected and qualified (see “Proposal 1. Election of Directors”);</w:t>
      </w:r>
    </w:p>
    <w:p>
      <w:pPr>
        <w:spacing w:after="0" w:line="48" w:lineRule="exact"/>
        <w:rPr>
          <w:rFonts w:ascii="Arial" w:cs="Arial" w:eastAsia="Arial" w:hAnsi="Arial"/>
          <w:sz w:val="13"/>
          <w:szCs w:val="13"/>
          <w:color w:val="auto"/>
        </w:rPr>
      </w:pPr>
    </w:p>
    <w:p>
      <w:pPr>
        <w:ind w:left="400" w:right="380" w:firstLine="390"/>
        <w:spacing w:after="0" w:line="291" w:lineRule="auto"/>
        <w:tabs>
          <w:tab w:leader="none" w:pos="979"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ratification of the appointment of PricewaterhouseCoopers LLP as the Company’s independent registered public accounting firm for the fiscal year 2011 (see “Proposal 2. Ratification of Independent Registered Public Accounting Firm”);</w:t>
      </w:r>
    </w:p>
    <w:p>
      <w:pPr>
        <w:spacing w:after="0" w:line="48" w:lineRule="exact"/>
        <w:rPr>
          <w:rFonts w:ascii="Arial" w:cs="Arial" w:eastAsia="Arial" w:hAnsi="Arial"/>
          <w:sz w:val="13"/>
          <w:szCs w:val="13"/>
          <w:color w:val="auto"/>
        </w:rPr>
      </w:pPr>
    </w:p>
    <w:p>
      <w:pPr>
        <w:ind w:left="1020" w:hanging="230"/>
        <w:spacing w:after="0"/>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non-binding resolution to approve the compensation of our named executive officers (see “Proposal 3. Advisory Vote on Executive Compensation”); and</w:t>
      </w:r>
    </w:p>
    <w:p>
      <w:pPr>
        <w:spacing w:after="0" w:line="100" w:lineRule="exact"/>
        <w:rPr>
          <w:rFonts w:ascii="Arial" w:cs="Arial" w:eastAsia="Arial" w:hAnsi="Arial"/>
          <w:sz w:val="13"/>
          <w:szCs w:val="13"/>
          <w:color w:val="auto"/>
        </w:rPr>
      </w:pPr>
    </w:p>
    <w:p>
      <w:pPr>
        <w:ind w:left="400" w:firstLine="390"/>
        <w:spacing w:after="0" w:line="291" w:lineRule="auto"/>
        <w:tabs>
          <w:tab w:leader="none" w:pos="1009" w:val="left"/>
        </w:tabs>
        <w:numPr>
          <w:ilvl w:val="0"/>
          <w:numId w:val="4"/>
        </w:numPr>
        <w:rPr>
          <w:rFonts w:ascii="Arial" w:cs="Arial" w:eastAsia="Arial" w:hAnsi="Arial"/>
          <w:sz w:val="13"/>
          <w:szCs w:val="13"/>
          <w:color w:val="auto"/>
        </w:rPr>
      </w:pPr>
      <w:r>
        <w:rPr>
          <w:rFonts w:ascii="Arial" w:cs="Arial" w:eastAsia="Arial" w:hAnsi="Arial"/>
          <w:sz w:val="13"/>
          <w:szCs w:val="13"/>
          <w:color w:val="auto"/>
        </w:rPr>
        <w:t>a non-binding proposal on the frequency of an advisory vote on the compensation of our named executive officers (see “Proposal 4. Advisory Vote on the Frequency of an Advisory Vote on Executive Compensation”);</w:t>
      </w:r>
    </w:p>
    <w:p>
      <w:pPr>
        <w:spacing w:after="0" w:line="48" w:lineRule="exact"/>
        <w:rPr>
          <w:sz w:val="20"/>
          <w:szCs w:val="20"/>
          <w:color w:val="auto"/>
        </w:rPr>
      </w:pPr>
    </w:p>
    <w:p>
      <w:pPr>
        <w:ind w:right="640" w:firstLine="399"/>
        <w:spacing w:after="0" w:line="336" w:lineRule="auto"/>
        <w:rPr>
          <w:sz w:val="20"/>
          <w:szCs w:val="20"/>
          <w:color w:val="auto"/>
        </w:rPr>
      </w:pPr>
      <w:r>
        <w:rPr>
          <w:rFonts w:ascii="Arial" w:cs="Arial" w:eastAsia="Arial" w:hAnsi="Arial"/>
          <w:sz w:val="12"/>
          <w:szCs w:val="12"/>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RECORD DATE</w:t>
      </w:r>
    </w:p>
    <w:p>
      <w:pPr>
        <w:spacing w:after="0" w:line="103"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As of March 31, 2011, the record date for the Meeting, 28,541,005 shares of our common stock were outstanding. Only holders of record of our common stock as of the close of business on the record date are entitled to notice of, and to vote at, the Meeting or at any adjournment or postponement thereof.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VOTING AND REVOCABILITY OF PROXIES</w:t>
      </w:r>
    </w:p>
    <w:p>
      <w:pPr>
        <w:spacing w:after="0" w:line="103"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4" w:right="103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3"/>
          <w:szCs w:val="13"/>
          <w:color w:val="auto"/>
        </w:rPr>
        <w:t>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2011 fiscal year (Proposal 2). In all other instances, brokers and other shareowners of record who serve as nominees for a beneficial owner may not vote on a proposal without having voting instructions from the beneficial owner.</w:t>
      </w:r>
    </w:p>
    <w:p>
      <w:pPr>
        <w:spacing w:after="0" w:line="65"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3"/>
          <w:szCs w:val="13"/>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63"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For Proposal 4, you may vote to indicate whether you would prefer an advisory vote on executive compensation once every “ONE YEAR”, “TWO YEARS” or “THREE YEARS” or “ABSTAIN”. If you sign your proxy card or broker voting instruction card with no further instructions, your shares will be voted in accordance with the recommendations of the Board of Directors. No recommendation is being made by the Board of Directors on Proposal 4.</w:t>
      </w:r>
    </w:p>
    <w:p>
      <w:pPr>
        <w:spacing w:after="0" w:line="65" w:lineRule="exact"/>
        <w:rPr>
          <w:sz w:val="20"/>
          <w:szCs w:val="20"/>
          <w:color w:val="auto"/>
        </w:rPr>
      </w:pPr>
    </w:p>
    <w:p>
      <w:pPr>
        <w:ind w:right="80" w:firstLine="399"/>
        <w:spacing w:after="0" w:line="290" w:lineRule="auto"/>
        <w:rPr>
          <w:sz w:val="20"/>
          <w:szCs w:val="20"/>
          <w:color w:val="auto"/>
        </w:rPr>
      </w:pPr>
      <w:r>
        <w:rPr>
          <w:rFonts w:ascii="Arial" w:cs="Arial" w:eastAsia="Arial" w:hAnsi="Arial"/>
          <w:sz w:val="12"/>
          <w:szCs w:val="12"/>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Human Resources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51" w:lineRule="exact"/>
        <w:rPr>
          <w:sz w:val="20"/>
          <w:szCs w:val="20"/>
          <w:color w:val="auto"/>
        </w:rPr>
      </w:pPr>
    </w:p>
    <w:p>
      <w:pPr>
        <w:ind w:right="200" w:firstLine="399"/>
        <w:spacing w:after="0" w:line="307" w:lineRule="auto"/>
        <w:rPr>
          <w:sz w:val="20"/>
          <w:szCs w:val="20"/>
          <w:color w:val="auto"/>
        </w:rPr>
      </w:pPr>
      <w:r>
        <w:rPr>
          <w:rFonts w:ascii="Arial" w:cs="Arial" w:eastAsia="Arial" w:hAnsi="Arial"/>
          <w:sz w:val="12"/>
          <w:szCs w:val="12"/>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PROPOSAL 1. ELECTION OF DIRECTORS</w:t>
      </w:r>
    </w:p>
    <w:p>
      <w:pPr>
        <w:spacing w:after="0" w:line="103"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The Board of Directors has nominated nine persons for election as directors who will serve until the next annual meeting of stockholders and until their successors are duly elected and qualified: Thomas J. Baltimore, Jr., Keith Bradley, Ph.D., Richard E. Caruso, Ph.D., Stuart M. Essig, Neal Moszkowski, Raymond G. Murphy, Christian S. Schade, James M. Sullivan and Anne M. VanLent, each of whom are currently directors of the Company.</w:t>
      </w:r>
    </w:p>
    <w:p>
      <w:pPr>
        <w:spacing w:after="0" w:line="59" w:lineRule="exact"/>
        <w:rPr>
          <w:sz w:val="20"/>
          <w:szCs w:val="20"/>
          <w:color w:val="auto"/>
        </w:rPr>
      </w:pPr>
    </w:p>
    <w:p>
      <w:pPr>
        <w:ind w:right="20" w:firstLine="399"/>
        <w:spacing w:after="0" w:line="274" w:lineRule="auto"/>
        <w:rPr>
          <w:sz w:val="20"/>
          <w:szCs w:val="20"/>
          <w:color w:val="auto"/>
        </w:rPr>
      </w:pPr>
      <w:r>
        <w:rPr>
          <w:rFonts w:ascii="Arial" w:cs="Arial" w:eastAsia="Arial" w:hAnsi="Arial"/>
          <w:sz w:val="13"/>
          <w:szCs w:val="13"/>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59" w:lineRule="exact"/>
        <w:rPr>
          <w:sz w:val="20"/>
          <w:szCs w:val="20"/>
          <w:color w:val="auto"/>
        </w:rPr>
      </w:pPr>
    </w:p>
    <w:p>
      <w:pPr>
        <w:ind w:right="40" w:firstLine="399"/>
        <w:spacing w:after="0" w:line="262" w:lineRule="auto"/>
        <w:rPr>
          <w:sz w:val="20"/>
          <w:szCs w:val="20"/>
          <w:color w:val="auto"/>
        </w:rPr>
      </w:pPr>
      <w:r>
        <w:rPr>
          <w:rFonts w:ascii="Arial" w:cs="Arial" w:eastAsia="Arial" w:hAnsi="Arial"/>
          <w:sz w:val="13"/>
          <w:szCs w:val="13"/>
          <w:i w:val="1"/>
          <w:iCs w:val="1"/>
          <w:color w:val="auto"/>
        </w:rPr>
        <w:t xml:space="preserve">THOMAS J. BALTIMORE, JR. </w:t>
      </w:r>
      <w:r>
        <w:rPr>
          <w:rFonts w:ascii="Arial" w:cs="Arial" w:eastAsia="Arial" w:hAnsi="Arial"/>
          <w:sz w:val="13"/>
          <w:szCs w:val="13"/>
          <w:color w:val="auto"/>
        </w:rPr>
        <w:t>has been a director of the Company since March 2007. He serves as President of RLJ Development, LLC, which he co-founded in 2000.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holding various positions in the company, including Senior Director and Manager. Prior to his employment with Marriott, Mr. Baltimore was a staff auditor for Price Waterhouse. He also serves as a director for Prudential Financial, Inc., Duke Realty Corporation and the University of Virginia (Darden School and Jefferson Scholars Foundation). Further, he is a member of the Hilton Hotel Corporation Owners’ Advisory Board, Marriot International Association Board and the American Hotel &amp; Lodging Association Industry Real Estate Finance Advisory Council. He received a B.S. degree from the McIntire School of Commerce at the University of Virginia and an M.B.A. from the Colgate Darden Graduate School of Business Administration at the University of Virginia. Mr. Baltimore is 47 years old.</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KEITH BRADLEY, PH.D. </w:t>
      </w:r>
      <w:r>
        <w:rPr>
          <w:rFonts w:ascii="Arial" w:cs="Arial" w:eastAsia="Arial" w:hAnsi="Arial"/>
          <w:sz w:val="13"/>
          <w:szCs w:val="13"/>
          <w:color w:val="auto"/>
        </w:rPr>
        <w:t>has been a director of the Company since 1992. Between 1996 and 2003, he was a director of Highway Insurance plc, an insurance company listed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He previously served as a director and chair of North Star Capital Management Limited and GRS Financial Solutions Limited. Dr. Bradley is 66 years old.</w:t>
      </w:r>
    </w:p>
    <w:p>
      <w:pPr>
        <w:spacing w:after="0" w:line="65"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RICHARD E. CARUSO, PH.D. </w:t>
      </w:r>
      <w:r>
        <w:rPr>
          <w:rFonts w:ascii="Arial" w:cs="Arial" w:eastAsia="Arial" w:hAnsi="Arial"/>
          <w:sz w:val="12"/>
          <w:szCs w:val="12"/>
          <w:color w:val="auto"/>
        </w:rPr>
        <w:t>founded the Company in 1989 and has served as the Company’s Chairman since March 1992. Dr. Caruso is currently a member of The Provco</w:t>
      </w:r>
      <w:r>
        <w:rPr>
          <w:rFonts w:ascii="Arial" w:cs="Arial" w:eastAsia="Arial" w:hAnsi="Arial"/>
          <w:sz w:val="12"/>
          <w:szCs w:val="12"/>
          <w:i w:val="1"/>
          <w:iCs w:val="1"/>
          <w:color w:val="auto"/>
        </w:rPr>
        <w:t xml:space="preserve"> </w:t>
      </w:r>
      <w:r>
        <w:rPr>
          <w:rFonts w:ascii="Arial" w:cs="Arial" w:eastAsia="Arial" w:hAnsi="Arial"/>
          <w:sz w:val="12"/>
          <w:szCs w:val="12"/>
          <w:color w:val="auto"/>
        </w:rPr>
        <w:t>Group, a venture and real estate investment company, an advisor to Quaker BioVentures, a medical venture capital financial investor, a member of the Board of Directors of Diasome Pharmaceuticals, LLC, a start-up company in which Quaker BioVentures is an investor, and an advisor to NewSpring Capital and ePlanet Ventures II, both diversified venture capital financial investors. Further, he serves as the Chief Executive Officer of Smart Personalized Medicine, LLC, President of Manage RightLite, LLC and is a member of the Board of Directors of Songbird Hearing Inc.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67 years old.</w:t>
      </w:r>
    </w:p>
    <w:p>
      <w:pPr>
        <w:spacing w:after="0" w:line="58"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i w:val="1"/>
          <w:iCs w:val="1"/>
          <w:color w:val="auto"/>
        </w:rPr>
        <w:t xml:space="preserve">STUART M. ESSIG </w:t>
      </w:r>
      <w:r>
        <w:rPr>
          <w:rFonts w:ascii="Arial" w:cs="Arial" w:eastAsia="Arial" w:hAnsi="Arial"/>
          <w:sz w:val="13"/>
          <w:szCs w:val="13"/>
          <w:color w:val="auto"/>
        </w:rPr>
        <w:t>is Integra’s Chief Executive Officer and a director. He joined Integra in December 1997. Before joining Integra, Mr. Essig supervised the medical 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has chaired Audit, Compensation and Nominating and Governance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8" w:name="page9"/>
    <w:bookmarkEnd w:id="8"/>
    <w:p>
      <w:pPr>
        <w:ind w:right="20"/>
        <w:spacing w:after="0" w:line="263" w:lineRule="auto"/>
        <w:rPr>
          <w:sz w:val="20"/>
          <w:szCs w:val="20"/>
          <w:color w:val="auto"/>
        </w:rPr>
      </w:pPr>
      <w:r>
        <w:rPr>
          <w:rFonts w:ascii="Arial" w:cs="Arial" w:eastAsia="Arial" w:hAnsi="Arial"/>
          <w:sz w:val="13"/>
          <w:szCs w:val="13"/>
          <w:color w:val="auto"/>
        </w:rPr>
        <w:t>Committees and served on the boards of several NASDAQ and NYSE listed companies ranging in size from several hundred million dollars to more than $15 billion in market capitalization. Mr. Essig currently serves on the Board of Directors of St. Jude Medical Corporation. From March 2005 until August 2008, he served on the Board of Directors of Zimmer Holdings, Inc., and from 1998 to 2002 he served on the Board of Directors of Vital Signs, Inc. Mr. Essig has also served on the executive committee, nominating and governance committee and as treasurer of ADVAMED, the Advanced Medical Technology Association. Mr. Essig is also involved in several non-profit charitable organizations, including from time to time having served on the boards of such organizations. Mr. Essig received an A.B. degree, and graduated with magna cum laude honors from the Woodrow Wilson School of Public and International Affairs at Princeton University and an M.B.A. and a Ph.D. degree in Financial Economics from the University of Chicago, Graduate School of Business. Mr. Essig is 49 years old.</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NEAL MOSZKOWSKI </w:t>
      </w:r>
      <w:r>
        <w:rPr>
          <w:rFonts w:ascii="Arial" w:cs="Arial" w:eastAsia="Arial" w:hAnsi="Arial"/>
          <w:sz w:val="12"/>
          <w:szCs w:val="12"/>
          <w:color w:val="auto"/>
        </w:rPr>
        <w:t>has been a director of the Company since 2006. He previously served as a director of the Company from March 1999 to May 2005. He has been the Co-</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 of TowerBrook Capital Partners LP, a private equity investment firm, since 2005. Prior to joining TowerBrook, Mr. Moszkowski was Managing Director and Co-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Head of Soros Private Equity, the private equity investment business of Soros Fund Management LLC, where he served since August 1998. From August 1993 to August 1998,</w:t>
      </w:r>
    </w:p>
    <w:p>
      <w:pPr>
        <w:spacing w:after="0" w:line="22" w:lineRule="exact"/>
        <w:rPr>
          <w:sz w:val="20"/>
          <w:szCs w:val="20"/>
          <w:color w:val="auto"/>
        </w:rPr>
      </w:pPr>
    </w:p>
    <w:p>
      <w:pPr>
        <w:ind w:right="100"/>
        <w:spacing w:after="0" w:line="298" w:lineRule="auto"/>
        <w:rPr>
          <w:sz w:val="20"/>
          <w:szCs w:val="20"/>
          <w:color w:val="auto"/>
        </w:rPr>
      </w:pPr>
      <w:r>
        <w:rPr>
          <w:rFonts w:ascii="Arial" w:cs="Arial" w:eastAsia="Arial" w:hAnsi="Arial"/>
          <w:sz w:val="12"/>
          <w:szCs w:val="12"/>
          <w:color w:val="auto"/>
        </w:rPr>
        <w:t>Mr. Moszkowski worked for Goldman, Sachs &amp; Co. and affiliates, where he served as Vice President and Executive Director in the Principal Investment Area. Mr. Moszkowski also currently serves as a director of several privately-owned companies. Mr. Moszkowski earned his B.A. with magna cum laude honors in Economics and History from Amherst College in 1988. In addition, he received his M.B.A. from the Stanford University Graduate School of Business in 1993. Mr. Moszkowski is 45 years old.</w:t>
      </w:r>
    </w:p>
    <w:p>
      <w:pPr>
        <w:spacing w:after="0" w:line="46"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i w:val="1"/>
          <w:iCs w:val="1"/>
          <w:color w:val="auto"/>
        </w:rPr>
        <w:t xml:space="preserve">RAYMOND G. MURPHY </w:t>
      </w:r>
      <w:r>
        <w:rPr>
          <w:rFonts w:ascii="Arial" w:cs="Arial" w:eastAsia="Arial" w:hAnsi="Arial"/>
          <w:sz w:val="13"/>
          <w:szCs w:val="13"/>
          <w:color w:val="auto"/>
        </w:rPr>
        <w:t>has been a director of the Company since April 2009. Between 2004 and 2008, he was Senior Vice President &amp; Treasurer of Time Warner, Inc.,</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63 years old.</w:t>
      </w:r>
    </w:p>
    <w:p>
      <w:pPr>
        <w:spacing w:after="0" w:line="69"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i w:val="1"/>
          <w:iCs w:val="1"/>
          <w:color w:val="auto"/>
        </w:rPr>
        <w:t xml:space="preserve">CHRISTIAN S. SCHADE </w:t>
      </w:r>
      <w:r>
        <w:rPr>
          <w:rFonts w:ascii="Arial" w:cs="Arial" w:eastAsia="Arial" w:hAnsi="Arial"/>
          <w:sz w:val="12"/>
          <w:szCs w:val="12"/>
          <w:color w:val="auto"/>
        </w:rPr>
        <w:t>has been a director of the Company since 2006. He has been Executive Vice President of NRG Energy, Inc. and Chief Financial Officer since May 2010.</w:t>
      </w:r>
      <w:r>
        <w:rPr>
          <w:rFonts w:ascii="Arial" w:cs="Arial" w:eastAsia="Arial" w:hAnsi="Arial"/>
          <w:sz w:val="12"/>
          <w:szCs w:val="12"/>
          <w:i w:val="1"/>
          <w:iCs w:val="1"/>
          <w:color w:val="auto"/>
        </w:rPr>
        <w:t xml:space="preserve"> </w:t>
      </w:r>
      <w:r>
        <w:rPr>
          <w:rFonts w:ascii="Arial" w:cs="Arial" w:eastAsia="Arial" w:hAnsi="Arial"/>
          <w:sz w:val="12"/>
          <w:szCs w:val="12"/>
          <w:color w:val="auto"/>
        </w:rPr>
        <w:t>Between 2000 and 2009, Mr. Schade was the Senior Vice President, Finance and Administration, and Chief Financial Officer of Medarex, Inc. In addition, Mr. Schade was responsible for technical operations and business development at Medarex. Headquartered in Princeton, New Jersey, Medarex, prior to its acquisition by Bristol-Myers Squibb Company, was a NASDAQ-listed biopharmaceutical company focused on the discovery and development of human antibody-based therapeutic products for the treatment of a wide range of life threatening and debilitating diseases. While at Medarex, Mr. Schade helped Medarex to grow to become a leading pharmaceutical development company raising capital through a series of public capital market and asset monetization transactions. He also oversaw the manufacturing of multiple development/clinical programs, including ipilimumab currently in Phase 3 clinical trials. Prior to joining Medarex,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as Chair of the Board of Trustees at Princeton Academy School. Mr. Schade received an A.B. degree from Princeton University, and received an M.B.A. from the Wharton School at the University of Pennsylvania. Mr. Schade is 50 years old.</w:t>
      </w:r>
    </w:p>
    <w:p>
      <w:pPr>
        <w:spacing w:after="0" w:line="54"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i w:val="1"/>
          <w:iCs w:val="1"/>
          <w:color w:val="auto"/>
        </w:rPr>
        <w:t xml:space="preserve">JAMES M. SULLIVAN </w:t>
      </w:r>
      <w:r>
        <w:rPr>
          <w:rFonts w:ascii="Arial" w:cs="Arial" w:eastAsia="Arial" w:hAnsi="Arial"/>
          <w:sz w:val="13"/>
          <w:szCs w:val="13"/>
          <w:color w:val="auto"/>
        </w:rPr>
        <w:t>has been a director of the Company since 1992. He is a Co-Founder of, and currently the Principal Advisor to, the Clover Investment Group. Between 1986</w:t>
      </w:r>
      <w:r>
        <w:rPr>
          <w:rFonts w:ascii="Arial" w:cs="Arial" w:eastAsia="Arial" w:hAnsi="Arial"/>
          <w:sz w:val="13"/>
          <w:szCs w:val="13"/>
          <w:i w:val="1"/>
          <w:iCs w:val="1"/>
          <w:color w:val="auto"/>
        </w:rPr>
        <w:t xml:space="preserve"> </w:t>
      </w:r>
      <w:r>
        <w:rPr>
          <w:rFonts w:ascii="Arial" w:cs="Arial" w:eastAsia="Arial" w:hAnsi="Arial"/>
          <w:sz w:val="13"/>
          <w:szCs w:val="13"/>
          <w:color w:val="auto"/>
        </w:rPr>
        <w:t>and April 2009, he held several positions with</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9" w:name="page10"/>
    <w:bookmarkEnd w:id="9"/>
    <w:p>
      <w:pPr>
        <w:ind w:right="140"/>
        <w:spacing w:after="0" w:line="293" w:lineRule="auto"/>
        <w:rPr>
          <w:sz w:val="20"/>
          <w:szCs w:val="20"/>
          <w:color w:val="auto"/>
        </w:rPr>
      </w:pPr>
      <w:r>
        <w:rPr>
          <w:rFonts w:ascii="Arial" w:cs="Arial" w:eastAsia="Arial" w:hAnsi="Arial"/>
          <w:sz w:val="12"/>
          <w:szCs w:val="12"/>
          <w:color w:val="auto"/>
        </w:rPr>
        <w:t>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67 years old.</w:t>
      </w:r>
    </w:p>
    <w:p>
      <w:pPr>
        <w:spacing w:after="0" w:line="49"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i w:val="1"/>
          <w:iCs w:val="1"/>
          <w:color w:val="auto"/>
        </w:rPr>
        <w:t xml:space="preserve">ANNE M. VANLENT </w:t>
      </w:r>
      <w:r>
        <w:rPr>
          <w:rFonts w:ascii="Arial" w:cs="Arial" w:eastAsia="Arial" w:hAnsi="Arial"/>
          <w:sz w:val="12"/>
          <w:szCs w:val="12"/>
          <w:color w:val="auto"/>
        </w:rPr>
        <w:t>has been a director of the Company since 2004. She is currently President of AMV Advisors, providing corporate strategy and financial consulting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to emerging growth life sciences companies. Ms. VanLent had been Executive Vice President and Chief Financial Officer of Barrier Therapeutics, Inc., a publicly-traded pharmaceutical company that develops and markets prescription dermatology products, from May 2002 through April 2008.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and chair of the audit committee for Tranzyme Pharma, Inc., a NASDAQ-listed company. She was a director and chair of the audit committee of Penwest Pharmaceuticals Co., also a NASDAQ-listed company, until its sale to Endo Pharmaceuticals in the fall of 2010. Ms. VanLent received a B.A. degree in Physics from Mount Holyoke College. Ms. VanLent is 63 years old.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Board of Directors hereby recommends that the stockholders of the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vote “FOR” the election of each nominee for director.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3"/>
          <w:szCs w:val="13"/>
          <w:b w:val="1"/>
          <w:bCs w:val="1"/>
          <w:color w:val="auto"/>
        </w:rPr>
        <w:t>INFORMATION CONCERNING MEETINGS, EXECUTIVE SESSIONS AND CERTAIN COMMITTEES</w:t>
      </w:r>
    </w:p>
    <w:p>
      <w:pPr>
        <w:spacing w:after="0" w:line="103"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Board of Directors held five regularly scheduled and two special meetings during 2010.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determination with respect to Dr. Caruso and Mr. Moszkowski, the Board of Directors considered that Dr. Caruso, Mr. Essig and Mr. Henneman, our Executive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w:t>
      </w:r>
    </w:p>
    <w:p>
      <w:pPr>
        <w:ind w:right="240" w:firstLine="8"/>
        <w:spacing w:after="0" w:line="261" w:lineRule="auto"/>
        <w:tabs>
          <w:tab w:leader="none" w:pos="159" w:val="left"/>
        </w:tabs>
        <w:numPr>
          <w:ilvl w:val="0"/>
          <w:numId w:val="5"/>
        </w:numPr>
        <w:rPr>
          <w:rFonts w:ascii="Arial" w:cs="Arial" w:eastAsia="Arial" w:hAnsi="Arial"/>
          <w:sz w:val="13"/>
          <w:szCs w:val="13"/>
          <w:color w:val="auto"/>
        </w:rPr>
      </w:pPr>
      <w:r>
        <w:rPr>
          <w:rFonts w:ascii="Arial" w:cs="Arial" w:eastAsia="Arial" w:hAnsi="Arial"/>
          <w:sz w:val="13"/>
          <w:szCs w:val="13"/>
          <w:color w:val="auto"/>
        </w:rPr>
        <w:t>that Mr. Essig serves without compensation on the Management Advisory Board of TowerBrook Capital Partners, LP and concluded that such relationship does not affect the independence of Mr. Moszkowski and (ii) that the Company pays administrative fees to Broadlane, Inc. (a majority interest of which, until November 2010, two private equity funds managed by TowerBrook Capital Partners, LP owned) in its capacity as a group purchasing organization relating to contracts (which do not obligate Broadlane, Inc., the negotiating entity, or its member organizations to buy our products) obtained through a competitive bidding process and for which Mr. Moszkowski receives no compensation and concluded that such relationship does not affect the independence of Mr. Moszkowski.</w:t>
      </w:r>
    </w:p>
    <w:p>
      <w:pPr>
        <w:spacing w:after="0" w:line="68" w:lineRule="exact"/>
        <w:rPr>
          <w:sz w:val="20"/>
          <w:szCs w:val="20"/>
          <w:color w:val="auto"/>
        </w:rPr>
      </w:pPr>
    </w:p>
    <w:p>
      <w:pPr>
        <w:ind w:right="140" w:firstLine="399"/>
        <w:spacing w:after="0" w:line="268" w:lineRule="auto"/>
        <w:rPr>
          <w:sz w:val="20"/>
          <w:szCs w:val="20"/>
          <w:color w:val="auto"/>
        </w:rPr>
      </w:pPr>
      <w:r>
        <w:rPr>
          <w:rFonts w:ascii="Arial" w:cs="Arial" w:eastAsia="Arial" w:hAnsi="Arial"/>
          <w:sz w:val="13"/>
          <w:szCs w:val="13"/>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3"/>
          <w:szCs w:val="13"/>
          <w:u w:val="single" w:color="auto"/>
          <w:color w:val="auto"/>
        </w:rPr>
        <w:t>www.integralife.com</w:t>
      </w:r>
      <w:r>
        <w:rPr>
          <w:rFonts w:ascii="Arial" w:cs="Arial" w:eastAsia="Arial" w:hAnsi="Arial"/>
          <w:sz w:val="13"/>
          <w:szCs w:val="13"/>
          <w:color w:val="auto"/>
        </w:rPr>
        <w:t xml:space="preserve"> through the “Investors Relations” link under the heading “Corporate Governance.” During 2010, each incumbent director attended in person or by teleconference at least 75% of the total number of meetings of the Board of Directors and of each committee of the Board of Directors on which he or she served.</w:t>
      </w:r>
    </w:p>
    <w:p>
      <w:pPr>
        <w:spacing w:after="0" w:line="63" w:lineRule="exact"/>
        <w:rPr>
          <w:sz w:val="20"/>
          <w:szCs w:val="20"/>
          <w:color w:val="auto"/>
        </w:rPr>
      </w:pPr>
    </w:p>
    <w:p>
      <w:pPr>
        <w:ind w:right="80" w:firstLine="399"/>
        <w:spacing w:after="0" w:line="293" w:lineRule="auto"/>
        <w:rPr>
          <w:sz w:val="20"/>
          <w:szCs w:val="20"/>
          <w:color w:val="auto"/>
        </w:rPr>
      </w:pPr>
      <w:r>
        <w:rPr>
          <w:rFonts w:ascii="Arial" w:cs="Arial" w:eastAsia="Arial" w:hAnsi="Arial"/>
          <w:sz w:val="12"/>
          <w:szCs w:val="12"/>
          <w:i w:val="1"/>
          <w:iCs w:val="1"/>
          <w:color w:val="auto"/>
        </w:rPr>
        <w:t xml:space="preserve">Audit Committee. </w:t>
      </w:r>
      <w:r>
        <w:rPr>
          <w:rFonts w:ascii="Arial" w:cs="Arial" w:eastAsia="Arial" w:hAnsi="Arial"/>
          <w:sz w:val="12"/>
          <w:szCs w:val="12"/>
          <w:color w:val="auto"/>
        </w:rPr>
        <w:t>The members of the Audit Committee are Ms. VanLent (chair), Mr. Murphy, Mr. Schade and Mr. Sullivan. The Committee met six times in 2010. The purpose</w:t>
      </w:r>
      <w:r>
        <w:rPr>
          <w:rFonts w:ascii="Arial" w:cs="Arial" w:eastAsia="Arial" w:hAnsi="Arial"/>
          <w:sz w:val="12"/>
          <w:szCs w:val="12"/>
          <w:i w:val="1"/>
          <w:iCs w:val="1"/>
          <w:color w:val="auto"/>
        </w:rPr>
        <w:t xml:space="preserve"> </w:t>
      </w:r>
      <w:r>
        <w:rPr>
          <w:rFonts w:ascii="Arial" w:cs="Arial" w:eastAsia="Arial" w:hAnsi="Arial"/>
          <w:sz w:val="12"/>
          <w:szCs w:val="12"/>
          <w:color w:val="auto"/>
        </w:rPr>
        <w:t>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Murphy, Mr. Schade and Mr. Sullivan are “audit committee financial experts,” as defined under Item 407(d) of Regulation S-K, and that each of them are “financially sophisticated” in accordance with NASDAQ Stock Market listing standards.</w:t>
      </w:r>
    </w:p>
    <w:p>
      <w:pPr>
        <w:spacing w:after="0" w:line="49" w:lineRule="exact"/>
        <w:rPr>
          <w:sz w:val="20"/>
          <w:szCs w:val="20"/>
          <w:color w:val="auto"/>
        </w:rPr>
      </w:pPr>
    </w:p>
    <w:p>
      <w:pPr>
        <w:jc w:val="both"/>
        <w:ind w:right="80" w:firstLine="399"/>
        <w:spacing w:after="0" w:line="290"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The members of the Nominating and Corporate Governance Committee are Dr. Bradley, Mr. Moszkowski and Mr. Sullivan</w:t>
      </w:r>
      <w:r>
        <w:rPr>
          <w:rFonts w:ascii="Arial" w:cs="Arial" w:eastAsia="Arial" w:hAnsi="Arial"/>
          <w:sz w:val="12"/>
          <w:szCs w:val="12"/>
          <w:i w:val="1"/>
          <w:iCs w:val="1"/>
          <w:color w:val="auto"/>
        </w:rPr>
        <w:t xml:space="preserve"> </w:t>
      </w:r>
      <w:r>
        <w:rPr>
          <w:rFonts w:ascii="Arial" w:cs="Arial" w:eastAsia="Arial" w:hAnsi="Arial"/>
          <w:sz w:val="12"/>
          <w:szCs w:val="12"/>
          <w:color w:val="auto"/>
        </w:rPr>
        <w:t>(chair). The Committee met five times in 2010.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51" w:lineRule="exact"/>
        <w:rPr>
          <w:sz w:val="20"/>
          <w:szCs w:val="20"/>
          <w:color w:val="auto"/>
        </w:rPr>
      </w:pPr>
    </w:p>
    <w:p>
      <w:pPr>
        <w:ind w:right="120" w:firstLine="399"/>
        <w:spacing w:after="0" w:line="274" w:lineRule="auto"/>
        <w:rPr>
          <w:sz w:val="20"/>
          <w:szCs w:val="20"/>
          <w:color w:val="auto"/>
        </w:rPr>
      </w:pPr>
      <w:r>
        <w:rPr>
          <w:rFonts w:ascii="Arial" w:cs="Arial" w:eastAsia="Arial" w:hAnsi="Arial"/>
          <w:sz w:val="13"/>
          <w:szCs w:val="13"/>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8" w:right="1039" w:bottom="1440" w:gutter="0" w:footer="0" w:header="0"/>
        </w:sectPr>
      </w:pPr>
    </w:p>
    <w:bookmarkStart w:id="11" w:name="page12"/>
    <w:bookmarkEnd w:id="11"/>
    <w:p>
      <w:pPr>
        <w:ind w:right="40"/>
        <w:spacing w:after="0" w:line="262" w:lineRule="auto"/>
        <w:rPr>
          <w:sz w:val="20"/>
          <w:szCs w:val="20"/>
          <w:color w:val="auto"/>
        </w:rPr>
      </w:pPr>
      <w:r>
        <w:rPr>
          <w:rFonts w:ascii="Arial" w:cs="Arial" w:eastAsia="Arial" w:hAnsi="Arial"/>
          <w:sz w:val="13"/>
          <w:szCs w:val="13"/>
          <w:color w:val="auto"/>
        </w:rPr>
        <w:t>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diversity for this purpose.</w:t>
      </w:r>
    </w:p>
    <w:p>
      <w:pPr>
        <w:spacing w:after="0" w:line="67" w:lineRule="exact"/>
        <w:rPr>
          <w:sz w:val="20"/>
          <w:szCs w:val="20"/>
          <w:color w:val="auto"/>
        </w:rPr>
      </w:pPr>
    </w:p>
    <w:p>
      <w:pPr>
        <w:ind w:right="160" w:firstLine="399"/>
        <w:spacing w:after="0" w:line="290" w:lineRule="auto"/>
        <w:rPr>
          <w:sz w:val="20"/>
          <w:szCs w:val="20"/>
          <w:color w:val="auto"/>
        </w:rPr>
      </w:pPr>
      <w:r>
        <w:rPr>
          <w:rFonts w:ascii="Arial" w:cs="Arial" w:eastAsia="Arial" w:hAnsi="Arial"/>
          <w:sz w:val="12"/>
          <w:szCs w:val="12"/>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51"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Human Resources and Secretary.</w:t>
      </w:r>
    </w:p>
    <w:p>
      <w:pPr>
        <w:spacing w:after="0" w:line="51" w:lineRule="exact"/>
        <w:rPr>
          <w:sz w:val="20"/>
          <w:szCs w:val="20"/>
          <w:color w:val="auto"/>
        </w:rPr>
      </w:pPr>
    </w:p>
    <w:p>
      <w:pPr>
        <w:ind w:right="120" w:firstLine="399"/>
        <w:spacing w:after="0" w:line="288"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members of the Compensation Committee are Dr. Bradley (chair), Mr. Baltimore and Mr. Moszkowski. The Committee met eight times in 2010.</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Compensation Committee makes decisions concerning salaries and incentive compensation, including the issuance of equity awards, for executive officers of the Company. The Compensation Committee also administers the Company’s 2000 Equity Incentive Plan (which expired in April 2010), the Company’s 2001 Equity Incentive Plan, the Company’s 2003 Equity Incentive Plan, the Company’s 1998 Stock Option Plan (which expired in February 2008), the Company’s 1999 Stock Option Plan (which expired in February 2009)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53" w:lineRule="exact"/>
        <w:rPr>
          <w:sz w:val="20"/>
          <w:szCs w:val="20"/>
          <w:color w:val="auto"/>
        </w:rPr>
      </w:pPr>
    </w:p>
    <w:p>
      <w:pPr>
        <w:ind w:right="60" w:firstLine="399"/>
        <w:spacing w:after="0" w:line="284" w:lineRule="auto"/>
        <w:rPr>
          <w:sz w:val="20"/>
          <w:szCs w:val="20"/>
          <w:color w:val="auto"/>
        </w:rPr>
      </w:pPr>
      <w:r>
        <w:rPr>
          <w:rFonts w:ascii="Arial" w:cs="Arial" w:eastAsia="Arial" w:hAnsi="Arial"/>
          <w:sz w:val="12"/>
          <w:szCs w:val="12"/>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w:t>
      </w:r>
    </w:p>
    <w:p>
      <w:pPr>
        <w:spacing w:after="0" w:line="2" w:lineRule="exact"/>
        <w:rPr>
          <w:sz w:val="20"/>
          <w:szCs w:val="20"/>
          <w:color w:val="auto"/>
        </w:rPr>
      </w:pPr>
    </w:p>
    <w:p>
      <w:pPr>
        <w:ind w:right="80"/>
        <w:spacing w:after="0" w:line="274" w:lineRule="auto"/>
        <w:rPr>
          <w:sz w:val="20"/>
          <w:szCs w:val="20"/>
          <w:color w:val="auto"/>
        </w:rPr>
      </w:pPr>
      <w:r>
        <w:rPr>
          <w:rFonts w:ascii="Arial" w:cs="Arial" w:eastAsia="Arial" w:hAnsi="Arial"/>
          <w:sz w:val="13"/>
          <w:szCs w:val="13"/>
          <w:color w:val="auto"/>
        </w:rPr>
        <w:t>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2" w:name="page13"/>
    <w:bookmarkEnd w:id="12"/>
    <w:p>
      <w:pPr>
        <w:ind w:right="80" w:firstLine="399"/>
        <w:spacing w:after="0" w:line="293" w:lineRule="auto"/>
        <w:rPr>
          <w:sz w:val="20"/>
          <w:szCs w:val="20"/>
          <w:color w:val="auto"/>
        </w:rPr>
      </w:pPr>
      <w:r>
        <w:rPr>
          <w:rFonts w:ascii="Arial" w:cs="Arial" w:eastAsia="Arial" w:hAnsi="Arial"/>
          <w:sz w:val="12"/>
          <w:szCs w:val="12"/>
          <w:color w:val="auto"/>
        </w:rPr>
        <w:t>The Compensation Committee has delegated authority for making equity awards to non-executive officer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19, 2010.</w:t>
      </w:r>
    </w:p>
    <w:p>
      <w:pPr>
        <w:spacing w:after="0" w:line="49" w:lineRule="exact"/>
        <w:rPr>
          <w:sz w:val="20"/>
          <w:szCs w:val="20"/>
          <w:color w:val="auto"/>
        </w:rPr>
      </w:pPr>
    </w:p>
    <w:p>
      <w:pPr>
        <w:ind w:right="60" w:firstLine="399"/>
        <w:spacing w:after="0" w:line="274" w:lineRule="auto"/>
        <w:rPr>
          <w:sz w:val="20"/>
          <w:szCs w:val="20"/>
          <w:color w:val="auto"/>
        </w:rPr>
      </w:pPr>
      <w:r>
        <w:rPr>
          <w:rFonts w:ascii="Arial" w:cs="Arial" w:eastAsia="Arial" w:hAnsi="Arial"/>
          <w:sz w:val="13"/>
          <w:szCs w:val="13"/>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Annual Review of Compensation,” the Compensation Committee approves the compensation of these officers, taking into consideration the recommendations of the Chief Executive Officer.</w:t>
      </w:r>
    </w:p>
    <w:p>
      <w:pPr>
        <w:spacing w:after="0" w:line="59"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During 2011, the Compensation Committee of the Board of Directors engaged Towers Watson (the surviving entity after the merger of Towers Perrin and Watson Wyatt &amp; Company) to provide consulting services on the Compensation Discussion and Analysis and the advisory proposal on executive compensation (Proposal 3), as well as the Summary of Potential Payments table in this proxy statement. During 2010 and 2008, the Compensation Committee engaged Towers Watson and Watson Wyatt &amp; Company, respectively, to advise it in connection with a review of the Company’s 2003 Equity Incentive Plan. In addition, during 2010, the Compensation Committee engaged Towers Watson to advise it in connection with the Company’s employment agreement with Mr. Arduini, the extension of the employment agreement with Mr. Henneman and a review of non-employee director compensation. Further, during 2008, the Compensation Committee engaged Watson Wyatt &amp; Company to advise it in connection with the extension of the Company’s employment agreements with</w:t>
      </w:r>
    </w:p>
    <w:p>
      <w:pPr>
        <w:spacing w:after="0" w:line="3" w:lineRule="exact"/>
        <w:rPr>
          <w:sz w:val="20"/>
          <w:szCs w:val="20"/>
          <w:color w:val="auto"/>
        </w:rPr>
      </w:pPr>
    </w:p>
    <w:p>
      <w:pPr>
        <w:ind w:right="540"/>
        <w:spacing w:after="0" w:line="274" w:lineRule="auto"/>
        <w:rPr>
          <w:sz w:val="20"/>
          <w:szCs w:val="20"/>
          <w:color w:val="auto"/>
        </w:rPr>
      </w:pPr>
      <w:r>
        <w:rPr>
          <w:rFonts w:ascii="Arial" w:cs="Arial" w:eastAsia="Arial" w:hAnsi="Arial"/>
          <w:sz w:val="13"/>
          <w:szCs w:val="13"/>
          <w:color w:val="auto"/>
        </w:rPr>
        <w:t>Messrs. Essig, Carlozzi and Henneman. The Compensation Committee also called upon Watson Wyatt &amp; Company in 2008 to provide consulting services on the Compensation Discussion and Analysis part of the 2008 proxy statement.</w:t>
      </w:r>
    </w:p>
    <w:p>
      <w:pPr>
        <w:spacing w:after="0" w:line="59"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During 2010, 2009 and 2008, Watson Wyatt &amp; Company served as a consultant to the Company in connection with the preparation of the Summary of Potential Payments table in the proxy statement.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During 2009, the Board of Directors engaged Watson Wyatt &amp; Company to advise it on management development and succession planning matters.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DIRECTOR QUALIFICATIONS</w:t>
      </w:r>
    </w:p>
    <w:p>
      <w:pPr>
        <w:spacing w:after="0" w:line="103"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As indicated above under “Information Concerning Meetings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63"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In identifying appropriate candidates to serve as directors, the Board believes that individuals with experience as chief executive officers or chief financial officers have demonstrated leadership skills and experience to provide sound business judgment and insights to assist the Company in addressing the many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may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13" w:name="page14"/>
    <w:bookmarkEnd w:id="13"/>
    <w:p>
      <w:pPr>
        <w:ind w:right="20" w:firstLine="399"/>
        <w:spacing w:after="0" w:line="297" w:lineRule="auto"/>
        <w:rPr>
          <w:sz w:val="20"/>
          <w:szCs w:val="20"/>
          <w:color w:val="auto"/>
        </w:rPr>
      </w:pPr>
      <w:r>
        <w:rPr>
          <w:rFonts w:ascii="Arial" w:cs="Arial" w:eastAsia="Arial" w:hAnsi="Arial"/>
          <w:sz w:val="12"/>
          <w:szCs w:val="12"/>
          <w:color w:val="auto"/>
        </w:rPr>
        <w:t>Mr. Baltimore is the President of RLJ Development, LLC, a privately-held real estate investment company which he co-founded in 2000 and which has almost $2 billion in equity under his management. Prior to that time, he worked at Hilton Hotels and Marriott Corporation holding various leadership positions. Before Marriott, he was a staff auditor for Price Waterhouse. He also serves as a director for Prudential Financial, Duke Realty and the University of Virginia (Darden School and Jefferson Scholars Foundation). The Board believes that his business acumen, leadership skills, company management, business development and financing experience provide valuable insight to the Board.</w:t>
      </w:r>
    </w:p>
    <w:p>
      <w:pPr>
        <w:spacing w:after="0" w:line="48"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63"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As indicated below under “Board Leadership Structure,” Dr. Caruso founded the Company in 1989 and has served as the Company’s Chairman of the Board of Directors since March 1992. As a result, he has significant experience with, and knowledge of, the Company, its operations, products and history. He currently is a member of The Provco Group, a venture and real estate investment company. The Board believes that it benefits greatly by having a Chairman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6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Mr. Essig served as both President and CEO of the Company from 1997 until 2010 and continues to serve as CEO. Prior to joining the Company, he was a managing director at Goldman, Sachs &amp; Co. where he supervised the medical technology practice. In addition, he serves as a board member of St. Jude Medical Corporation, a NYSE-listed company, as well as the ADVAMED, a trade association that represents the medical device industry. Previously he served on the board of directors of Zimmer Holdings, Inc., a NYSE-listed medical device company. Mr.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highly-valued member of the Board.</w:t>
      </w:r>
    </w:p>
    <w:p>
      <w:pPr>
        <w:spacing w:after="0" w:line="65" w:lineRule="exact"/>
        <w:rPr>
          <w:sz w:val="20"/>
          <w:szCs w:val="20"/>
          <w:color w:val="auto"/>
        </w:rPr>
      </w:pPr>
    </w:p>
    <w:p>
      <w:pPr>
        <w:ind w:right="260" w:firstLine="399"/>
        <w:spacing w:after="0" w:line="265" w:lineRule="auto"/>
        <w:rPr>
          <w:sz w:val="20"/>
          <w:szCs w:val="20"/>
          <w:color w:val="auto"/>
        </w:rPr>
      </w:pPr>
      <w:r>
        <w:rPr>
          <w:rFonts w:ascii="Arial" w:cs="Arial" w:eastAsia="Arial" w:hAnsi="Arial"/>
          <w:sz w:val="13"/>
          <w:szCs w:val="13"/>
          <w:color w:val="auto"/>
        </w:rPr>
        <w:t>Mr. Moszkowski has been Co-Chief Executive Officer of TowerBrook Capital Partners, LP, a private equity investment firm which manages approximately $5 billion of investments, since 2005. He also served in leadership positions at another private equity investment business and at Goldman, Sachs &amp; Co and affiliates and as a board member of Wellcare Health Plans, Inc. and Bluefly, Inc., each of which is a public company, and currently serves as a board member of several private companies. The Board greatly values his leadership and risk assessment skills, business acumen, company management, governance and financial, strategic and executive compensation expertise, as well as his outside board experience, including experience with life sciences and medical device companies.</w:t>
      </w:r>
    </w:p>
    <w:p>
      <w:pPr>
        <w:spacing w:after="0" w:line="66" w:lineRule="exact"/>
        <w:rPr>
          <w:sz w:val="20"/>
          <w:szCs w:val="20"/>
          <w:color w:val="auto"/>
        </w:rPr>
      </w:pPr>
    </w:p>
    <w:p>
      <w:pPr>
        <w:ind w:right="260" w:firstLine="399"/>
        <w:spacing w:after="0" w:line="307" w:lineRule="auto"/>
        <w:rPr>
          <w:sz w:val="20"/>
          <w:szCs w:val="20"/>
          <w:color w:val="auto"/>
        </w:rPr>
      </w:pPr>
      <w:r>
        <w:rPr>
          <w:rFonts w:ascii="Arial" w:cs="Arial" w:eastAsia="Arial" w:hAnsi="Arial"/>
          <w:sz w:val="12"/>
          <w:szCs w:val="12"/>
          <w:color w:val="auto"/>
        </w:rPr>
        <w:t>Mr. Murphy was Senior Vice President &amp; Treasurer of Time Warner Inc. between 2004 and 2008. He also served in various other leadership positions at Time Warner and at America Online, Inc., Marriott International, Inc. Manor Care Inc, Ryder Systems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41"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color w:val="auto"/>
        </w:rPr>
        <w:t>Mr. Schade has been Executive Vice President and Chief Financial Officer of NRG Energy, Inc., a NYSE-listed company, since May 2010. He was formerly the Senior Vice President, Finance and Administration, and Chief Financial Officer of Medarex, Inc., a NASDAQ-listed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4" w:name="page15"/>
    <w:bookmarkEnd w:id="14"/>
    <w:p>
      <w:pPr>
        <w:ind w:right="200" w:firstLine="399"/>
        <w:spacing w:after="0" w:line="332" w:lineRule="auto"/>
        <w:rPr>
          <w:sz w:val="20"/>
          <w:szCs w:val="20"/>
          <w:color w:val="auto"/>
        </w:rPr>
      </w:pPr>
      <w:r>
        <w:rPr>
          <w:rFonts w:ascii="Arial" w:cs="Arial" w:eastAsia="Arial" w:hAnsi="Arial"/>
          <w:sz w:val="11"/>
          <w:szCs w:val="11"/>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highly-valued qualifications.</w:t>
      </w:r>
    </w:p>
    <w:p>
      <w:pPr>
        <w:spacing w:after="0" w:line="3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Ms. VanLent is the President of AMV Advisors, providing corporate strategy and financial consulting services to emerging growth life sciences companies. Ms. VanLent also served as the Chief Financial Officer of Barrier Therapeutics, Inc., a publicly traded pharmaceutical company, and Executive Vice President of Sarnoff Corporation, a multidisciplinary research and development firm, and as Senior Vice President and Chief Financial Officer of The Lipsome Company, a publicly traded biopharmaceutical company. Her leadership and corporate management skills, her expertise in financial matters, accounting, corporate strategy and compliance expertise, her knowledge of and experience with the life sciences industry, as well as her public company and outside board experience, including serving as a director and chair of the audit committee for Tranzyme Pharma, Inc., a NASDAQ-listed company, make her a highly-valued member of the Board.</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additional information on the background and experience of each of our directors, see “Proposal 1. Election of Directors.”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BOARD LEADERSHIP STRUCTURE</w:t>
      </w:r>
    </w:p>
    <w:p>
      <w:pPr>
        <w:spacing w:after="0" w:line="103" w:lineRule="exact"/>
        <w:rPr>
          <w:sz w:val="20"/>
          <w:szCs w:val="20"/>
          <w:color w:val="auto"/>
        </w:rPr>
      </w:pPr>
    </w:p>
    <w:p>
      <w:pPr>
        <w:ind w:right="140" w:firstLine="399"/>
        <w:spacing w:after="0" w:line="307" w:lineRule="auto"/>
        <w:rPr>
          <w:sz w:val="20"/>
          <w:szCs w:val="20"/>
          <w:color w:val="auto"/>
        </w:rPr>
      </w:pPr>
      <w:r>
        <w:rPr>
          <w:rFonts w:ascii="Arial" w:cs="Arial" w:eastAsia="Arial" w:hAnsi="Arial"/>
          <w:sz w:val="12"/>
          <w:szCs w:val="12"/>
          <w:color w:val="auto"/>
        </w:rPr>
        <w:t>The Company currently has nine members of the Board of Directors, who will serve until the next annual meeting of stockholders and until their successors are duly elected and qualified. The current directors are Thomas J. Baltimore, Jr., Keith Bradley, Ph.D., Richard E. Caruso, Ph.D., Stuart M. Essig, Neal Moszkowski, Raymond G. Murphy, Christian S. Schade, James M. Sullivan and Anne M. VanLent. All current members of the Board are nominees for election to the Board at the 2011 annual meeting of stockholders.</w:t>
      </w:r>
    </w:p>
    <w:p>
      <w:pPr>
        <w:spacing w:after="0" w:line="41"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Richard E. Caruso, Ph.D., founded the Company in 1989 and has served as the Company’s Chairman of the Board of Directors since March 1992. As a result, he has significant experience with, and knowledge of, the Company, its operations, products and history. In addition, he is a major stockholder of the Company. We believe that we benefit greatly by having a Chairman with significant experience and knowledge of the Company and whose interests are strongly aligned with those of our stockholders.</w:t>
      </w:r>
    </w:p>
    <w:p>
      <w:pPr>
        <w:spacing w:after="0" w:line="59"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As indicated above, Stuart M. Essig served as both President and Chief Executive Officer from 1997 to 2010 and continues to serve as Chief Executive Officer of the Company. He is also one of the members of the Board of Directors. His position is separate from that of the Chairman of the Board. We view having a separate chairman position as putting the Company in the best position to oversee all executives of the Company and set a pro-shareholder agenda without the management conflicts that a CEO or other executive insiders might face. This, in turn, leads to a more effective board of directors. As a result, we believe that it is a good corporate governance practice to have separate Chairman and Chief Executive Officer positions.</w:t>
      </w:r>
    </w:p>
    <w:p>
      <w:pPr>
        <w:spacing w:after="0" w:line="66"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directors that the Nominating and Corporate Governance Committee considered relevant in nominating them and “Proposal 1. Election of Directors” for each director’s biographical information.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we believe that the size of the Board and Board Committees is appropriate, given the size, nature, structure and complexity of the Company.</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Accordingly, we believe that our current Board leadership structure is appropriate at this time.</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THE BOARD’S ROLE IN RISK OVERSIGHT</w:t>
      </w:r>
    </w:p>
    <w:p>
      <w:pPr>
        <w:spacing w:after="0" w:line="103" w:lineRule="exact"/>
        <w:rPr>
          <w:sz w:val="20"/>
          <w:szCs w:val="20"/>
          <w:color w:val="auto"/>
        </w:rPr>
      </w:pPr>
    </w:p>
    <w:p>
      <w:pPr>
        <w:ind w:right="300" w:firstLine="399"/>
        <w:spacing w:after="0" w:line="274" w:lineRule="auto"/>
        <w:rPr>
          <w:sz w:val="20"/>
          <w:szCs w:val="20"/>
          <w:color w:val="auto"/>
        </w:rPr>
      </w:pPr>
      <w:r>
        <w:rPr>
          <w:rFonts w:ascii="Arial" w:cs="Arial" w:eastAsia="Arial" w:hAnsi="Arial"/>
          <w:sz w:val="13"/>
          <w:szCs w:val="13"/>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9"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and treasury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53" w:lineRule="exact"/>
        <w:rPr>
          <w:sz w:val="20"/>
          <w:szCs w:val="20"/>
          <w:color w:val="auto"/>
        </w:rPr>
      </w:pPr>
    </w:p>
    <w:p>
      <w:pPr>
        <w:ind w:right="60" w:firstLine="399"/>
        <w:spacing w:after="0" w:line="288" w:lineRule="auto"/>
        <w:rPr>
          <w:sz w:val="20"/>
          <w:szCs w:val="20"/>
          <w:color w:val="auto"/>
        </w:rPr>
      </w:pPr>
      <w:r>
        <w:rPr>
          <w:rFonts w:ascii="Arial" w:cs="Arial" w:eastAsia="Arial" w:hAnsi="Arial"/>
          <w:sz w:val="12"/>
          <w:szCs w:val="12"/>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2011 incentive compensation programs (which cover the executive officers and certain other employees in the U.S., Australia, Canada, Europe, New Zealand, Asia Pacific, Latin America and Puerto Rico) and presented a detailed report to the Board on this subject at its February 2011 meeting. The Compensation Committee reviewed management’s report on the review and assessment of such compensation programs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w:t>
      </w:r>
    </w:p>
    <w:p>
      <w:pPr>
        <w:spacing w:after="0" w:line="53" w:lineRule="exact"/>
        <w:rPr>
          <w:sz w:val="20"/>
          <w:szCs w:val="20"/>
          <w:color w:val="auto"/>
        </w:rPr>
      </w:pPr>
    </w:p>
    <w:p>
      <w:pPr>
        <w:ind w:right="120" w:firstLine="399"/>
        <w:spacing w:after="0" w:line="336" w:lineRule="auto"/>
        <w:rPr>
          <w:sz w:val="20"/>
          <w:szCs w:val="20"/>
          <w:color w:val="auto"/>
        </w:rPr>
      </w:pPr>
      <w:r>
        <w:rPr>
          <w:rFonts w:ascii="Arial" w:cs="Arial" w:eastAsia="Arial" w:hAnsi="Arial"/>
          <w:sz w:val="12"/>
          <w:szCs w:val="12"/>
          <w:color w:val="auto"/>
        </w:rPr>
        <w:t>See “Risk Assessment Regarding Compensation Policies and Practices” below. 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24" w:lineRule="exact"/>
        <w:rPr>
          <w:sz w:val="20"/>
          <w:szCs w:val="20"/>
          <w:color w:val="auto"/>
        </w:rPr>
      </w:pPr>
    </w:p>
    <w:p>
      <w:pPr>
        <w:jc w:val="both"/>
        <w:ind w:right="200" w:firstLine="399"/>
        <w:spacing w:after="0" w:line="388" w:lineRule="auto"/>
        <w:rPr>
          <w:sz w:val="20"/>
          <w:szCs w:val="20"/>
          <w:color w:val="auto"/>
        </w:rPr>
      </w:pPr>
      <w:r>
        <w:rPr>
          <w:rFonts w:ascii="Arial" w:cs="Arial" w:eastAsia="Arial" w:hAnsi="Arial"/>
          <w:sz w:val="11"/>
          <w:szCs w:val="11"/>
          <w:color w:val="auto"/>
        </w:rPr>
        <w:t>Recently, management presented a detailed report to the Board at its February 2011 meeting on the Company’s processes in place for assessing and addressing risks, providing periodic reports on compliance regimens and reporting material information to the Board. This report assisted the Board in its evaluation of the Company’s risk management practices.</w:t>
      </w:r>
    </w:p>
    <w:p>
      <w:pPr>
        <w:spacing w:after="0" w:line="2" w:lineRule="exact"/>
        <w:rPr>
          <w:sz w:val="20"/>
          <w:szCs w:val="20"/>
          <w:color w:val="auto"/>
        </w:rPr>
      </w:pPr>
    </w:p>
    <w:p>
      <w:pPr>
        <w:ind w:right="20" w:firstLine="399"/>
        <w:spacing w:after="0" w:line="293" w:lineRule="auto"/>
        <w:rPr>
          <w:sz w:val="20"/>
          <w:szCs w:val="20"/>
          <w:color w:val="auto"/>
        </w:rPr>
      </w:pPr>
      <w:r>
        <w:rPr>
          <w:rFonts w:ascii="Arial" w:cs="Arial" w:eastAsia="Arial" w:hAnsi="Arial"/>
          <w:sz w:val="12"/>
          <w:szCs w:val="12"/>
          <w:color w:val="auto"/>
        </w:rPr>
        <w:t>Our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strong Board and senior management team promote a culture that actively identifies and manages risk, including effective communication throughout the entire organization and to the Board and Committees.</w:t>
      </w:r>
    </w:p>
    <w:p>
      <w:pPr>
        <w:spacing w:after="0" w:line="49" w:lineRule="exact"/>
        <w:rPr>
          <w:sz w:val="20"/>
          <w:szCs w:val="20"/>
          <w:color w:val="auto"/>
        </w:rPr>
      </w:pPr>
    </w:p>
    <w:p>
      <w:pPr>
        <w:ind w:right="120" w:firstLine="399"/>
        <w:spacing w:after="0" w:line="297" w:lineRule="auto"/>
        <w:rPr>
          <w:sz w:val="20"/>
          <w:szCs w:val="20"/>
          <w:color w:val="auto"/>
        </w:rPr>
      </w:pPr>
      <w:r>
        <w:rPr>
          <w:rFonts w:ascii="Arial" w:cs="Arial" w:eastAsia="Arial" w:hAnsi="Arial"/>
          <w:sz w:val="12"/>
          <w:szCs w:val="12"/>
          <w:color w:val="auto"/>
        </w:rPr>
        <w:t>Our Finance Department and the internal audit team meet with our senior executive team annually to determine whether there is a need to conduct a formal enterprise risk assessment for the Company. This assessment would involve many members of management and solicit management’s views of all the business risks facing the Company. Management would report to, and discuss with, the Board the results of this enterprise risk assessment. This annual discussion, along with our annual processes for creating and reviewing with the Board our strategic plan and our budget, as well as regular processes and communications throughout the Company and periodic updates to</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the Board and Committees on a broad range of risks, combine to ensure that the Company continually addresses its business risks in a disciplined fashion.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 ASSESSMENT REGARDING COMPENSATION POLICIES AND PRACTICES</w:t>
      </w:r>
    </w:p>
    <w:p>
      <w:pPr>
        <w:spacing w:after="0" w:line="103"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conducting this review, we considered the following attributes of our programs:</w:t>
      </w:r>
    </w:p>
    <w:p>
      <w:pPr>
        <w:spacing w:after="0" w:line="101" w:lineRule="exact"/>
        <w:rPr>
          <w:sz w:val="20"/>
          <w:szCs w:val="20"/>
          <w:color w:val="auto"/>
        </w:rPr>
      </w:pPr>
    </w:p>
    <w:p>
      <w:pPr>
        <w:ind w:left="600" w:hanging="191"/>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Mix of base salary, annual bonus opportunities and long-term equity compensation;</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Balance between annual and longer-term performance opportunities;</w:t>
      </w:r>
    </w:p>
    <w:p>
      <w:pPr>
        <w:spacing w:after="0" w:line="90" w:lineRule="exact"/>
        <w:rPr>
          <w:rFonts w:ascii="Arial" w:cs="Arial" w:eastAsia="Arial" w:hAnsi="Arial"/>
          <w:sz w:val="13"/>
          <w:szCs w:val="13"/>
          <w:color w:val="auto"/>
        </w:rPr>
      </w:pPr>
    </w:p>
    <w:p>
      <w:pPr>
        <w:ind w:left="600" w:right="60" w:hanging="191"/>
        <w:spacing w:after="0" w:line="291"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Alignment of annual and long-term incentives to ensure that the awards encourage consistent behaviors and achievable performance results, without encouraging excessive or unnecessary risk-taking;</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Ability to use non-financial and other qualitative performance factors in determining actual compensation payouts;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Use of equity awards that vest over time, discouraging excessive or unnecessary risk-taking by senior leadership;</w:t>
      </w:r>
    </w:p>
    <w:p>
      <w:pPr>
        <w:spacing w:after="0" w:line="90" w:lineRule="exact"/>
        <w:rPr>
          <w:rFonts w:ascii="Arial" w:cs="Arial" w:eastAsia="Arial" w:hAnsi="Arial"/>
          <w:sz w:val="13"/>
          <w:szCs w:val="13"/>
          <w:color w:val="auto"/>
        </w:rPr>
      </w:pPr>
    </w:p>
    <w:p>
      <w:pPr>
        <w:ind w:left="600" w:right="120" w:hanging="191"/>
        <w:spacing w:after="0" w:line="291"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 and</w:t>
      </w:r>
    </w:p>
    <w:p>
      <w:pPr>
        <w:spacing w:after="0" w:line="38" w:lineRule="exact"/>
        <w:rPr>
          <w:rFonts w:ascii="Arial" w:cs="Arial" w:eastAsia="Arial" w:hAnsi="Arial"/>
          <w:sz w:val="13"/>
          <w:szCs w:val="13"/>
          <w:color w:val="auto"/>
        </w:rPr>
      </w:pPr>
    </w:p>
    <w:p>
      <w:pPr>
        <w:ind w:left="600" w:right="360" w:hanging="191"/>
        <w:spacing w:after="0" w:line="291"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Stock ownership guidelines that are reasonable and align the interests of the executive officers with those of our stockholders while discouraging executive officers from focusing on short-term results without regard for longer-term consequences.</w:t>
      </w:r>
    </w:p>
    <w:p>
      <w:pPr>
        <w:spacing w:after="0" w:line="48"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Our Compensation Committee considered the risk implications of our compensation practices during its deliberations on the design of our 2011 executive compensation programs, with the goal of appropriately balancing short-term incentives and long-term performance.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DIRECTOR ATTENDANCE AT ANNUAL MEETINGS; SHAREHOLDER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COMMUNICATIONS WITH DIRECTORS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It is our policy to encourage our directors to attend the annual meeting of stockholders. Eight of our nine incumbent directors attended the 2010 Annual Meeting of Stockholders.</w:t>
      </w:r>
    </w:p>
    <w:p>
      <w:pPr>
        <w:spacing w:after="0" w:line="112" w:lineRule="exact"/>
        <w:rPr>
          <w:sz w:val="20"/>
          <w:szCs w:val="20"/>
          <w:color w:val="auto"/>
        </w:rPr>
      </w:pPr>
    </w:p>
    <w:p>
      <w:pPr>
        <w:jc w:val="both"/>
        <w:ind w:right="60" w:firstLine="399"/>
        <w:spacing w:after="0" w:line="274" w:lineRule="auto"/>
        <w:rPr>
          <w:sz w:val="20"/>
          <w:szCs w:val="20"/>
          <w:color w:val="auto"/>
        </w:rPr>
      </w:pPr>
      <w:r>
        <w:rPr>
          <w:rFonts w:ascii="Arial" w:cs="Arial" w:eastAsia="Arial" w:hAnsi="Arial"/>
          <w:sz w:val="13"/>
          <w:szCs w:val="13"/>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Human Resources and Secretary.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7" w:name="page18"/>
    <w:bookmarkEnd w:id="17"/>
    <w:p>
      <w:pPr>
        <w:ind w:left="3480"/>
        <w:spacing w:after="0"/>
        <w:rPr>
          <w:sz w:val="20"/>
          <w:szCs w:val="20"/>
          <w:color w:val="auto"/>
        </w:rPr>
      </w:pPr>
      <w:r>
        <w:rPr>
          <w:rFonts w:ascii="Arial" w:cs="Arial" w:eastAsia="Arial" w:hAnsi="Arial"/>
          <w:sz w:val="13"/>
          <w:szCs w:val="13"/>
          <w:b w:val="1"/>
          <w:bCs w:val="1"/>
          <w:color w:val="auto"/>
        </w:rPr>
        <w:t>INFORMATION ABOUT EXECUTIVE OFFICERS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Set forth below is the name, age, position and a brief account of the business experience of each of our current executive officers: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9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040" w:type="dxa"/>
            <w:vAlign w:val="bottom"/>
          </w:tcPr>
          <w:p>
            <w:pPr>
              <w:jc w:val="right"/>
              <w:ind w:right="15"/>
              <w:spacing w:after="0"/>
              <w:rPr>
                <w:sz w:val="20"/>
                <w:szCs w:val="20"/>
                <w:color w:val="auto"/>
              </w:rPr>
            </w:pPr>
            <w:r>
              <w:rPr>
                <w:rFonts w:ascii="Arial" w:cs="Arial" w:eastAsia="Arial" w:hAnsi="Arial"/>
                <w:sz w:val="11"/>
                <w:szCs w:val="11"/>
                <w:b w:val="1"/>
                <w:bCs w:val="1"/>
                <w:color w:val="auto"/>
              </w:rPr>
              <w:t>Age</w:t>
            </w:r>
          </w:p>
        </w:tc>
        <w:tc>
          <w:tcPr>
            <w:tcW w:w="4980" w:type="dxa"/>
            <w:vAlign w:val="bottom"/>
          </w:tcPr>
          <w:p>
            <w:pPr>
              <w:ind w:left="252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49</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and Director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Peter J. Arduini</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45</w:t>
            </w:r>
          </w:p>
        </w:tc>
        <w:tc>
          <w:tcPr>
            <w:tcW w:w="4980" w:type="dxa"/>
            <w:vAlign w:val="bottom"/>
          </w:tcPr>
          <w:p>
            <w:pPr>
              <w:ind w:left="100"/>
              <w:spacing w:after="0"/>
              <w:rPr>
                <w:sz w:val="20"/>
                <w:szCs w:val="20"/>
                <w:color w:val="auto"/>
              </w:rPr>
            </w:pPr>
            <w:r>
              <w:rPr>
                <w:rFonts w:ascii="Arial" w:cs="Arial" w:eastAsia="Arial" w:hAnsi="Arial"/>
                <w:sz w:val="13"/>
                <w:szCs w:val="13"/>
                <w:color w:val="auto"/>
              </w:rPr>
              <w:t>President and Chief Operating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49</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Judith E. O’Grady</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60</w:t>
            </w:r>
          </w:p>
        </w:tc>
        <w:tc>
          <w:tcPr>
            <w:tcW w:w="4980" w:type="dxa"/>
            <w:vAlign w:val="bottom"/>
          </w:tcPr>
          <w:p>
            <w:pPr>
              <w:ind w:left="100"/>
              <w:spacing w:after="0"/>
              <w:rPr>
                <w:sz w:val="20"/>
                <w:szCs w:val="20"/>
                <w:color w:val="auto"/>
              </w:rPr>
            </w:pPr>
            <w:r>
              <w:rPr>
                <w:rFonts w:ascii="Arial" w:cs="Arial" w:eastAsia="Arial" w:hAnsi="Arial"/>
                <w:sz w:val="13"/>
                <w:szCs w:val="13"/>
                <w:color w:val="auto"/>
                <w:w w:val="93"/>
              </w:rPr>
              <w:t>Senior Vice President, Regulatory Affairs and Quality Systems, and Corporate Compliance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980" w:type="dxa"/>
            <w:vAlign w:val="bottom"/>
          </w:tcPr>
          <w:p>
            <w:pPr>
              <w:ind w:left="10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51</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Corporate Controller and Principal Accounting Officer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i w:val="1"/>
          <w:iCs w:val="1"/>
          <w:color w:val="auto"/>
        </w:rPr>
        <w:t xml:space="preserve">STUART M. ESSIG </w:t>
      </w:r>
      <w:r>
        <w:rPr>
          <w:rFonts w:ascii="Arial" w:cs="Arial" w:eastAsia="Arial" w:hAnsi="Arial"/>
          <w:sz w:val="12"/>
          <w:szCs w:val="12"/>
          <w:color w:val="auto"/>
        </w:rPr>
        <w:t>is Integra’s Chief Executive Officer and a director. He joined Integra in December 1997. Before joining Integra, Mr. Essig supervised the medical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has chaired Audit, Compensation and Nominating and Governance Committees and served on the boards of several NASDAQ and NYSE listed companies ranging in size from several hundred million dollars to more than $15 billion in market capitalization. Mr. Essig currently serves on the Board of Directors of St. Jude Medical Corporation. From March 2005 until August 2008, he served on the Board of Directors of Zimmer Holdings, Inc., and from 1998 to 2002 he served on the Board of Directors of Vital Signs, Inc. Mr. Essig has also served on the executive committee, nominating and governance committee and as treasurer of ADVAMED, the Advanced Medical Technology Association. Mr. Essig is also involved in several non-profit charitable organizations, including from time to time having served on the boards of such organizations. Mr. Essig received an A.B. degree, and graduated with magna cum laude honors from the Woodrow Wilson School of Public and International Affairs at Princeton University and an M.B.A. and a Ph.D. degree in Financial Economics from the University of Chicago, Graduate School of Business.</w:t>
      </w:r>
    </w:p>
    <w:p>
      <w:pPr>
        <w:spacing w:after="0" w:line="58" w:lineRule="exact"/>
        <w:rPr>
          <w:sz w:val="20"/>
          <w:szCs w:val="20"/>
          <w:color w:val="auto"/>
        </w:rPr>
      </w:pPr>
    </w:p>
    <w:p>
      <w:pPr>
        <w:ind w:right="20" w:firstLine="399"/>
        <w:spacing w:after="0" w:line="284" w:lineRule="auto"/>
        <w:rPr>
          <w:sz w:val="20"/>
          <w:szCs w:val="20"/>
          <w:color w:val="auto"/>
        </w:rPr>
      </w:pPr>
      <w:r>
        <w:rPr>
          <w:rFonts w:ascii="Arial" w:cs="Arial" w:eastAsia="Arial" w:hAnsi="Arial"/>
          <w:sz w:val="12"/>
          <w:szCs w:val="12"/>
          <w:i w:val="1"/>
          <w:iCs w:val="1"/>
          <w:color w:val="auto"/>
        </w:rPr>
        <w:t xml:space="preserve">PETER J. ARDUINI </w:t>
      </w:r>
      <w:r>
        <w:rPr>
          <w:rFonts w:ascii="Arial" w:cs="Arial" w:eastAsia="Arial" w:hAnsi="Arial"/>
          <w:sz w:val="12"/>
          <w:szCs w:val="12"/>
          <w:color w:val="auto"/>
        </w:rPr>
        <w:t>is Integra’s President and Chief Operating Officer, responsible for worldwide sales and marketing, human resources, research and development, clinical</w:t>
      </w:r>
      <w:r>
        <w:rPr>
          <w:rFonts w:ascii="Arial" w:cs="Arial" w:eastAsia="Arial" w:hAnsi="Arial"/>
          <w:sz w:val="12"/>
          <w:szCs w:val="12"/>
          <w:i w:val="1"/>
          <w:iCs w:val="1"/>
          <w:color w:val="auto"/>
        </w:rPr>
        <w:t xml:space="preserve"> </w:t>
      </w:r>
      <w:r>
        <w:rPr>
          <w:rFonts w:ascii="Arial" w:cs="Arial" w:eastAsia="Arial" w:hAnsi="Arial"/>
          <w:sz w:val="12"/>
          <w:szCs w:val="12"/>
          <w:color w:val="auto"/>
        </w:rPr>
        <w:t>education, manufacturing, quality and regulatory activities. Mr. Arduini joined Integra in November 2010. Before joining Integra, Mr. Arduini was Corporate Vice President and President of Medication Delivery, Baxter Healthcare, which he joined in 2005. Mr. Arduini was responsible for a $4.8 billion global division of Baxter. Prior to joining Baxter in April 2005,</w:t>
      </w:r>
    </w:p>
    <w:p>
      <w:pPr>
        <w:spacing w:after="0" w:line="2" w:lineRule="exact"/>
        <w:rPr>
          <w:sz w:val="20"/>
          <w:szCs w:val="20"/>
          <w:color w:val="auto"/>
        </w:rPr>
      </w:pPr>
    </w:p>
    <w:p>
      <w:pPr>
        <w:ind w:right="140"/>
        <w:spacing w:after="0" w:line="298" w:lineRule="auto"/>
        <w:rPr>
          <w:sz w:val="20"/>
          <w:szCs w:val="20"/>
          <w:color w:val="auto"/>
        </w:rPr>
      </w:pPr>
      <w:r>
        <w:rPr>
          <w:rFonts w:ascii="Arial" w:cs="Arial" w:eastAsia="Arial" w:hAnsi="Arial"/>
          <w:sz w:val="12"/>
          <w:szCs w:val="12"/>
          <w:color w:val="auto"/>
        </w:rPr>
        <w:t>Mr. Arduini worked for General Electric Healthcare, where he spent much of his 15 years in a variety of management roles for domestic and global businesses. Prior to joining General Electric Healthcare, he spent four years with Procter &amp; Gamble in sales and marketing. Mr. Arduini received his bachelor’s degree in marketing from Susquehanna University and a master’s in management from Northwestern University’s Kellogg School of Management. In addition, he serves on the Board of Directors of the National Italian American Foundation.</w:t>
      </w:r>
    </w:p>
    <w:p>
      <w:pPr>
        <w:spacing w:after="0" w:line="46" w:lineRule="exact"/>
        <w:rPr>
          <w:sz w:val="20"/>
          <w:szCs w:val="20"/>
          <w:color w:val="auto"/>
        </w:rPr>
      </w:pPr>
    </w:p>
    <w:p>
      <w:pPr>
        <w:ind w:right="280" w:firstLine="399"/>
        <w:spacing w:after="0" w:line="290" w:lineRule="auto"/>
        <w:rPr>
          <w:sz w:val="20"/>
          <w:szCs w:val="20"/>
          <w:color w:val="auto"/>
        </w:rPr>
      </w:pPr>
      <w:r>
        <w:rPr>
          <w:rFonts w:ascii="Arial" w:cs="Arial" w:eastAsia="Arial" w:hAnsi="Arial"/>
          <w:sz w:val="12"/>
          <w:szCs w:val="12"/>
          <w:i w:val="1"/>
          <w:iCs w:val="1"/>
          <w:color w:val="auto"/>
        </w:rPr>
        <w:t xml:space="preserve">JOHN B. HENNEMAN, III </w:t>
      </w:r>
      <w:r>
        <w:rPr>
          <w:rFonts w:ascii="Arial" w:cs="Arial" w:eastAsia="Arial" w:hAnsi="Arial"/>
          <w:sz w:val="12"/>
          <w:szCs w:val="12"/>
          <w:color w:val="auto"/>
        </w:rPr>
        <w:t>is Integra’s Executive Vice President, Finance and Administration, and Chief Financial Officer. He is responsible for the Company’s finance</w:t>
      </w:r>
      <w:r>
        <w:rPr>
          <w:rFonts w:ascii="Arial" w:cs="Arial" w:eastAsia="Arial" w:hAnsi="Arial"/>
          <w:sz w:val="12"/>
          <w:szCs w:val="12"/>
          <w:i w:val="1"/>
          <w:iCs w:val="1"/>
          <w:color w:val="auto"/>
        </w:rPr>
        <w:t xml:space="preserve"> </w:t>
      </w:r>
      <w:r>
        <w:rPr>
          <w:rFonts w:ascii="Arial" w:cs="Arial" w:eastAsia="Arial" w:hAnsi="Arial"/>
          <w:sz w:val="12"/>
          <w:szCs w:val="12"/>
          <w:color w:val="auto"/>
        </w:rPr>
        <w:t>department, including accounting and financial reporting, budgeting, internal audit, tax, and treasury. In addition, he is responsible for information systems, distribution, logistics, customer service, business development, the law department and investor relations. Mr. Henneman has been our Executive Vice President since February 2003, was our Chief Administrative Officer from February 2003 until May 13, 2008 and was Acting Chief Financial Officer from September 6, 2007 until May 13, 2008. Mr. Henneman was our General Counsel from September 1998 until September 2000 and our Senior Vice President, Chief Administrative Officer and Secretary from September 2000 until February 2003. Mr. Henneman received an A.B. degree from Princeton University and a J.D. from the University of Michigan Law School.</w:t>
      </w:r>
    </w:p>
    <w:p>
      <w:pPr>
        <w:spacing w:after="0" w:line="51" w:lineRule="exact"/>
        <w:rPr>
          <w:sz w:val="20"/>
          <w:szCs w:val="20"/>
          <w:color w:val="auto"/>
        </w:rPr>
      </w:pPr>
    </w:p>
    <w:p>
      <w:pPr>
        <w:ind w:right="280" w:firstLine="399"/>
        <w:spacing w:after="0" w:line="336" w:lineRule="auto"/>
        <w:rPr>
          <w:sz w:val="20"/>
          <w:szCs w:val="20"/>
          <w:color w:val="auto"/>
        </w:rPr>
      </w:pPr>
      <w:r>
        <w:rPr>
          <w:rFonts w:ascii="Arial" w:cs="Arial" w:eastAsia="Arial" w:hAnsi="Arial"/>
          <w:sz w:val="12"/>
          <w:szCs w:val="12"/>
          <w:i w:val="1"/>
          <w:iCs w:val="1"/>
          <w:color w:val="auto"/>
        </w:rPr>
        <w:t xml:space="preserve">JUDITH E. O’GRADY </w:t>
      </w:r>
      <w:r>
        <w:rPr>
          <w:rFonts w:ascii="Arial" w:cs="Arial" w:eastAsia="Arial" w:hAnsi="Arial"/>
          <w:sz w:val="12"/>
          <w:szCs w:val="12"/>
          <w:color w:val="auto"/>
        </w:rPr>
        <w:t>is Integra’s Senior Vice President of Regulatory Affairs and Quality Systems, and Corporate Compliance Officer. Ms. O’Grady joined Integra in 1985.</w:t>
      </w:r>
      <w:r>
        <w:rPr>
          <w:rFonts w:ascii="Arial" w:cs="Arial" w:eastAsia="Arial" w:hAnsi="Arial"/>
          <w:sz w:val="12"/>
          <w:szCs w:val="12"/>
          <w:i w:val="1"/>
          <w:iCs w:val="1"/>
          <w:color w:val="auto"/>
        </w:rPr>
        <w:t xml:space="preserve"> </w:t>
      </w:r>
      <w:r>
        <w:rPr>
          <w:rFonts w:ascii="Arial" w:cs="Arial" w:eastAsia="Arial" w:hAnsi="Arial"/>
          <w:sz w:val="12"/>
          <w:szCs w:val="12"/>
          <w:color w:val="auto"/>
        </w:rPr>
        <w:t>Ms. O’Grady has worked in the areas of medical devices and collagen technology for over 20 years. Prior to joining Integra, Ms. O’Grady worked for Colla-</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3"/>
          <w:szCs w:val="13"/>
          <w:color w:val="auto"/>
        </w:rPr>
        <w:t>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63"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i w:val="1"/>
          <w:iCs w:val="1"/>
          <w:color w:val="auto"/>
        </w:rPr>
        <w:t xml:space="preserve">JERRY E. CORBIN </w:t>
      </w:r>
      <w:r>
        <w:rPr>
          <w:rFonts w:ascii="Arial" w:cs="Arial" w:eastAsia="Arial" w:hAnsi="Arial"/>
          <w:sz w:val="13"/>
          <w:szCs w:val="13"/>
          <w:color w:val="auto"/>
        </w:rPr>
        <w:t>is Integra’s Vice President, Corporate Controller and Principal Accounting Officer. Mr. Corbin joined Integra in June 2006. He is responsible for U.S. GAAP</w:t>
      </w:r>
      <w:r>
        <w:rPr>
          <w:rFonts w:ascii="Arial" w:cs="Arial" w:eastAsia="Arial" w:hAnsi="Arial"/>
          <w:sz w:val="13"/>
          <w:szCs w:val="13"/>
          <w:i w:val="1"/>
          <w:iCs w:val="1"/>
          <w:color w:val="auto"/>
        </w:rPr>
        <w:t xml:space="preserve"> </w:t>
      </w:r>
      <w:r>
        <w:rPr>
          <w:rFonts w:ascii="Arial" w:cs="Arial" w:eastAsia="Arial" w:hAnsi="Arial"/>
          <w:sz w:val="13"/>
          <w:szCs w:val="13"/>
          <w:color w:val="auto"/>
        </w:rPr>
        <w:t>and statutory financial reporting, accounting principles and policies and tax accounting. Prior to joining Integra, Mr. Corbin held key finance positions in corporate accounting, sales and marketing and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PROPOSAL 2. RATIFICATION OF INDEPENDENT REGISTERED PUBLIC ACCOUNTING FIRM</w:t>
      </w:r>
    </w:p>
    <w:p>
      <w:pPr>
        <w:spacing w:after="0" w:line="103" w:lineRule="exact"/>
        <w:rPr>
          <w:sz w:val="20"/>
          <w:szCs w:val="20"/>
          <w:color w:val="auto"/>
        </w:rPr>
      </w:pPr>
    </w:p>
    <w:p>
      <w:pPr>
        <w:ind w:right="60" w:firstLine="399"/>
        <w:spacing w:after="0" w:line="307" w:lineRule="auto"/>
        <w:rPr>
          <w:sz w:val="20"/>
          <w:szCs w:val="20"/>
          <w:color w:val="auto"/>
        </w:rPr>
      </w:pPr>
      <w:r>
        <w:rPr>
          <w:rFonts w:ascii="Arial" w:cs="Arial" w:eastAsia="Arial" w:hAnsi="Arial"/>
          <w:sz w:val="12"/>
          <w:szCs w:val="12"/>
          <w:color w:val="auto"/>
        </w:rPr>
        <w:t>The firm of PricewaterhouseCoopers LLP served as our independent registered public accounting firm for fiscal year 2010 and has been selected by the Audit Committee to serve in the same capacity for fiscal year 2011.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41" w:lineRule="exact"/>
        <w:rPr>
          <w:sz w:val="20"/>
          <w:szCs w:val="20"/>
          <w:color w:val="auto"/>
        </w:rPr>
      </w:pPr>
    </w:p>
    <w:p>
      <w:pPr>
        <w:ind w:right="200" w:firstLine="399"/>
        <w:spacing w:after="0" w:line="274" w:lineRule="auto"/>
        <w:rPr>
          <w:sz w:val="20"/>
          <w:szCs w:val="20"/>
          <w:color w:val="auto"/>
        </w:rPr>
      </w:pPr>
      <w:r>
        <w:rPr>
          <w:rFonts w:ascii="Arial" w:cs="Arial" w:eastAsia="Arial" w:hAnsi="Arial"/>
          <w:sz w:val="13"/>
          <w:szCs w:val="13"/>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fiscal year 2010, PricewaterhouseCoopers LLP not only provided audit services, but also rendered other services, including tax compliance and planning services.</w:t>
      </w:r>
    </w:p>
    <w:p>
      <w:pPr>
        <w:spacing w:after="0" w:line="112"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1"/>
                <w:szCs w:val="11"/>
                <w:b w:val="1"/>
                <w:bCs w:val="1"/>
                <w:color w:val="auto"/>
                <w:w w:val="90"/>
              </w:rPr>
              <w:t>Actual Fees</w:t>
            </w:r>
          </w:p>
        </w:tc>
      </w:tr>
      <w:tr>
        <w:trPr>
          <w:trHeight w:val="100"/>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jc w:val="right"/>
              <w:ind w:right="167"/>
              <w:spacing w:after="0" w:line="101" w:lineRule="exact"/>
              <w:rPr>
                <w:sz w:val="20"/>
                <w:szCs w:val="20"/>
                <w:color w:val="auto"/>
              </w:rPr>
            </w:pPr>
            <w:r>
              <w:rPr>
                <w:rFonts w:ascii="Arial" w:cs="Arial" w:eastAsia="Arial" w:hAnsi="Arial"/>
                <w:sz w:val="11"/>
                <w:szCs w:val="11"/>
                <w:b w:val="1"/>
                <w:bCs w:val="1"/>
                <w:color w:val="auto"/>
              </w:rPr>
              <w:t>2009</w:t>
            </w:r>
          </w:p>
        </w:tc>
      </w:tr>
      <w:tr>
        <w:trPr>
          <w:trHeight w:val="129"/>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b w:val="1"/>
                <w:bCs w:val="1"/>
                <w:color w:val="auto"/>
              </w:rPr>
              <w:t>(In</w:t>
            </w:r>
          </w:p>
        </w:tc>
        <w:tc>
          <w:tcPr>
            <w:tcW w:w="960" w:type="dxa"/>
            <w:vAlign w:val="bottom"/>
            <w:gridSpan w:val="2"/>
          </w:tcPr>
          <w:p>
            <w:pPr>
              <w:jc w:val="right"/>
              <w:ind w:right="427"/>
              <w:spacing w:after="0"/>
              <w:rPr>
                <w:sz w:val="20"/>
                <w:szCs w:val="20"/>
                <w:color w:val="auto"/>
              </w:rPr>
            </w:pPr>
            <w:r>
              <w:rPr>
                <w:rFonts w:ascii="Arial" w:cs="Arial" w:eastAsia="Arial" w:hAnsi="Arial"/>
                <w:sz w:val="11"/>
                <w:szCs w:val="11"/>
                <w:b w:val="1"/>
                <w:bCs w:val="1"/>
                <w:color w:val="auto"/>
                <w:w w:val="77"/>
              </w:rPr>
              <w:t>thousands)</w:t>
            </w:r>
          </w:p>
        </w:tc>
      </w:tr>
      <w:tr>
        <w:trPr>
          <w:trHeight w:val="171"/>
        </w:trPr>
        <w:tc>
          <w:tcPr>
            <w:tcW w:w="20" w:type="dxa"/>
            <w:vAlign w:val="bottom"/>
          </w:tcPr>
          <w:p>
            <w:pPr>
              <w:spacing w:after="0"/>
              <w:rPr>
                <w:sz w:val="14"/>
                <w:szCs w:val="14"/>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Audit Fees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w:t>
            </w:r>
          </w:p>
        </w:tc>
        <w:tc>
          <w:tcPr>
            <w:tcW w:w="1140" w:type="dxa"/>
            <w:vAlign w:val="bottom"/>
            <w:gridSpan w:val="3"/>
            <w:shd w:val="clear" w:color="auto" w:fill="CCEEFF"/>
          </w:tcPr>
          <w:p>
            <w:pPr>
              <w:jc w:val="right"/>
              <w:ind w:right="127"/>
              <w:spacing w:after="0"/>
              <w:rPr>
                <w:sz w:val="20"/>
                <w:szCs w:val="20"/>
                <w:color w:val="auto"/>
              </w:rPr>
            </w:pPr>
            <w:r>
              <w:rPr>
                <w:rFonts w:ascii="Arial" w:cs="Arial" w:eastAsia="Arial" w:hAnsi="Arial"/>
                <w:sz w:val="13"/>
                <w:szCs w:val="13"/>
                <w:color w:val="auto"/>
              </w:rPr>
              <w:t>$3,773</w:t>
            </w: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Audit-Related Fees</w:t>
            </w:r>
          </w:p>
        </w:tc>
        <w:tc>
          <w:tcPr>
            <w:tcW w:w="500" w:type="dxa"/>
            <w:vAlign w:val="bottom"/>
          </w:tcPr>
          <w:p>
            <w:pPr>
              <w:jc w:val="right"/>
              <w:spacing w:after="0"/>
              <w:rPr>
                <w:sz w:val="20"/>
                <w:szCs w:val="20"/>
                <w:color w:val="auto"/>
              </w:rPr>
            </w:pPr>
            <w:r>
              <w:rPr>
                <w:rFonts w:ascii="Arial" w:cs="Arial" w:eastAsia="Arial" w:hAnsi="Arial"/>
                <w:sz w:val="13"/>
                <w:szCs w:val="13"/>
                <w:color w:val="auto"/>
              </w:rPr>
              <w:t>35</w:t>
            </w:r>
          </w:p>
        </w:tc>
        <w:tc>
          <w:tcPr>
            <w:tcW w:w="1140" w:type="dxa"/>
            <w:vAlign w:val="bottom"/>
            <w:gridSpan w:val="3"/>
          </w:tcPr>
          <w:p>
            <w:pPr>
              <w:jc w:val="right"/>
              <w:ind w:right="127"/>
              <w:spacing w:after="0"/>
              <w:rPr>
                <w:sz w:val="20"/>
                <w:szCs w:val="20"/>
                <w:color w:val="auto"/>
              </w:rPr>
            </w:pPr>
            <w:r>
              <w:rPr>
                <w:rFonts w:ascii="Arial" w:cs="Arial" w:eastAsia="Arial" w:hAnsi="Arial"/>
                <w:sz w:val="13"/>
                <w:szCs w:val="13"/>
                <w:color w:val="auto"/>
              </w:rPr>
              <w:t>197</w:t>
            </w: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Audit and Audit-Related Fees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$3,459</w:t>
            </w:r>
          </w:p>
        </w:tc>
        <w:tc>
          <w:tcPr>
            <w:tcW w:w="1140" w:type="dxa"/>
            <w:vAlign w:val="bottom"/>
            <w:gridSpan w:val="3"/>
            <w:shd w:val="clear" w:color="auto" w:fill="CCEEFF"/>
          </w:tcPr>
          <w:p>
            <w:pPr>
              <w:jc w:val="right"/>
              <w:ind w:right="127"/>
              <w:spacing w:after="0"/>
              <w:rPr>
                <w:sz w:val="20"/>
                <w:szCs w:val="20"/>
                <w:color w:val="auto"/>
              </w:rPr>
            </w:pPr>
            <w:r>
              <w:rPr>
                <w:rFonts w:ascii="Arial" w:cs="Arial" w:eastAsia="Arial" w:hAnsi="Arial"/>
                <w:sz w:val="13"/>
                <w:szCs w:val="13"/>
                <w:color w:val="auto"/>
              </w:rPr>
              <w:t>$3,970</w:t>
            </w: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Tax Fees</w:t>
            </w:r>
          </w:p>
        </w:tc>
        <w:tc>
          <w:tcPr>
            <w:tcW w:w="500" w:type="dxa"/>
            <w:vAlign w:val="bottom"/>
          </w:tcPr>
          <w:p>
            <w:pPr>
              <w:jc w:val="right"/>
              <w:spacing w:after="0"/>
              <w:rPr>
                <w:sz w:val="20"/>
                <w:szCs w:val="20"/>
                <w:color w:val="auto"/>
              </w:rPr>
            </w:pPr>
            <w:r>
              <w:rPr>
                <w:rFonts w:ascii="Arial" w:cs="Arial" w:eastAsia="Arial" w:hAnsi="Arial"/>
                <w:sz w:val="13"/>
                <w:szCs w:val="13"/>
                <w:color w:val="auto"/>
              </w:rPr>
              <w:t>422</w:t>
            </w:r>
          </w:p>
        </w:tc>
        <w:tc>
          <w:tcPr>
            <w:tcW w:w="1140" w:type="dxa"/>
            <w:vAlign w:val="bottom"/>
            <w:gridSpan w:val="3"/>
          </w:tcPr>
          <w:p>
            <w:pPr>
              <w:jc w:val="right"/>
              <w:ind w:right="127"/>
              <w:spacing w:after="0"/>
              <w:rPr>
                <w:sz w:val="20"/>
                <w:szCs w:val="20"/>
                <w:color w:val="auto"/>
              </w:rPr>
            </w:pPr>
            <w:r>
              <w:rPr>
                <w:rFonts w:ascii="Arial" w:cs="Arial" w:eastAsia="Arial" w:hAnsi="Arial"/>
                <w:sz w:val="13"/>
                <w:szCs w:val="13"/>
                <w:color w:val="auto"/>
              </w:rPr>
              <w:t>281</w:t>
            </w: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All Other Fees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140" w:type="dxa"/>
            <w:vAlign w:val="bottom"/>
            <w:gridSpan w:val="3"/>
            <w:shd w:val="clear" w:color="auto" w:fill="CCEEFF"/>
          </w:tcPr>
          <w:p>
            <w:pPr>
              <w:jc w:val="right"/>
              <w:ind w:right="127"/>
              <w:spacing w:after="0"/>
              <w:rPr>
                <w:sz w:val="20"/>
                <w:szCs w:val="20"/>
                <w:color w:val="auto"/>
              </w:rPr>
            </w:pPr>
            <w:r>
              <w:rPr>
                <w:rFonts w:ascii="Arial" w:cs="Arial" w:eastAsia="Arial" w:hAnsi="Arial"/>
                <w:sz w:val="13"/>
                <w:szCs w:val="13"/>
                <w:color w:val="auto"/>
              </w:rPr>
              <w:t>0</w:t>
            </w: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Total Fees</w:t>
            </w:r>
          </w:p>
        </w:tc>
        <w:tc>
          <w:tcPr>
            <w:tcW w:w="500" w:type="dxa"/>
            <w:vAlign w:val="bottom"/>
          </w:tcPr>
          <w:p>
            <w:pPr>
              <w:jc w:val="right"/>
              <w:spacing w:after="0"/>
              <w:rPr>
                <w:sz w:val="20"/>
                <w:szCs w:val="20"/>
                <w:color w:val="auto"/>
              </w:rPr>
            </w:pPr>
            <w:r>
              <w:rPr>
                <w:rFonts w:ascii="Arial" w:cs="Arial" w:eastAsia="Arial" w:hAnsi="Arial"/>
                <w:sz w:val="13"/>
                <w:szCs w:val="13"/>
                <w:color w:val="auto"/>
              </w:rPr>
              <w:t>$4,087</w:t>
            </w:r>
          </w:p>
        </w:tc>
        <w:tc>
          <w:tcPr>
            <w:tcW w:w="1140" w:type="dxa"/>
            <w:vAlign w:val="bottom"/>
            <w:gridSpan w:val="3"/>
          </w:tcPr>
          <w:p>
            <w:pPr>
              <w:jc w:val="right"/>
              <w:ind w:right="127"/>
              <w:spacing w:after="0"/>
              <w:rPr>
                <w:sz w:val="20"/>
                <w:szCs w:val="20"/>
                <w:color w:val="auto"/>
              </w:rPr>
            </w:pPr>
            <w:r>
              <w:rPr>
                <w:rFonts w:ascii="Arial" w:cs="Arial" w:eastAsia="Arial" w:hAnsi="Arial"/>
                <w:sz w:val="13"/>
                <w:szCs w:val="13"/>
                <w:color w:val="auto"/>
              </w:rPr>
              <w:t>$4,251</w:t>
            </w:r>
          </w:p>
        </w:tc>
      </w:tr>
    </w:tbl>
    <w:p>
      <w:pPr>
        <w:spacing w:after="0" w:line="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nature of the services provided in each of the categories listed above is described below:</w:t>
      </w:r>
    </w:p>
    <w:p>
      <w:pPr>
        <w:spacing w:after="0" w:line="101" w:lineRule="exact"/>
        <w:rPr>
          <w:sz w:val="20"/>
          <w:szCs w:val="20"/>
          <w:color w:val="auto"/>
        </w:rPr>
      </w:pPr>
    </w:p>
    <w:p>
      <w:pPr>
        <w:ind w:right="360" w:firstLine="399"/>
        <w:spacing w:after="0" w:line="291" w:lineRule="auto"/>
        <w:rPr>
          <w:sz w:val="20"/>
          <w:szCs w:val="20"/>
          <w:color w:val="auto"/>
        </w:rPr>
      </w:pPr>
      <w:r>
        <w:rPr>
          <w:rFonts w:ascii="Arial" w:cs="Arial" w:eastAsia="Arial" w:hAnsi="Arial"/>
          <w:sz w:val="13"/>
          <w:szCs w:val="13"/>
          <w:i w:val="1"/>
          <w:iCs w:val="1"/>
          <w:color w:val="auto"/>
        </w:rPr>
        <w:t xml:space="preserve">Audit Fees — </w:t>
      </w:r>
      <w:r>
        <w:rPr>
          <w:rFonts w:ascii="Arial" w:cs="Arial" w:eastAsia="Arial" w:hAnsi="Arial"/>
          <w:sz w:val="13"/>
          <w:szCs w:val="13"/>
          <w:color w:val="auto"/>
        </w:rPr>
        <w:t>Consists of professional services rendered for the integrated audit of the consolidated financial statements of the Company, quarterly reviews, statutory audits,</w:t>
      </w:r>
      <w:r>
        <w:rPr>
          <w:rFonts w:ascii="Arial" w:cs="Arial" w:eastAsia="Arial" w:hAnsi="Arial"/>
          <w:sz w:val="13"/>
          <w:szCs w:val="13"/>
          <w:i w:val="1"/>
          <w:iCs w:val="1"/>
          <w:color w:val="auto"/>
        </w:rPr>
        <w:t xml:space="preserve"> </w:t>
      </w:r>
      <w:r>
        <w:rPr>
          <w:rFonts w:ascii="Arial" w:cs="Arial" w:eastAsia="Arial" w:hAnsi="Arial"/>
          <w:sz w:val="13"/>
          <w:szCs w:val="13"/>
          <w:color w:val="auto"/>
        </w:rPr>
        <w:t>consents and review of documents filed with the Securities and Exchange Commission.</w:t>
      </w:r>
    </w:p>
    <w:p>
      <w:pPr>
        <w:spacing w:after="0" w:line="48" w:lineRule="exact"/>
        <w:rPr>
          <w:sz w:val="20"/>
          <w:szCs w:val="20"/>
          <w:color w:val="auto"/>
        </w:rPr>
      </w:pPr>
    </w:p>
    <w:p>
      <w:pPr>
        <w:ind w:right="560" w:firstLine="399"/>
        <w:spacing w:after="0" w:line="291"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Consists of services related to employee benefits plan audits, agreed upon procedures, reports, audits and reviews in connection with acquisitions,</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consultations in connection with proposed acquisitions and consultations concerning financial accounting and reporting standards.</w:t>
      </w:r>
    </w:p>
    <w:p>
      <w:pPr>
        <w:spacing w:after="0" w:line="48" w:lineRule="exact"/>
        <w:rPr>
          <w:sz w:val="20"/>
          <w:szCs w:val="20"/>
          <w:color w:val="auto"/>
        </w:rPr>
      </w:pPr>
    </w:p>
    <w:p>
      <w:pPr>
        <w:ind w:right="420" w:firstLine="399"/>
        <w:spacing w:after="0" w:line="291"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Consists of tax compliance (review of corporate tax returns, assistance with tax audits and review of the tax treatment for certain expenses) and state, local and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international tax planning and consultations with respect to various domestic and international tax planning matters.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All Other Fees </w:t>
      </w:r>
      <w:r>
        <w:rPr>
          <w:rFonts w:ascii="Arial" w:cs="Arial" w:eastAsia="Arial" w:hAnsi="Arial"/>
          <w:sz w:val="12"/>
          <w:szCs w:val="12"/>
          <w:color w:val="auto"/>
        </w:rPr>
        <w:t>— Consists of advisory services relating to the future implementation of a global resource planning system and the licensing of accounting research software.</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other fees were incurred to PricewaterhouseCoopers LLP during 2009 or 2010.</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services and fees described above were approved by the Audit Committee.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Pre-Approval of Audit and Non-Audit Services</w:t>
      </w:r>
    </w:p>
    <w:p>
      <w:pPr>
        <w:spacing w:after="0" w:line="103" w:lineRule="exact"/>
        <w:rPr>
          <w:sz w:val="20"/>
          <w:szCs w:val="20"/>
          <w:color w:val="auto"/>
        </w:rPr>
      </w:pPr>
    </w:p>
    <w:p>
      <w:pPr>
        <w:ind w:right="140" w:firstLine="399"/>
        <w:spacing w:after="0" w:line="336" w:lineRule="auto"/>
        <w:rPr>
          <w:sz w:val="20"/>
          <w:szCs w:val="20"/>
          <w:color w:val="auto"/>
        </w:rPr>
      </w:pPr>
      <w:r>
        <w:rPr>
          <w:rFonts w:ascii="Arial" w:cs="Arial" w:eastAsia="Arial" w:hAnsi="Arial"/>
          <w:sz w:val="12"/>
          <w:szCs w:val="12"/>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20" w:name="page21"/>
    <w:bookmarkEnd w:id="20"/>
    <w:p>
      <w:pPr>
        <w:ind w:firstLine="399"/>
        <w:spacing w:after="0" w:line="265" w:lineRule="auto"/>
        <w:rPr>
          <w:sz w:val="20"/>
          <w:szCs w:val="20"/>
          <w:color w:val="auto"/>
        </w:rPr>
      </w:pPr>
      <w:r>
        <w:rPr>
          <w:rFonts w:ascii="Arial" w:cs="Arial" w:eastAsia="Arial" w:hAnsi="Arial"/>
          <w:sz w:val="13"/>
          <w:szCs w:val="13"/>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66"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59" w:lineRule="exact"/>
        <w:rPr>
          <w:sz w:val="20"/>
          <w:szCs w:val="20"/>
          <w:color w:val="auto"/>
        </w:rPr>
      </w:pPr>
    </w:p>
    <w:p>
      <w:pPr>
        <w:ind w:right="960" w:firstLine="399"/>
        <w:spacing w:after="0" w:line="291" w:lineRule="auto"/>
        <w:rPr>
          <w:sz w:val="20"/>
          <w:szCs w:val="20"/>
          <w:color w:val="auto"/>
        </w:rPr>
      </w:pPr>
      <w:r>
        <w:rPr>
          <w:rFonts w:ascii="Arial" w:cs="Arial" w:eastAsia="Arial" w:hAnsi="Arial"/>
          <w:sz w:val="13"/>
          <w:szCs w:val="13"/>
          <w:color w:val="auto"/>
        </w:rPr>
        <w:t>The Audit Committee has determined that the rendering of the services other than audit services by PricewaterhouseCoopers LLP is compatible with maintaining PricewaterhouseCoopers LLP’s independence.</w:t>
      </w:r>
    </w:p>
    <w:p>
      <w:pPr>
        <w:spacing w:after="0" w:line="48"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2011. Abstentions will not be voted and will have the effect of a vote against this proposal. Broker non-votes will not be counted in determining the number of shares necessary for approval and will have no effect on the outcome of this proposal.</w:t>
      </w:r>
    </w:p>
    <w:p>
      <w:pPr>
        <w:spacing w:after="0" w:line="39"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2011.</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1" w:name="page22"/>
    <w:bookmarkEnd w:id="21"/>
    <w:p>
      <w:pPr>
        <w:ind w:left="400" w:right="2840" w:firstLine="2493"/>
        <w:spacing w:after="0" w:line="403" w:lineRule="auto"/>
        <w:rPr>
          <w:sz w:val="20"/>
          <w:szCs w:val="20"/>
          <w:color w:val="auto"/>
        </w:rPr>
      </w:pPr>
      <w:r>
        <w:rPr>
          <w:rFonts w:ascii="Arial" w:cs="Arial" w:eastAsia="Arial" w:hAnsi="Arial"/>
          <w:sz w:val="13"/>
          <w:szCs w:val="13"/>
          <w:b w:val="1"/>
          <w:bCs w:val="1"/>
          <w:color w:val="auto"/>
        </w:rPr>
        <w:t xml:space="preserve">PROPOSAL 3. ADVISORY VOTE ON EXECUTIVE COMPENSATION </w:t>
      </w:r>
      <w:r>
        <w:rPr>
          <w:rFonts w:ascii="Arial" w:cs="Arial" w:eastAsia="Arial" w:hAnsi="Arial"/>
          <w:sz w:val="13"/>
          <w:szCs w:val="13"/>
          <w:color w:val="auto"/>
        </w:rPr>
        <w:t>We are seeking our stockholders’ advisory vote on our executive compensation of our named executive officers.</w:t>
      </w:r>
    </w:p>
    <w:p>
      <w:pPr>
        <w:spacing w:after="0" w:line="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As described in the “Executive Compensation — Compensation Discussion and Analysis” section of this proxy statement (the “CD&amp;A”), our executive compensation programs are designed to attract, retain and motivate our named executive officers, who are crucial to our success. Under these programs, we provide our named executive officers with appropriate objectives and incentives to achieve our business objectives. We urge our stockholders to read the CD&amp;A beginning on page 20 for a more detailed discussion of how the Company’s compensation programs reflect our overall compensation philosophy and core principles.</w:t>
      </w:r>
    </w:p>
    <w:p>
      <w:pPr>
        <w:spacing w:after="0" w:line="63" w:lineRule="exact"/>
        <w:rPr>
          <w:sz w:val="20"/>
          <w:szCs w:val="20"/>
          <w:color w:val="auto"/>
        </w:rPr>
      </w:pPr>
    </w:p>
    <w:p>
      <w:pPr>
        <w:ind w:firstLine="399"/>
        <w:spacing w:after="0" w:line="283" w:lineRule="auto"/>
        <w:rPr>
          <w:sz w:val="20"/>
          <w:szCs w:val="20"/>
          <w:color w:val="auto"/>
        </w:rPr>
      </w:pPr>
      <w:r>
        <w:rPr>
          <w:rFonts w:ascii="Arial" w:cs="Arial" w:eastAsia="Arial" w:hAnsi="Arial"/>
          <w:sz w:val="12"/>
          <w:szCs w:val="12"/>
          <w:color w:val="auto"/>
        </w:rPr>
        <w:t>Our executive team has successfully managed the Company through the recent economic downturn. Despite the challenging global economic and regulatory environment, we delivered good results in 2010. We reported record total revenue for 2010 of $732.1 million, reflecting an increase of $49.6 million, or 7%, over 2009. Excluding the impact of foreign currency exchange rates, revenues grew by 7%. We reported GAAP net income of $65.7 million, or $2.17 per diluted share, for 2010, compared to GAAP net income of $51.0 million, or $1.74 per diluted share for 2009. We generated $105.6 million in cash flows from operations. In addition, we returned value to stockholders by repurchasing approximately</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3"/>
          <w:szCs w:val="13"/>
          <w:color w:val="auto"/>
        </w:rPr>
        <w:t>858,000 shares of common stock in the open market, using $31.3 million of cash. Further, we achieved $166.7 million of adjusted EBITDA (excluding the impact of stock-based compensation expense) which was in the high end of our Chief Executive Officer’s goal range for 2010. We also established a $450.0 million, five-year, senior secured revolving credit facility and $150.0 million, five-year, senior secured term loan A, replacing our old credit facility. These results, in addition to good performance in non-financial areas, were important factors in the Compensation Committee’s decisions on the compensation of our named executive officers.</w:t>
      </w:r>
    </w:p>
    <w:p>
      <w:pPr>
        <w:spacing w:after="0" w:line="65" w:lineRule="exact"/>
        <w:rPr>
          <w:sz w:val="20"/>
          <w:szCs w:val="20"/>
          <w:color w:val="auto"/>
        </w:rPr>
      </w:pPr>
    </w:p>
    <w:p>
      <w:pPr>
        <w:ind w:right="140" w:firstLine="399"/>
        <w:spacing w:after="0" w:line="291" w:lineRule="auto"/>
        <w:rPr>
          <w:sz w:val="20"/>
          <w:szCs w:val="20"/>
          <w:color w:val="auto"/>
        </w:rPr>
      </w:pPr>
      <w:r>
        <w:rPr>
          <w:rFonts w:ascii="Arial" w:cs="Arial" w:eastAsia="Arial" w:hAnsi="Arial"/>
          <w:sz w:val="13"/>
          <w:szCs w:val="13"/>
          <w:color w:val="auto"/>
        </w:rPr>
        <w:t>In addition, the Company has an excellent track record of delivering results for our stockholders, as shown by the stock performance chart in the Executive Summary section of the CD&amp;A.</w:t>
      </w:r>
    </w:p>
    <w:p>
      <w:pPr>
        <w:spacing w:after="0" w:line="48" w:lineRule="exact"/>
        <w:rPr>
          <w:sz w:val="20"/>
          <w:szCs w:val="20"/>
          <w:color w:val="auto"/>
        </w:rPr>
      </w:pPr>
    </w:p>
    <w:p>
      <w:pPr>
        <w:ind w:right="140" w:firstLine="399"/>
        <w:spacing w:after="0" w:line="291" w:lineRule="auto"/>
        <w:rPr>
          <w:sz w:val="20"/>
          <w:szCs w:val="20"/>
          <w:color w:val="auto"/>
        </w:rPr>
      </w:pPr>
      <w:r>
        <w:rPr>
          <w:rFonts w:ascii="Arial" w:cs="Arial" w:eastAsia="Arial" w:hAnsi="Arial"/>
          <w:sz w:val="13"/>
          <w:szCs w:val="13"/>
          <w:color w:val="auto"/>
        </w:rPr>
        <w:t>We believe that the compensation paid, which is based on both Company and individual performance, reflects our “pay for performance” compensation philosophy. In addition, we believe that our executive compensation programs are structured in the best manner possible to support our Company and our business objectives.</w:t>
      </w:r>
    </w:p>
    <w:p>
      <w:pPr>
        <w:spacing w:after="0" w:line="48" w:lineRule="exact"/>
        <w:rPr>
          <w:sz w:val="20"/>
          <w:szCs w:val="20"/>
          <w:color w:val="auto"/>
        </w:rPr>
      </w:pPr>
    </w:p>
    <w:p>
      <w:pPr>
        <w:ind w:left="600" w:right="120" w:hanging="191"/>
        <w:spacing w:after="0" w:line="291"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Compensation Committee continually reviews the compensation programs for our named executive officers to ensure that they achieve the desired goals of aligning our executive compensation structure with our stockholders’ interests.</w:t>
      </w:r>
    </w:p>
    <w:p>
      <w:pPr>
        <w:spacing w:after="0" w:line="38" w:lineRule="exact"/>
        <w:rPr>
          <w:rFonts w:ascii="Arial" w:cs="Arial" w:eastAsia="Arial" w:hAnsi="Arial"/>
          <w:sz w:val="13"/>
          <w:szCs w:val="13"/>
          <w:color w:val="auto"/>
        </w:rPr>
      </w:pPr>
    </w:p>
    <w:p>
      <w:pPr>
        <w:ind w:left="600" w:right="280" w:hanging="191"/>
        <w:spacing w:after="0" w:line="291"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Compensation Committee monitors our executive compensation programs and reviews competitive market data that its compensation consultant provides on the pay levels of top executives of companies in our peer groups, so that we may ensure that our compensation programs are competitive.</w:t>
      </w:r>
    </w:p>
    <w:p>
      <w:pPr>
        <w:spacing w:after="0" w:line="38" w:lineRule="exact"/>
        <w:rPr>
          <w:rFonts w:ascii="Arial" w:cs="Arial" w:eastAsia="Arial" w:hAnsi="Arial"/>
          <w:sz w:val="13"/>
          <w:szCs w:val="13"/>
          <w:color w:val="auto"/>
        </w:rPr>
      </w:pPr>
    </w:p>
    <w:p>
      <w:pPr>
        <w:ind w:left="600" w:right="320" w:hanging="191"/>
        <w:spacing w:after="0" w:line="291"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Compensation Committee considers compensation risk implications during its deliberations on the design of our executive compensation programs, with the goal of appropriately balancing short-term incentives and long-term performance.</w:t>
      </w:r>
    </w:p>
    <w:p>
      <w:pPr>
        <w:spacing w:after="0" w:line="38" w:lineRule="exact"/>
        <w:rPr>
          <w:rFonts w:ascii="Arial" w:cs="Arial" w:eastAsia="Arial" w:hAnsi="Arial"/>
          <w:sz w:val="13"/>
          <w:szCs w:val="13"/>
          <w:color w:val="auto"/>
        </w:rPr>
      </w:pPr>
    </w:p>
    <w:p>
      <w:pPr>
        <w:ind w:left="600" w:right="360" w:hanging="191"/>
        <w:spacing w:after="0" w:line="291"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maintain a number of policies contributing to good corporate governance practices, as listed below and described in the “Summary of Policies Contributing to Good Governance Practices” section of the CD&amp;A.</w:t>
      </w:r>
    </w:p>
    <w:p>
      <w:pPr>
        <w:spacing w:after="0" w:line="48"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Use of Equity as a Primary Component of our Compensation Programs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Strong Risk Management Program</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Annual Election of Directors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Separation of Board Chair and Chief Executive Officer Positions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Independent Board Members Meet Regularly in Executive Sessions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Stock Ownership Guidelines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1"/>
          <w:numId w:val="7"/>
        </w:numPr>
        <w:rPr>
          <w:rFonts w:ascii="Arial" w:cs="Arial" w:eastAsia="Arial" w:hAnsi="Arial"/>
          <w:sz w:val="13"/>
          <w:szCs w:val="13"/>
          <w:color w:val="auto"/>
        </w:rPr>
      </w:pPr>
      <w:r>
        <w:rPr>
          <w:rFonts w:ascii="Arial" w:cs="Arial" w:eastAsia="Arial" w:hAnsi="Arial"/>
          <w:sz w:val="13"/>
          <w:szCs w:val="13"/>
          <w:color w:val="auto"/>
        </w:rPr>
        <w:t>Compensation Committee’s Retention of Independent Compensation Consultant</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58" w:right="1059" w:bottom="1440" w:gutter="0" w:footer="0" w:header="0"/>
        </w:sectPr>
      </w:pPr>
    </w:p>
    <w:bookmarkStart w:id="22" w:name="page23"/>
    <w:bookmarkEnd w:id="22"/>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Deferral of a Significant Portion of our Chief Executive Officer’s Compensation</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Supplemental Executive Retirement Programs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Historical Practice of Not Paying Bonuses Higher than Target Amounts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 in Control Agreements Have Double Trigger Arrangements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Excise Tax Gross-Ups in New or Amended Employment Agreements</w:t>
      </w:r>
    </w:p>
    <w:p>
      <w:pPr>
        <w:spacing w:after="0" w:line="90" w:lineRule="exact"/>
        <w:rPr>
          <w:rFonts w:ascii="Arial" w:cs="Arial" w:eastAsia="Arial" w:hAnsi="Arial"/>
          <w:sz w:val="13"/>
          <w:szCs w:val="13"/>
          <w:color w:val="auto"/>
        </w:rPr>
      </w:pPr>
    </w:p>
    <w:p>
      <w:pPr>
        <w:ind w:left="800" w:hanging="191"/>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Significant Perquisites</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vote “FOR” the following advisory resolution at our 2011 Annual Meeting:</w:t>
      </w:r>
    </w:p>
    <w:p>
      <w:pPr>
        <w:spacing w:after="0" w:line="63" w:lineRule="exact"/>
        <w:rPr>
          <w:sz w:val="20"/>
          <w:szCs w:val="20"/>
          <w:color w:val="auto"/>
        </w:rPr>
      </w:pPr>
    </w:p>
    <w:p>
      <w:pPr>
        <w:ind w:left="400" w:right="100" w:firstLine="383"/>
        <w:spacing w:after="0" w:line="291" w:lineRule="auto"/>
        <w:rPr>
          <w:sz w:val="20"/>
          <w:szCs w:val="20"/>
          <w:color w:val="auto"/>
        </w:rPr>
      </w:pPr>
      <w:r>
        <w:rPr>
          <w:rFonts w:ascii="Arial" w:cs="Arial" w:eastAsia="Arial" w:hAnsi="Arial"/>
          <w:sz w:val="13"/>
          <w:szCs w:val="13"/>
          <w:color w:val="auto"/>
        </w:rPr>
        <w:t>“RESOLVED, that the compensation paid to the Company’s named executive officers, as disclosed pursuant to Item 402 of Regulation S-K, including the Compensation Disclosure and Analysis, compensation tables and narrative discussion is hereby APPROVED.”</w:t>
      </w:r>
    </w:p>
    <w:p>
      <w:pPr>
        <w:spacing w:after="0" w:line="48"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Because the say-on-pay vote is advisory, it will not be binding on the Company, the Compensation Committee or our Board of Directors. That said, we value the opinions of our stockholders, and, accordingly, our Compensation Committee will review the voting results and take them into consideration (among other factors it deems relevant) when making future decisions regarding 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Advisory Approval and Recommendation of the Board of Directors</w:t>
      </w:r>
    </w:p>
    <w:p>
      <w:pPr>
        <w:spacing w:after="0" w:line="103"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The affirmative vote of the holders of a majority of the shares present, in person or represented by proxy, at the Meeting and entitled to vote is required for advisory approval of this proposal. Abstentions will not be voted and will have the effect of a vote against this proposal. Broker non-votes will not be counted in determining the number of shares necessary for advisory approval and will have no effect on the outcome of this proposal.</w:t>
      </w:r>
    </w:p>
    <w:p>
      <w:pPr>
        <w:spacing w:after="0" w:line="57" w:lineRule="exact"/>
        <w:rPr>
          <w:sz w:val="20"/>
          <w:szCs w:val="20"/>
          <w:color w:val="auto"/>
        </w:rPr>
      </w:pPr>
    </w:p>
    <w:p>
      <w:pPr>
        <w:ind w:right="280" w:firstLine="399"/>
        <w:spacing w:after="0" w:line="294" w:lineRule="auto"/>
        <w:rPr>
          <w:sz w:val="20"/>
          <w:szCs w:val="20"/>
          <w:color w:val="auto"/>
        </w:rPr>
      </w:pPr>
      <w:r>
        <w:rPr>
          <w:rFonts w:ascii="Arial" w:cs="Arial" w:eastAsia="Arial" w:hAnsi="Arial"/>
          <w:sz w:val="13"/>
          <w:szCs w:val="13"/>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20"/>
          </w:cols>
          <w:pgMar w:left="900" w:top="740" w:right="10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3"/>
          <w:szCs w:val="13"/>
          <w:b w:val="1"/>
          <w:bCs w:val="1"/>
          <w:color w:val="auto"/>
        </w:rPr>
        <w:t>PROPOSAL 4. ADVISORY VOTE ON THE FREQUENCY OF AN ADVISORY VOTE ON EXECUTIVE COMPENSATION</w:t>
      </w:r>
    </w:p>
    <w:p>
      <w:pPr>
        <w:spacing w:after="0" w:line="103" w:lineRule="exact"/>
        <w:rPr>
          <w:sz w:val="20"/>
          <w:szCs w:val="20"/>
          <w:color w:val="auto"/>
        </w:rPr>
      </w:pPr>
    </w:p>
    <w:p>
      <w:pPr>
        <w:ind w:right="60" w:firstLine="399"/>
        <w:spacing w:after="0" w:line="274" w:lineRule="auto"/>
        <w:rPr>
          <w:sz w:val="20"/>
          <w:szCs w:val="20"/>
          <w:color w:val="auto"/>
        </w:rPr>
      </w:pPr>
      <w:r>
        <w:rPr>
          <w:rFonts w:ascii="Arial" w:cs="Arial" w:eastAsia="Arial" w:hAnsi="Arial"/>
          <w:sz w:val="13"/>
          <w:szCs w:val="13"/>
          <w:color w:val="auto"/>
        </w:rPr>
        <w:t>We are seeking our stockholders’ advisory vote on the frequency of future stockholder advisory votes on our executive compensation programs. This proposal seeks the stockholders’ advisory vote on whether they would prefer the company, through its annual proxy process, to hold an advisory vote on the compensation for our named executive officers once every one, two or three years.</w:t>
      </w:r>
    </w:p>
    <w:p>
      <w:pPr>
        <w:spacing w:after="0" w:line="59"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A stockholder advisory vote on executive compensation is important to the Company. Our Board of Directors acknowledges that there are many arguments supporting an annual vote and equally compelling arguments supporting a vote every three years.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Arguments supporting a vote once every three years include the following:</w:t>
      </w:r>
    </w:p>
    <w:p>
      <w:pPr>
        <w:spacing w:after="0" w:line="101" w:lineRule="exact"/>
        <w:rPr>
          <w:sz w:val="20"/>
          <w:szCs w:val="20"/>
          <w:color w:val="auto"/>
        </w:rPr>
      </w:pPr>
    </w:p>
    <w:p>
      <w:pPr>
        <w:ind w:left="600" w:hanging="191"/>
        <w:spacing w:after="0" w:line="291"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compensation programs tie a substantial portion of executive compensation to our long-term corporate performance and, therefore, a vote every three years is best aligned with the long-term focus of our executive compensation programs;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triennial vote provides stockholders with the opportunity to more fully and effectively assess our long-term compensation strategies and business performance;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triennial vote reduces the burden on our stockholders;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triennial cycle provides sufficient time for the Company to evaluate and respond to stockholder input.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Arguments supporting a vote every year include the following:</w:t>
      </w:r>
    </w:p>
    <w:p>
      <w:pPr>
        <w:spacing w:after="0" w:line="101" w:lineRule="exact"/>
        <w:rPr>
          <w:sz w:val="20"/>
          <w:szCs w:val="20"/>
          <w:color w:val="auto"/>
        </w:rPr>
      </w:pPr>
    </w:p>
    <w:p>
      <w:pPr>
        <w:ind w:left="600" w:hanging="191"/>
        <w:spacing w:after="0" w:line="291"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 annual vote may enhance communications with our stockholders by providing a clear, simple and frequent means for the Company to obtain information on investor views about our executive compensation philosophy and programs; and</w:t>
      </w:r>
    </w:p>
    <w:p>
      <w:pPr>
        <w:spacing w:after="0" w:line="38" w:lineRule="exact"/>
        <w:rPr>
          <w:rFonts w:ascii="Arial" w:cs="Arial" w:eastAsia="Arial" w:hAnsi="Arial"/>
          <w:sz w:val="13"/>
          <w:szCs w:val="13"/>
          <w:color w:val="auto"/>
        </w:rPr>
      </w:pPr>
    </w:p>
    <w:p>
      <w:pPr>
        <w:ind w:left="400" w:right="60" w:firstLine="9"/>
        <w:spacing w:after="0" w:line="435" w:lineRule="auto"/>
        <w:tabs>
          <w:tab w:leader="none" w:pos="602"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 annual vote may provide for a higher level of communication by enabling the vote to correspond to the compensation information in the accompanying proxy statement. We understand that our stockholders may have different views as to what is the best approach for Integra, and we look forward to hearing from our stockholders on this proposal.</w:t>
      </w:r>
    </w:p>
    <w:p>
      <w:pPr>
        <w:spacing w:after="0" w:line="1" w:lineRule="exact"/>
        <w:rPr>
          <w:sz w:val="20"/>
          <w:szCs w:val="20"/>
          <w:color w:val="auto"/>
        </w:rPr>
      </w:pPr>
    </w:p>
    <w:p>
      <w:pPr>
        <w:ind w:right="20" w:firstLine="399"/>
        <w:spacing w:after="0" w:line="297" w:lineRule="auto"/>
        <w:rPr>
          <w:sz w:val="20"/>
          <w:szCs w:val="20"/>
          <w:color w:val="auto"/>
        </w:rPr>
      </w:pPr>
      <w:r>
        <w:rPr>
          <w:rFonts w:ascii="Arial" w:cs="Arial" w:eastAsia="Arial" w:hAnsi="Arial"/>
          <w:sz w:val="12"/>
          <w:szCs w:val="12"/>
          <w:color w:val="auto"/>
        </w:rPr>
        <w:t>You may cast your vote on your preferred voting frequency by choosing the option of one year, two years, three years or abstain from voting on this proposal. Because this vote is advisory, it is not binding on the Board of Directors or the Company. The Board of Directors, however, will consider the voting results (among other factors it deems relevant) when determining the frequency for the Company to hold future advisory votes on executive compensation. The Board may decide that it is in the best interests of our stockholders and the Company to hold an advisory vote on executive compensation more or less frequently than the option that receives a majority or the highest number of votes cast.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Abstentions and broker non-votes will not be counted as votes cast “FOR” or “AGAINST” any frequency choice and will have no effect on the outcome of this proposal.</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Advisory Approval</w:t>
      </w:r>
    </w:p>
    <w:p>
      <w:pPr>
        <w:spacing w:after="0" w:line="103"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The affirmative vote of the holders of a majority of the shares present, in person or by proxy, at the Meeting and entitled to vote is required for advisory approval of this proposal. For this proposal, if none of the frequency alternatives (one year, two years or three years) receives a majority vote, we will consider the frequency that receives the highest number of stockholders to be the frequency that has been selected by our stockholders. Abstentions and broker non-votes will not be counted as votes cast “FOR” or “AGAINST” any frequency choice and will have no effect on the outcome of this proposal.</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58" w:right="10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3"/>
          <w:szCs w:val="13"/>
          <w:b w:val="1"/>
          <w:bCs w:val="1"/>
          <w:color w:val="auto"/>
        </w:rPr>
        <w:t>EXECUTIVE COMPENSATION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right="100" w:firstLine="399"/>
        <w:spacing w:after="0" w:line="268" w:lineRule="auto"/>
        <w:rPr>
          <w:sz w:val="20"/>
          <w:szCs w:val="20"/>
          <w:color w:val="auto"/>
        </w:rPr>
      </w:pPr>
      <w:r>
        <w:rPr>
          <w:rFonts w:ascii="Arial" w:cs="Arial" w:eastAsia="Arial" w:hAnsi="Arial"/>
          <w:sz w:val="13"/>
          <w:szCs w:val="13"/>
          <w:color w:val="auto"/>
        </w:rPr>
        <w:t>This discussion supplements the more detailed information concerning executive compensation in the tables and narrative discussion that follow. This Compensation Discussion and Analysis section discusses the compensation policies and programs for our named executive officers, who consist of our Chief Executive Officer, our President and Chief Operating Officer, our Chief Financial Officer, our former Chief Operating Officer and two other executive officers, as determined under the rules of the SEC. For 2010, our named executive officers were:</w:t>
      </w:r>
    </w:p>
    <w:p>
      <w:pPr>
        <w:spacing w:after="0" w:line="63" w:lineRule="exact"/>
        <w:rPr>
          <w:sz w:val="20"/>
          <w:szCs w:val="20"/>
          <w:color w:val="auto"/>
        </w:rPr>
      </w:pPr>
    </w:p>
    <w:p>
      <w:pPr>
        <w:ind w:left="600" w:hanging="191"/>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Stuart M. Essig, our Chief Executive Officer;</w:t>
      </w:r>
    </w:p>
    <w:p>
      <w:pPr>
        <w:spacing w:after="0" w:line="100" w:lineRule="exact"/>
        <w:rPr>
          <w:rFonts w:ascii="Arial" w:cs="Arial" w:eastAsia="Arial" w:hAnsi="Arial"/>
          <w:sz w:val="13"/>
          <w:szCs w:val="13"/>
          <w:color w:val="auto"/>
        </w:rPr>
      </w:pPr>
    </w:p>
    <w:p>
      <w:pPr>
        <w:ind w:left="480" w:hanging="73"/>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Peter J. Arduini, our President and Chief Operating Officer;</w:t>
      </w:r>
    </w:p>
    <w:p>
      <w:pPr>
        <w:spacing w:after="0" w:line="100" w:lineRule="exact"/>
        <w:rPr>
          <w:rFonts w:ascii="Arial" w:cs="Arial" w:eastAsia="Arial" w:hAnsi="Arial"/>
          <w:sz w:val="13"/>
          <w:szCs w:val="13"/>
          <w:color w:val="auto"/>
        </w:rPr>
      </w:pPr>
    </w:p>
    <w:p>
      <w:pPr>
        <w:ind w:left="600" w:hanging="191"/>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John B. Henneman, III, our Executive Vice President, Finance and Administration, and Chief Financial Officer;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Gerard S. Carlozzi, our former Executive Vice President and Chief Operating Officer (Mr. Carlozzi retired from the Company on January 4, 2011);</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Judith E. O’Grady, our Senior Vice President, Regulatory Affairs and Quality Systems, and Corporate Compliance Officer;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Jerry E. Corbin, our Vice President, Corporate Controller and Principal Accounting Officer.</w:t>
      </w:r>
    </w:p>
    <w:p>
      <w:pPr>
        <w:spacing w:after="0" w:line="101" w:lineRule="exact"/>
        <w:rPr>
          <w:sz w:val="20"/>
          <w:szCs w:val="20"/>
          <w:color w:val="auto"/>
        </w:rPr>
      </w:pPr>
    </w:p>
    <w:p>
      <w:pPr>
        <w:ind w:right="560" w:firstLine="399"/>
        <w:spacing w:after="0" w:line="336" w:lineRule="auto"/>
        <w:rPr>
          <w:sz w:val="20"/>
          <w:szCs w:val="20"/>
          <w:color w:val="auto"/>
        </w:rPr>
      </w:pPr>
      <w:r>
        <w:rPr>
          <w:rFonts w:ascii="Arial" w:cs="Arial" w:eastAsia="Arial" w:hAnsi="Arial"/>
          <w:sz w:val="12"/>
          <w:szCs w:val="12"/>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Summary</w:t>
      </w:r>
    </w:p>
    <w:p>
      <w:pPr>
        <w:spacing w:after="0" w:line="103"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color w:val="auto"/>
        </w:rPr>
        <w:t>We design our compensation programs to align our named executive officers’ interests with those of our stockholders by rewarding performance that meets or exceeds objectives that the Compensation Committee establishes with the objective of increasing stockholder value. In line with this philosophy, our named executive officers’ total compensation will vary based on individual and corporate performance on both financial and non-financial objectives, without encouraging excessive or unnecessary risk-taking behaviors. (See “Philosophy” below for information about our compensation philosophy.)</w:t>
      </w:r>
    </w:p>
    <w:p>
      <w:pPr>
        <w:spacing w:after="0" w:line="63"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color w:val="auto"/>
        </w:rPr>
        <w:t>Despite the challenging global economic and regulatory environment, we delivered good results in 2010. We reported record total revenue for 2010 of $732.1 million, reflecting an increase of $49.6 million, or 7%, over 2009. Excluding the impact of foreign currency exchange rates, revenues grew by 7%. We reported GAAP net income of $65.7 million, or $2.17 per diluted share, for 2010, compared to GAAP net income of $51.0 million, or $1.74 per diluted share for 2009. We generated $105.6 million in cash flows from operations. In addition, we returned value to stockholders by repurchasing approximately 858,000 shares of common stock in the open market, using $31.3 million of cash. Further, we achieved $166.7 million of adjusted EBITDA (excluding the impact of stock-based compensation expense) which was in the high end of our Chief Executive Officer’s goal range for 2010. We also established a $450.0 million, five-year, senior secured revolving credit facility and $150.0 million, five-year, senior secured term loan A, replacing our old credit facility. These results, in addition to good performance in non-financial areas, were important factors in the Compensation Committee’s decisions on the compensation of named executive officers.</w:t>
      </w:r>
    </w:p>
    <w:p>
      <w:pPr>
        <w:spacing w:after="0" w:line="53" w:lineRule="exact"/>
        <w:rPr>
          <w:sz w:val="20"/>
          <w:szCs w:val="20"/>
          <w:color w:val="auto"/>
        </w:rPr>
      </w:pPr>
    </w:p>
    <w:p>
      <w:pPr>
        <w:ind w:right="220" w:firstLine="399"/>
        <w:spacing w:after="0" w:line="291" w:lineRule="auto"/>
        <w:rPr>
          <w:sz w:val="20"/>
          <w:szCs w:val="20"/>
          <w:color w:val="auto"/>
        </w:rPr>
      </w:pPr>
      <w:r>
        <w:rPr>
          <w:rFonts w:ascii="Arial" w:cs="Arial" w:eastAsia="Arial" w:hAnsi="Arial"/>
          <w:sz w:val="13"/>
          <w:szCs w:val="13"/>
          <w:color w:val="auto"/>
        </w:rPr>
        <w:t>Equity is a key component of our executive compensation program. Our use of equity links the performance of our executives to the performance of our stock, which links our executives’ interests to those of our stockholders.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58" w:right="10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3"/>
          <w:szCs w:val="13"/>
          <w:b w:val="1"/>
          <w:bCs w:val="1"/>
          <w:color w:val="auto"/>
        </w:rPr>
        <w:t>STOCK PERFORMANCE GRAPH</w:t>
      </w:r>
    </w:p>
    <w:p>
      <w:pPr>
        <w:spacing w:after="0" w:line="103" w:lineRule="exact"/>
        <w:rPr>
          <w:sz w:val="20"/>
          <w:szCs w:val="20"/>
          <w:color w:val="auto"/>
        </w:rPr>
      </w:pPr>
    </w:p>
    <w:p>
      <w:pPr>
        <w:ind w:right="60" w:firstLine="399"/>
        <w:spacing w:after="0" w:line="293" w:lineRule="auto"/>
        <w:rPr>
          <w:sz w:val="20"/>
          <w:szCs w:val="20"/>
          <w:color w:val="auto"/>
        </w:rPr>
      </w:pPr>
      <w:r>
        <w:rPr>
          <w:rFonts w:ascii="Arial" w:cs="Arial" w:eastAsia="Arial" w:hAnsi="Arial"/>
          <w:sz w:val="12"/>
          <w:szCs w:val="12"/>
          <w:color w:val="auto"/>
        </w:rPr>
        <w:t>Our total cumulative five year stockholder return exceeds those of the Nasdaq Stock Market - U.S. Index and the Nasdaq Medical Devices, Instruments and Supplies, Manufacturers and Distributors Index. The following line graph and table compare, for the period from December 31, 2005 through December 31, 2010, the yearly change in the cumulative total stockholder return on the Company’s common stock with the cumulative total return of the Nasdaq Stock Market — U.S. Index and the Nasdaq Medical Devices, Instruments and Supplies, Manufacturers and Distributors Index. The graph assumes that the value of the investment in the Company’s common stock and the relevant index was $100 at December 31, 2005 and that any dividends were reinvested. The closing market price of the Company’s common stock on December 31, 2010 was $47.30 per share.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COMPARISON OF FIVE YEAR CUMULATIVE TOTAL RETURN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VALUE OF INVESTMENT OF $100 ON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64135</wp:posOffset>
            </wp:positionV>
            <wp:extent cx="2982595" cy="1742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82595" cy="174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Comparison of Cumulative Total Return among Integra LifeSciences Holdings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Nasdaq Medical Devices, Instruments and Supplies, Manufacturers and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Distributors Index, and the Nasdaq Stock Market — U.S. Index</w:t>
      </w:r>
    </w:p>
    <w:p>
      <w:pPr>
        <w:spacing w:after="0" w:line="91" w:lineRule="exact"/>
        <w:rPr>
          <w:sz w:val="20"/>
          <w:szCs w:val="20"/>
          <w:color w:val="auto"/>
        </w:rPr>
      </w:pPr>
    </w:p>
    <w:tbl>
      <w:tblPr>
        <w:tblLayout w:type="fixed"/>
        <w:tblInd w:w="30" w:type="dxa"/>
        <w:tblCellMar>
          <w:top w:w="0" w:type="dxa"/>
          <w:left w:w="0" w:type="dxa"/>
          <w:bottom w:w="0" w:type="dxa"/>
          <w:right w:w="0" w:type="dxa"/>
        </w:tblCellMar>
      </w:tblPr>
      <w:tr>
        <w:trPr>
          <w:trHeight w:val="110"/>
        </w:trPr>
        <w:tc>
          <w:tcPr>
            <w:tcW w:w="6000" w:type="dxa"/>
            <w:vAlign w:val="bottom"/>
            <w:tcBorders>
              <w:top w:val="single" w:sz="8" w:color="auto"/>
              <w:left w:val="single" w:sz="8" w:color="auto"/>
              <w:bottom w:val="single" w:sz="8" w:color="auto"/>
              <w:right w:val="single" w:sz="8" w:color="auto"/>
            </w:tcBorders>
          </w:tcPr>
          <w:p>
            <w:pPr>
              <w:spacing w:after="0"/>
              <w:rPr>
                <w:sz w:val="9"/>
                <w:szCs w:val="9"/>
                <w:color w:val="auto"/>
              </w:rPr>
            </w:pPr>
          </w:p>
        </w:tc>
        <w:tc>
          <w:tcPr>
            <w:tcW w:w="600" w:type="dxa"/>
            <w:vAlign w:val="bottom"/>
            <w:tcBorders>
              <w:top w:val="single" w:sz="8" w:color="auto"/>
              <w:bottom w:val="single" w:sz="8" w:color="auto"/>
              <w:right w:val="single" w:sz="8" w:color="auto"/>
            </w:tcBorders>
          </w:tcPr>
          <w:p>
            <w:pPr>
              <w:jc w:val="center"/>
              <w:ind w:right="78"/>
              <w:spacing w:after="0"/>
              <w:rPr>
                <w:sz w:val="20"/>
                <w:szCs w:val="20"/>
                <w:color w:val="auto"/>
              </w:rPr>
            </w:pPr>
            <w:r>
              <w:rPr>
                <w:rFonts w:ascii="Arial" w:cs="Arial" w:eastAsia="Arial" w:hAnsi="Arial"/>
                <w:sz w:val="9"/>
                <w:szCs w:val="9"/>
                <w:b w:val="1"/>
                <w:bCs w:val="1"/>
                <w:color w:val="auto"/>
                <w:w w:val="97"/>
              </w:rPr>
              <w:t>12/05</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right w:val="single" w:sz="8" w:color="auto"/>
            </w:tcBorders>
          </w:tcPr>
          <w:p>
            <w:pPr>
              <w:jc w:val="right"/>
              <w:ind w:right="238"/>
              <w:spacing w:after="0"/>
              <w:rPr>
                <w:sz w:val="20"/>
                <w:szCs w:val="20"/>
                <w:color w:val="auto"/>
              </w:rPr>
            </w:pPr>
            <w:r>
              <w:rPr>
                <w:rFonts w:ascii="Arial" w:cs="Arial" w:eastAsia="Arial" w:hAnsi="Arial"/>
                <w:sz w:val="9"/>
                <w:szCs w:val="9"/>
                <w:b w:val="1"/>
                <w:bCs w:val="1"/>
                <w:color w:val="auto"/>
                <w:w w:val="97"/>
              </w:rPr>
              <w:t>12/06</w:t>
            </w:r>
          </w:p>
        </w:tc>
        <w:tc>
          <w:tcPr>
            <w:tcW w:w="1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right w:val="single" w:sz="8" w:color="auto"/>
            </w:tcBorders>
          </w:tcPr>
          <w:p>
            <w:pPr>
              <w:jc w:val="right"/>
              <w:ind w:right="238"/>
              <w:spacing w:after="0"/>
              <w:rPr>
                <w:sz w:val="20"/>
                <w:szCs w:val="20"/>
                <w:color w:val="auto"/>
              </w:rPr>
            </w:pPr>
            <w:r>
              <w:rPr>
                <w:rFonts w:ascii="Arial" w:cs="Arial" w:eastAsia="Arial" w:hAnsi="Arial"/>
                <w:sz w:val="9"/>
                <w:szCs w:val="9"/>
                <w:b w:val="1"/>
                <w:bCs w:val="1"/>
                <w:color w:val="auto"/>
                <w:w w:val="88"/>
              </w:rPr>
              <w:t>12/07</w:t>
            </w:r>
          </w:p>
        </w:tc>
        <w:tc>
          <w:tcPr>
            <w:tcW w:w="1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right w:val="single" w:sz="8" w:color="auto"/>
            </w:tcBorders>
          </w:tcPr>
          <w:p>
            <w:pPr>
              <w:jc w:val="right"/>
              <w:ind w:right="238"/>
              <w:spacing w:after="0"/>
              <w:rPr>
                <w:sz w:val="20"/>
                <w:szCs w:val="20"/>
                <w:color w:val="auto"/>
              </w:rPr>
            </w:pPr>
            <w:r>
              <w:rPr>
                <w:rFonts w:ascii="Arial" w:cs="Arial" w:eastAsia="Arial" w:hAnsi="Arial"/>
                <w:sz w:val="9"/>
                <w:szCs w:val="9"/>
                <w:b w:val="1"/>
                <w:bCs w:val="1"/>
                <w:color w:val="auto"/>
                <w:w w:val="88"/>
              </w:rPr>
              <w:t>12/08</w:t>
            </w:r>
          </w:p>
        </w:tc>
        <w:tc>
          <w:tcPr>
            <w:tcW w:w="1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right w:val="single" w:sz="8" w:color="auto"/>
            </w:tcBorders>
          </w:tcPr>
          <w:p>
            <w:pPr>
              <w:jc w:val="right"/>
              <w:ind w:right="238"/>
              <w:spacing w:after="0"/>
              <w:rPr>
                <w:sz w:val="20"/>
                <w:szCs w:val="20"/>
                <w:color w:val="auto"/>
              </w:rPr>
            </w:pPr>
            <w:r>
              <w:rPr>
                <w:rFonts w:ascii="Arial" w:cs="Arial" w:eastAsia="Arial" w:hAnsi="Arial"/>
                <w:sz w:val="9"/>
                <w:szCs w:val="9"/>
                <w:b w:val="1"/>
                <w:bCs w:val="1"/>
                <w:color w:val="auto"/>
                <w:w w:val="88"/>
              </w:rPr>
              <w:t>12/09</w:t>
            </w:r>
          </w:p>
        </w:tc>
        <w:tc>
          <w:tcPr>
            <w:tcW w:w="1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right w:val="single" w:sz="8" w:color="auto"/>
            </w:tcBorders>
          </w:tcPr>
          <w:p>
            <w:pPr>
              <w:jc w:val="right"/>
              <w:ind w:right="118"/>
              <w:spacing w:after="0"/>
              <w:rPr>
                <w:sz w:val="20"/>
                <w:szCs w:val="20"/>
                <w:color w:val="auto"/>
              </w:rPr>
            </w:pPr>
            <w:r>
              <w:rPr>
                <w:rFonts w:ascii="Arial" w:cs="Arial" w:eastAsia="Arial" w:hAnsi="Arial"/>
                <w:sz w:val="9"/>
                <w:szCs w:val="9"/>
                <w:b w:val="1"/>
                <w:bCs w:val="1"/>
                <w:color w:val="auto"/>
                <w:w w:val="97"/>
              </w:rPr>
              <w:t>12/10</w:t>
            </w:r>
          </w:p>
        </w:tc>
      </w:tr>
      <w:tr>
        <w:trPr>
          <w:trHeight w:val="150"/>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Holdings Corporation</w:t>
            </w:r>
          </w:p>
        </w:tc>
        <w:tc>
          <w:tcPr>
            <w:tcW w:w="60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3"/>
                <w:szCs w:val="13"/>
                <w:color w:val="auto"/>
                <w:w w:val="92"/>
              </w:rPr>
              <w:t>$ 100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3"/>
                <w:szCs w:val="13"/>
                <w:color w:val="auto"/>
              </w:rPr>
              <w:t>120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133</w:t>
            </w:r>
          </w:p>
        </w:tc>
      </w:tr>
      <w:tr>
        <w:trPr>
          <w:trHeight w:val="150"/>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Nasdaq Medical Devices, Instruments and Supplies Manufacturers and Distributors Index</w:t>
            </w:r>
          </w:p>
        </w:tc>
        <w:tc>
          <w:tcPr>
            <w:tcW w:w="60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3"/>
                <w:szCs w:val="13"/>
                <w:color w:val="auto"/>
                <w:w w:val="92"/>
              </w:rPr>
              <w:t>$ 100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3"/>
                <w:szCs w:val="13"/>
                <w:color w:val="auto"/>
              </w:rPr>
              <w:t>105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112</w:t>
            </w:r>
          </w:p>
        </w:tc>
      </w:tr>
      <w:tr>
        <w:trPr>
          <w:trHeight w:val="150"/>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Nasdaq Stock Market — U.S. Index</w:t>
            </w:r>
          </w:p>
        </w:tc>
        <w:tc>
          <w:tcPr>
            <w:tcW w:w="60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3"/>
                <w:szCs w:val="13"/>
                <w:color w:val="auto"/>
                <w:w w:val="92"/>
              </w:rPr>
              <w:t>$ 100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3"/>
                <w:szCs w:val="13"/>
                <w:color w:val="auto"/>
              </w:rPr>
              <w:t>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119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3"/>
                <w:szCs w:val="13"/>
                <w:color w:val="auto"/>
              </w:rPr>
              <w:t>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98</w:t>
            </w: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graph and table above depict the past performance of the Company’s stock price. The Company neither makes nor endorses any predictions as to future stock performance.</w:t>
      </w:r>
    </w:p>
    <w:p>
      <w:pPr>
        <w:spacing w:after="0" w:line="112" w:lineRule="exact"/>
        <w:rPr>
          <w:sz w:val="20"/>
          <w:szCs w:val="20"/>
          <w:color w:val="auto"/>
        </w:rPr>
      </w:pPr>
    </w:p>
    <w:p>
      <w:pPr>
        <w:ind w:right="240" w:firstLine="399"/>
        <w:spacing w:after="0" w:line="336" w:lineRule="auto"/>
        <w:rPr>
          <w:sz w:val="20"/>
          <w:szCs w:val="20"/>
          <w:color w:val="auto"/>
        </w:rPr>
      </w:pPr>
      <w:r>
        <w:rPr>
          <w:rFonts w:ascii="Arial" w:cs="Arial" w:eastAsia="Arial" w:hAnsi="Arial"/>
          <w:sz w:val="12"/>
          <w:szCs w:val="12"/>
          <w:color w:val="auto"/>
        </w:rPr>
        <w:t>We highlight below the key elements that the Compensation Committee relied upon to determine our Chief Executive Officer’s compensation, including his accomplishments, decisions made with respect to our executive compensation programs in 2010 and our compensation policies, which we believe contribute to good governance practices.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Chief Executive Officer Compensation and Key Accomplishments</w:t>
      </w:r>
    </w:p>
    <w:p>
      <w:pPr>
        <w:spacing w:after="0" w:line="103" w:lineRule="exact"/>
        <w:rPr>
          <w:sz w:val="20"/>
          <w:szCs w:val="20"/>
          <w:color w:val="auto"/>
        </w:rPr>
      </w:pPr>
    </w:p>
    <w:p>
      <w:pPr>
        <w:ind w:left="600" w:hanging="191"/>
        <w:spacing w:after="0" w:line="291"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Annual Review of Objectives. </w:t>
      </w:r>
      <w:r>
        <w:rPr>
          <w:rFonts w:ascii="Arial" w:cs="Arial" w:eastAsia="Arial" w:hAnsi="Arial"/>
          <w:sz w:val="13"/>
          <w:szCs w:val="13"/>
          <w:color w:val="auto"/>
        </w:rPr>
        <w:t>Our Compensation Committee, as well as our Board of Directors, reviews Mr. Essig’s objectives annually and those objectives serve as the basis</w:t>
      </w:r>
      <w:r>
        <w:rPr>
          <w:rFonts w:ascii="Arial" w:cs="Arial" w:eastAsia="Arial" w:hAnsi="Arial"/>
          <w:sz w:val="13"/>
          <w:szCs w:val="13"/>
          <w:i w:val="1"/>
          <w:iCs w:val="1"/>
          <w:color w:val="auto"/>
        </w:rPr>
        <w:t xml:space="preserve"> </w:t>
      </w:r>
      <w:r>
        <w:rPr>
          <w:rFonts w:ascii="Arial" w:cs="Arial" w:eastAsia="Arial" w:hAnsi="Arial"/>
          <w:sz w:val="13"/>
          <w:szCs w:val="13"/>
          <w:color w:val="auto"/>
        </w:rPr>
        <w:t>for our Compensation Committee’s decisions regarding Mr. Essig’s compensation.</w:t>
      </w:r>
    </w:p>
    <w:p>
      <w:pPr>
        <w:spacing w:after="0" w:line="38" w:lineRule="exact"/>
        <w:rPr>
          <w:rFonts w:ascii="Arial" w:cs="Arial" w:eastAsia="Arial" w:hAnsi="Arial"/>
          <w:sz w:val="13"/>
          <w:szCs w:val="13"/>
          <w:color w:val="auto"/>
        </w:rPr>
      </w:pPr>
    </w:p>
    <w:p>
      <w:pPr>
        <w:ind w:left="600" w:right="20" w:hanging="191"/>
        <w:spacing w:after="0" w:line="268"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Chief Executive Officer Compensation. </w:t>
      </w:r>
      <w:r>
        <w:rPr>
          <w:rFonts w:ascii="Arial" w:cs="Arial" w:eastAsia="Arial" w:hAnsi="Arial"/>
          <w:sz w:val="13"/>
          <w:szCs w:val="13"/>
          <w:color w:val="auto"/>
        </w:rPr>
        <w:t>Mr. Essig’s compensation significantly exceeds the compensation paid to any of the other named executive officers because of many</w:t>
      </w:r>
      <w:r>
        <w:rPr>
          <w:rFonts w:ascii="Arial" w:cs="Arial" w:eastAsia="Arial" w:hAnsi="Arial"/>
          <w:sz w:val="13"/>
          <w:szCs w:val="13"/>
          <w:i w:val="1"/>
          <w:iCs w:val="1"/>
          <w:color w:val="auto"/>
        </w:rPr>
        <w:t xml:space="preserve"> </w:t>
      </w:r>
      <w:r>
        <w:rPr>
          <w:rFonts w:ascii="Arial" w:cs="Arial" w:eastAsia="Arial" w:hAnsi="Arial"/>
          <w:sz w:val="13"/>
          <w:szCs w:val="13"/>
          <w:color w:val="auto"/>
        </w:rPr>
        <w:t>reasons, including (i) that he has responsibilities and obligations at the Company that are significantly greater than those of any of the other named executive officers, (ii) chief executive officers are recruited from a distinct group of candidates who are paid higher than those in other positions and (iii) Mr. Essig has had, and continues to have, employment alternatives during his career that have paid, and offer, significant compensation.</w:t>
      </w:r>
    </w:p>
    <w:p>
      <w:pPr>
        <w:spacing w:after="0" w:line="53" w:lineRule="exact"/>
        <w:rPr>
          <w:rFonts w:ascii="Arial" w:cs="Arial" w:eastAsia="Arial" w:hAnsi="Arial"/>
          <w:sz w:val="13"/>
          <w:szCs w:val="13"/>
          <w:color w:val="auto"/>
        </w:rPr>
      </w:pPr>
    </w:p>
    <w:p>
      <w:pPr>
        <w:ind w:left="600" w:right="20" w:hanging="191"/>
        <w:spacing w:after="0" w:line="265"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Paid. </w:t>
      </w:r>
      <w:r>
        <w:rPr>
          <w:rFonts w:ascii="Arial" w:cs="Arial" w:eastAsia="Arial" w:hAnsi="Arial"/>
          <w:sz w:val="13"/>
          <w:szCs w:val="13"/>
          <w:color w:val="auto"/>
        </w:rPr>
        <w:t>Our Compensation Committee considered the strong company and individual performance when determining our Chief Executive Officer’s</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for 2010. We increased Mr. Essig’s salary to $700,000 (the minimum allowed under his employment agreement), following a year in which he agreed to reduce his salary to 2008 levels because of the economic downturn. In addition, we granted him a bonus for 2010 of $700,048 (approximately equal to his target amount), of which $300,000 was paid in cash and $400,048 was paid in restricted stock units (“RSUs”), following a year in which no cash bonus was paid. Further, we granted Mr. Essig 100,000 RSUs as his annual equity award.</w:t>
      </w:r>
    </w:p>
    <w:p>
      <w:pPr>
        <w:spacing w:after="0" w:line="56" w:lineRule="exact"/>
        <w:rPr>
          <w:rFonts w:ascii="Arial" w:cs="Arial" w:eastAsia="Arial" w:hAnsi="Arial"/>
          <w:sz w:val="13"/>
          <w:szCs w:val="13"/>
          <w:color w:val="auto"/>
        </w:rPr>
      </w:pPr>
    </w:p>
    <w:p>
      <w:pPr>
        <w:ind w:left="600" w:right="80" w:hanging="191"/>
        <w:spacing w:after="0" w:line="291"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Compensation Aligned with the Interests of the Stockholders</w:t>
      </w:r>
      <w:r>
        <w:rPr>
          <w:rFonts w:ascii="Arial" w:cs="Arial" w:eastAsia="Arial" w:hAnsi="Arial"/>
          <w:sz w:val="13"/>
          <w:szCs w:val="13"/>
          <w:color w:val="auto"/>
        </w:rPr>
        <w:t>. Our Chief Executive Officer’s compensation is mostly equity-based, thereby aligning his interests with those of</w:t>
      </w:r>
      <w:r>
        <w:rPr>
          <w:rFonts w:ascii="Arial" w:cs="Arial" w:eastAsia="Arial" w:hAnsi="Arial"/>
          <w:sz w:val="13"/>
          <w:szCs w:val="13"/>
          <w:i w:val="1"/>
          <w:iCs w:val="1"/>
          <w:color w:val="auto"/>
        </w:rPr>
        <w:t xml:space="preserve"> </w:t>
      </w:r>
      <w:r>
        <w:rPr>
          <w:rFonts w:ascii="Arial" w:cs="Arial" w:eastAsia="Arial" w:hAnsi="Arial"/>
          <w:sz w:val="13"/>
          <w:szCs w:val="13"/>
          <w:color w:val="auto"/>
        </w:rPr>
        <w:t>our stockholders.</w:t>
      </w:r>
    </w:p>
    <w:p>
      <w:pPr>
        <w:spacing w:after="0" w:line="38" w:lineRule="exact"/>
        <w:rPr>
          <w:rFonts w:ascii="Arial" w:cs="Arial" w:eastAsia="Arial" w:hAnsi="Arial"/>
          <w:sz w:val="13"/>
          <w:szCs w:val="13"/>
          <w:color w:val="auto"/>
        </w:rPr>
      </w:pPr>
    </w:p>
    <w:p>
      <w:pPr>
        <w:ind w:left="600" w:right="60" w:hanging="191"/>
        <w:spacing w:after="0" w:line="291"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Financial Results. </w:t>
      </w:r>
      <w:r>
        <w:rPr>
          <w:rFonts w:ascii="Arial" w:cs="Arial" w:eastAsia="Arial" w:hAnsi="Arial"/>
          <w:sz w:val="13"/>
          <w:szCs w:val="13"/>
          <w:color w:val="auto"/>
        </w:rPr>
        <w:t>In addition to our strong financial results described above, our Chief Executive Officer achieved the high end of his adjusted EBIDTA goal range for 2010.</w:t>
      </w:r>
      <w:r>
        <w:rPr>
          <w:rFonts w:ascii="Arial" w:cs="Arial" w:eastAsia="Arial" w:hAnsi="Arial"/>
          <w:sz w:val="13"/>
          <w:szCs w:val="13"/>
          <w:i w:val="1"/>
          <w:iCs w:val="1"/>
          <w:color w:val="auto"/>
        </w:rPr>
        <w:t xml:space="preserve"> </w:t>
      </w:r>
      <w:r>
        <w:rPr>
          <w:rFonts w:ascii="Arial" w:cs="Arial" w:eastAsia="Arial" w:hAnsi="Arial"/>
          <w:sz w:val="13"/>
          <w:szCs w:val="13"/>
          <w:color w:val="auto"/>
        </w:rPr>
        <w:t>(See “Annual Review of Compensation” below.)</w:t>
      </w:r>
    </w:p>
    <w:p>
      <w:pPr>
        <w:spacing w:after="0" w:line="38" w:lineRule="exact"/>
        <w:rPr>
          <w:rFonts w:ascii="Arial" w:cs="Arial" w:eastAsia="Arial" w:hAnsi="Arial"/>
          <w:sz w:val="13"/>
          <w:szCs w:val="13"/>
          <w:color w:val="auto"/>
        </w:rPr>
      </w:pPr>
    </w:p>
    <w:p>
      <w:pPr>
        <w:ind w:left="600" w:right="200" w:hanging="191"/>
        <w:spacing w:after="0" w:line="291"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Successful Succession Planning. </w:t>
      </w:r>
      <w:r>
        <w:rPr>
          <w:rFonts w:ascii="Arial" w:cs="Arial" w:eastAsia="Arial" w:hAnsi="Arial"/>
          <w:sz w:val="13"/>
          <w:szCs w:val="13"/>
          <w:color w:val="auto"/>
        </w:rPr>
        <w:t>Mr. Essig led our search for our new President and Chief Operating Officer, resulting in the hiring of a well-qualified candidate with more</w:t>
      </w:r>
      <w:r>
        <w:rPr>
          <w:rFonts w:ascii="Arial" w:cs="Arial" w:eastAsia="Arial" w:hAnsi="Arial"/>
          <w:sz w:val="13"/>
          <w:szCs w:val="13"/>
          <w:i w:val="1"/>
          <w:iCs w:val="1"/>
          <w:color w:val="auto"/>
        </w:rPr>
        <w:t xml:space="preserve"> </w:t>
      </w:r>
      <w:r>
        <w:rPr>
          <w:rFonts w:ascii="Arial" w:cs="Arial" w:eastAsia="Arial" w:hAnsi="Arial"/>
          <w:sz w:val="13"/>
          <w:szCs w:val="13"/>
          <w:color w:val="auto"/>
        </w:rPr>
        <w:t>than two decades of significant operating experience within the medical device industry.</w:t>
      </w:r>
    </w:p>
    <w:p>
      <w:pPr>
        <w:spacing w:after="0" w:line="38" w:lineRule="exact"/>
        <w:rPr>
          <w:rFonts w:ascii="Arial" w:cs="Arial" w:eastAsia="Arial" w:hAnsi="Arial"/>
          <w:sz w:val="13"/>
          <w:szCs w:val="13"/>
          <w:color w:val="auto"/>
        </w:rPr>
      </w:pPr>
    </w:p>
    <w:p>
      <w:pPr>
        <w:ind w:left="600" w:right="80" w:hanging="191"/>
        <w:spacing w:after="0" w:line="307" w:lineRule="auto"/>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Leadership. </w:t>
      </w:r>
      <w:r>
        <w:rPr>
          <w:rFonts w:ascii="Arial" w:cs="Arial" w:eastAsia="Arial" w:hAnsi="Arial"/>
          <w:sz w:val="12"/>
          <w:szCs w:val="12"/>
          <w:color w:val="auto"/>
        </w:rPr>
        <w:t>Mr. Essig has hired, developed and mentored numerous executives within Integra, leads our strategic planning and actively oversees our day-to-day activities.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 Mr. Essig is the driving force behind building our corporate identity through a new campaign to create a competitive edge. He also maintains an active and visible position in the medical device industry, with customers, in our industry’s largest trade organization, ADVAMED and with the investment community.</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Actions and Decisions in 2010</w:t>
      </w:r>
    </w:p>
    <w:p>
      <w:pPr>
        <w:spacing w:after="0" w:line="103" w:lineRule="exact"/>
        <w:rPr>
          <w:sz w:val="20"/>
          <w:szCs w:val="20"/>
          <w:color w:val="auto"/>
        </w:rPr>
      </w:pPr>
    </w:p>
    <w:p>
      <w:pPr>
        <w:ind w:left="600" w:right="20" w:hanging="191"/>
        <w:spacing w:after="0" w:line="307"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Changes to Our 2003 Equity Plan. </w:t>
      </w:r>
      <w:r>
        <w:rPr>
          <w:rFonts w:ascii="Arial" w:cs="Arial" w:eastAsia="Arial" w:hAnsi="Arial"/>
          <w:sz w:val="12"/>
          <w:szCs w:val="12"/>
          <w:color w:val="auto"/>
        </w:rPr>
        <w:t>We amended our 2003 Equity Incentive Plan to provide that we may not reprice “underwater” stock options without stockholder consent or</w:t>
      </w:r>
      <w:r>
        <w:rPr>
          <w:rFonts w:ascii="Arial" w:cs="Arial" w:eastAsia="Arial" w:hAnsi="Arial"/>
          <w:sz w:val="12"/>
          <w:szCs w:val="12"/>
          <w:i w:val="1"/>
          <w:iCs w:val="1"/>
          <w:color w:val="auto"/>
        </w:rPr>
        <w:t xml:space="preserve"> </w:t>
      </w:r>
      <w:r>
        <w:rPr>
          <w:rFonts w:ascii="Arial" w:cs="Arial" w:eastAsia="Arial" w:hAnsi="Arial"/>
          <w:sz w:val="12"/>
          <w:szCs w:val="12"/>
          <w:color w:val="auto"/>
        </w:rPr>
        <w:t>pay dividends or dividend equivalents on unvested performance shares or units. In addition, the amendments increased the maximum number of shares of common stock which we may issue or award under the plan. Management needs the additional shares to incentivize and reward executives for performance.</w:t>
      </w:r>
    </w:p>
    <w:p>
      <w:pPr>
        <w:spacing w:after="0" w:line="31" w:lineRule="exact"/>
        <w:rPr>
          <w:rFonts w:ascii="Arial" w:cs="Arial" w:eastAsia="Arial" w:hAnsi="Arial"/>
          <w:sz w:val="12"/>
          <w:szCs w:val="12"/>
          <w:color w:val="auto"/>
        </w:rPr>
      </w:pPr>
    </w:p>
    <w:p>
      <w:pPr>
        <w:ind w:left="600" w:right="160" w:hanging="191"/>
        <w:spacing w:after="0" w:line="293"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Revised Compensation Committee Charter. </w:t>
      </w:r>
      <w:r>
        <w:rPr>
          <w:rFonts w:ascii="Arial" w:cs="Arial" w:eastAsia="Arial" w:hAnsi="Arial"/>
          <w:sz w:val="12"/>
          <w:szCs w:val="12"/>
          <w:color w:val="auto"/>
        </w:rPr>
        <w:t>We revised our Compensation Committee Charter to emphasize the Compensation Committee’s responsibility to ensure that our</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compensation programs are designed with an appropriate balance of risk and reward in relation to the Company’s overall business strategy and do not encourage excessive risk-taking behavior. Pursuant to the revised charter, the Compensation Committee, at least annually, will review and approve an annual risk assessment of our compensation policies and practices. In addition, the revised charter provides that the Committee will take into account the results of the stockholder advisory votes on executive compensation (among other factors it deems relevant) in determining company policies and decisions for the executive officers.</w:t>
      </w:r>
    </w:p>
    <w:p>
      <w:pPr>
        <w:spacing w:after="0" w:line="39" w:lineRule="exact"/>
        <w:rPr>
          <w:rFonts w:ascii="Arial" w:cs="Arial" w:eastAsia="Arial" w:hAnsi="Arial"/>
          <w:sz w:val="12"/>
          <w:szCs w:val="12"/>
          <w:color w:val="auto"/>
        </w:rPr>
      </w:pPr>
    </w:p>
    <w:p>
      <w:pPr>
        <w:ind w:left="600" w:right="60" w:hanging="191"/>
        <w:spacing w:after="0" w:line="291"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Successful Succession Planning. </w:t>
      </w:r>
      <w:r>
        <w:rPr>
          <w:rFonts w:ascii="Arial" w:cs="Arial" w:eastAsia="Arial" w:hAnsi="Arial"/>
          <w:sz w:val="13"/>
          <w:szCs w:val="13"/>
          <w:color w:val="auto"/>
        </w:rPr>
        <w:t>We recruited and hired Peter Arduini, a veteran device-industry executive with significant operating experience, to fill the vacancy that arose</w:t>
      </w:r>
      <w:r>
        <w:rPr>
          <w:rFonts w:ascii="Arial" w:cs="Arial" w:eastAsia="Arial" w:hAnsi="Arial"/>
          <w:sz w:val="13"/>
          <w:szCs w:val="13"/>
          <w:i w:val="1"/>
          <w:iCs w:val="1"/>
          <w:color w:val="auto"/>
        </w:rPr>
        <w:t xml:space="preserve"> </w:t>
      </w:r>
      <w:r>
        <w:rPr>
          <w:rFonts w:ascii="Arial" w:cs="Arial" w:eastAsia="Arial" w:hAnsi="Arial"/>
          <w:sz w:val="13"/>
          <w:szCs w:val="13"/>
          <w:color w:val="auto"/>
        </w:rPr>
        <w:t>when our Chief Operating Officer retired, and we extended the term of our employment agreement with our Chief Financial Officer.</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27" w:name="page28"/>
    <w:bookmarkEnd w:id="27"/>
    <w:p>
      <w:pPr>
        <w:ind w:left="600" w:right="120" w:hanging="191"/>
        <w:spacing w:after="0" w:line="291"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Competitive Pay Practices. </w:t>
      </w:r>
      <w:r>
        <w:rPr>
          <w:rFonts w:ascii="Arial" w:cs="Arial" w:eastAsia="Arial" w:hAnsi="Arial"/>
          <w:sz w:val="13"/>
          <w:szCs w:val="13"/>
          <w:color w:val="auto"/>
        </w:rPr>
        <w:t>The Compensation Committee engaged Towers Watson to provide guidance in updating our peer groups and to provide competitive market data</w:t>
      </w:r>
      <w:r>
        <w:rPr>
          <w:rFonts w:ascii="Arial" w:cs="Arial" w:eastAsia="Arial" w:hAnsi="Arial"/>
          <w:sz w:val="13"/>
          <w:szCs w:val="13"/>
          <w:i w:val="1"/>
          <w:iCs w:val="1"/>
          <w:color w:val="auto"/>
        </w:rPr>
        <w:t xml:space="preserve"> </w:t>
      </w:r>
      <w:r>
        <w:rPr>
          <w:rFonts w:ascii="Arial" w:cs="Arial" w:eastAsia="Arial" w:hAnsi="Arial"/>
          <w:sz w:val="13"/>
          <w:szCs w:val="13"/>
          <w:color w:val="auto"/>
        </w:rPr>
        <w:t>on compensation of chief executive officers, chief financial officers and chief operating officers in the medical device industry.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of Policies Contributing to Good Governance Practices</w:t>
      </w:r>
    </w:p>
    <w:p>
      <w:pPr>
        <w:spacing w:after="0" w:line="103" w:lineRule="exact"/>
        <w:rPr>
          <w:sz w:val="20"/>
          <w:szCs w:val="20"/>
          <w:color w:val="auto"/>
        </w:rPr>
      </w:pPr>
    </w:p>
    <w:p>
      <w:pPr>
        <w:ind w:left="600" w:right="40" w:hanging="191"/>
        <w:spacing w:after="0" w:line="27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We include equity as a primary component of our compensation program. Our use of equity awards allows us to retain and attract highly qualified executives.</w:t>
      </w:r>
      <w:r>
        <w:rPr>
          <w:rFonts w:ascii="Arial" w:cs="Arial" w:eastAsia="Arial" w:hAnsi="Arial"/>
          <w:sz w:val="13"/>
          <w:szCs w:val="13"/>
          <w:i w:val="1"/>
          <w:iCs w:val="1"/>
          <w:color w:val="auto"/>
        </w:rPr>
        <w:t xml:space="preserve"> </w:t>
      </w:r>
      <w:r>
        <w:rPr>
          <w:rFonts w:ascii="Arial" w:cs="Arial" w:eastAsia="Arial" w:hAnsi="Arial"/>
          <w:sz w:val="13"/>
          <w:szCs w:val="13"/>
          <w:color w:val="auto"/>
        </w:rPr>
        <w:t>In addition, the use of equity awards as a component of compensation directly ties each of our key executives’ performance to the performance of our stock and thus synchronizes their interests with the interests of our stockholders.</w:t>
      </w:r>
    </w:p>
    <w:p>
      <w:pPr>
        <w:spacing w:after="0" w:line="48" w:lineRule="exact"/>
        <w:rPr>
          <w:rFonts w:ascii="Arial" w:cs="Arial" w:eastAsia="Arial" w:hAnsi="Arial"/>
          <w:sz w:val="13"/>
          <w:szCs w:val="13"/>
          <w:color w:val="auto"/>
        </w:rPr>
      </w:pPr>
    </w:p>
    <w:p>
      <w:pPr>
        <w:ind w:left="600" w:right="20" w:hanging="191"/>
        <w:spacing w:after="0" w:line="291"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w:t>
      </w:r>
      <w:r>
        <w:rPr>
          <w:rFonts w:ascii="Arial" w:cs="Arial" w:eastAsia="Arial" w:hAnsi="Arial"/>
          <w:sz w:val="13"/>
          <w:szCs w:val="13"/>
          <w:color w:val="auto"/>
        </w:rPr>
        <w:t>We have a strong risk management program with specific responsibilities assigned to management, the Board and the Board’s committees. We review how</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assesses, addresses and reports risks annually with the Board.</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Annual Election of Directors. </w:t>
      </w:r>
      <w:r>
        <w:rPr>
          <w:rFonts w:ascii="Arial" w:cs="Arial" w:eastAsia="Arial" w:hAnsi="Arial"/>
          <w:sz w:val="13"/>
          <w:szCs w:val="13"/>
          <w:color w:val="auto"/>
        </w:rPr>
        <w:t>We hold elections for all of the members of our board every year.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Separation of Board Chair and Chief Executive Officer Positions</w:t>
      </w:r>
      <w:r>
        <w:rPr>
          <w:rFonts w:ascii="Arial" w:cs="Arial" w:eastAsia="Arial" w:hAnsi="Arial"/>
          <w:sz w:val="13"/>
          <w:szCs w:val="13"/>
          <w:color w:val="auto"/>
        </w:rPr>
        <w:t>. We have operated with these roles separated for over ten years.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Board of Director Meetings. </w:t>
      </w:r>
      <w:r>
        <w:rPr>
          <w:rFonts w:ascii="Arial" w:cs="Arial" w:eastAsia="Arial" w:hAnsi="Arial"/>
          <w:sz w:val="13"/>
          <w:szCs w:val="13"/>
          <w:color w:val="auto"/>
        </w:rPr>
        <w:t>Our Board meets regularly in executive session without management present.</w:t>
      </w:r>
    </w:p>
    <w:p>
      <w:pPr>
        <w:spacing w:after="0" w:line="90" w:lineRule="exact"/>
        <w:rPr>
          <w:rFonts w:ascii="Arial" w:cs="Arial" w:eastAsia="Arial" w:hAnsi="Arial"/>
          <w:sz w:val="13"/>
          <w:szCs w:val="13"/>
          <w:color w:val="auto"/>
        </w:rPr>
      </w:pPr>
    </w:p>
    <w:p>
      <w:pPr>
        <w:ind w:left="600" w:right="60" w:hanging="191"/>
        <w:spacing w:after="0" w:line="336" w:lineRule="auto"/>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Stock Ownership. </w:t>
      </w:r>
      <w:r>
        <w:rPr>
          <w:rFonts w:ascii="Arial" w:cs="Arial" w:eastAsia="Arial" w:hAnsi="Arial"/>
          <w:sz w:val="12"/>
          <w:szCs w:val="12"/>
          <w:color w:val="auto"/>
        </w:rPr>
        <w:t>In order to align our executive officers’ interests more closely with those of our stockholders, they must meet stock ownership guidelines, described below.</w:t>
      </w:r>
      <w:r>
        <w:rPr>
          <w:rFonts w:ascii="Arial" w:cs="Arial" w:eastAsia="Arial" w:hAnsi="Arial"/>
          <w:sz w:val="12"/>
          <w:szCs w:val="12"/>
          <w:i w:val="1"/>
          <w:iCs w:val="1"/>
          <w:color w:val="auto"/>
        </w:rPr>
        <w:t xml:space="preserve"> </w:t>
      </w:r>
      <w:r>
        <w:rPr>
          <w:rFonts w:ascii="Arial" w:cs="Arial" w:eastAsia="Arial" w:hAnsi="Arial"/>
          <w:sz w:val="12"/>
          <w:szCs w:val="12"/>
          <w:color w:val="auto"/>
        </w:rPr>
        <w:t>Each executive officer has exceeded his/her applicable stock ownership goal. Our Chief Executive Officer holds a significant amount of our equity.</w:t>
      </w:r>
    </w:p>
    <w:p>
      <w:pPr>
        <w:spacing w:after="0" w:line="14" w:lineRule="exact"/>
        <w:rPr>
          <w:rFonts w:ascii="Arial" w:cs="Arial" w:eastAsia="Arial" w:hAnsi="Arial"/>
          <w:sz w:val="12"/>
          <w:szCs w:val="12"/>
          <w:color w:val="auto"/>
        </w:rPr>
      </w:pPr>
    </w:p>
    <w:p>
      <w:pPr>
        <w:ind w:left="600" w:hanging="191"/>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Independent Compensation Consultant. </w:t>
      </w:r>
      <w:r>
        <w:rPr>
          <w:rFonts w:ascii="Arial" w:cs="Arial" w:eastAsia="Arial" w:hAnsi="Arial"/>
          <w:sz w:val="12"/>
          <w:szCs w:val="12"/>
          <w:color w:val="auto"/>
        </w:rPr>
        <w:t>Our Compensation Committee uses the services of an independent consultant that does not perform services for management.</w:t>
      </w:r>
    </w:p>
    <w:p>
      <w:pPr>
        <w:spacing w:after="0" w:line="102" w:lineRule="exact"/>
        <w:rPr>
          <w:rFonts w:ascii="Arial" w:cs="Arial" w:eastAsia="Arial" w:hAnsi="Arial"/>
          <w:sz w:val="12"/>
          <w:szCs w:val="12"/>
          <w:color w:val="auto"/>
        </w:rPr>
      </w:pPr>
    </w:p>
    <w:p>
      <w:pPr>
        <w:ind w:left="600" w:right="280" w:hanging="191"/>
        <w:spacing w:after="0" w:line="27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Holding Period. </w:t>
      </w:r>
      <w:r>
        <w:rPr>
          <w:rFonts w:ascii="Arial" w:cs="Arial" w:eastAsia="Arial" w:hAnsi="Arial"/>
          <w:sz w:val="13"/>
          <w:szCs w:val="13"/>
          <w:color w:val="auto"/>
        </w:rPr>
        <w:t>Although we do not have a formal policy requiring executives to hold stock for a specified period following the applicable vesting period, a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amount of our Chief Executive Officer’s compensation (including all of his annual equity awards granted since 2008) is, or when vested will be, deferred until six months following his separation of service.</w:t>
      </w:r>
    </w:p>
    <w:p>
      <w:pPr>
        <w:spacing w:after="0" w:line="48" w:lineRule="exact"/>
        <w:rPr>
          <w:rFonts w:ascii="Arial" w:cs="Arial" w:eastAsia="Arial" w:hAnsi="Arial"/>
          <w:sz w:val="13"/>
          <w:szCs w:val="13"/>
          <w:color w:val="auto"/>
        </w:rPr>
      </w:pPr>
    </w:p>
    <w:p>
      <w:pPr>
        <w:ind w:left="600" w:hanging="191"/>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No SERP. </w:t>
      </w:r>
      <w:r>
        <w:rPr>
          <w:rFonts w:ascii="Arial" w:cs="Arial" w:eastAsia="Arial" w:hAnsi="Arial"/>
          <w:sz w:val="13"/>
          <w:szCs w:val="13"/>
          <w:color w:val="auto"/>
        </w:rPr>
        <w:t>We do not offer supplemental executive retirement programs to our executives.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Historically, we have not paid our named executive officers bonuses in excess of their target.</w:t>
      </w:r>
    </w:p>
    <w:p>
      <w:pPr>
        <w:spacing w:after="0" w:line="90" w:lineRule="exact"/>
        <w:rPr>
          <w:rFonts w:ascii="Arial" w:cs="Arial" w:eastAsia="Arial" w:hAnsi="Arial"/>
          <w:sz w:val="13"/>
          <w:szCs w:val="13"/>
          <w:color w:val="auto"/>
        </w:rPr>
      </w:pPr>
    </w:p>
    <w:p>
      <w:pPr>
        <w:ind w:left="600" w:right="40" w:hanging="191"/>
        <w:spacing w:after="0" w:line="291"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Change in Control Agreements are Governed by Double Trigger Arrangements</w:t>
      </w:r>
      <w:r>
        <w:rPr>
          <w:rFonts w:ascii="Arial" w:cs="Arial" w:eastAsia="Arial" w:hAnsi="Arial"/>
          <w:sz w:val="13"/>
          <w:szCs w:val="13"/>
          <w:color w:val="auto"/>
        </w:rPr>
        <w:t>. All change in control provisions in our employment and severance agreements for executives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 a termination of employment in addition to a change in control of the Company before triggering change in control benefits.</w:t>
      </w:r>
    </w:p>
    <w:p>
      <w:pPr>
        <w:spacing w:after="0" w:line="38" w:lineRule="exact"/>
        <w:rPr>
          <w:rFonts w:ascii="Arial" w:cs="Arial" w:eastAsia="Arial" w:hAnsi="Arial"/>
          <w:sz w:val="13"/>
          <w:szCs w:val="13"/>
          <w:color w:val="auto"/>
        </w:rPr>
      </w:pPr>
    </w:p>
    <w:p>
      <w:pPr>
        <w:ind w:left="600" w:right="220" w:hanging="191"/>
        <w:spacing w:after="0" w:line="27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No Excise Tax Gross-Ups in New or Amended Employment Agreements</w:t>
      </w:r>
      <w:r>
        <w:rPr>
          <w:rFonts w:ascii="Arial" w:cs="Arial" w:eastAsia="Arial" w:hAnsi="Arial"/>
          <w:sz w:val="13"/>
          <w:szCs w:val="13"/>
          <w:color w:val="auto"/>
        </w:rPr>
        <w:t>. We did not provide for any tax gross-up provisions in the employment agreement for our new</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and Chief Operating Officer. In addition, when we extended the employment agreement for our Chief Financial Officer, we removed the tax gross-up provisions. Currently, only the employment agreement with our Chief Executive Officer provides for an excise tax gross-up.</w:t>
      </w:r>
    </w:p>
    <w:p>
      <w:pPr>
        <w:spacing w:after="0" w:line="48" w:lineRule="exact"/>
        <w:rPr>
          <w:rFonts w:ascii="Arial" w:cs="Arial" w:eastAsia="Arial" w:hAnsi="Arial"/>
          <w:sz w:val="13"/>
          <w:szCs w:val="13"/>
          <w:color w:val="auto"/>
        </w:rPr>
      </w:pPr>
    </w:p>
    <w:p>
      <w:pPr>
        <w:ind w:left="600" w:hanging="191"/>
        <w:spacing w:after="0" w:line="265"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No Significant Perquisites Offered. </w:t>
      </w:r>
      <w:r>
        <w:rPr>
          <w:rFonts w:ascii="Arial" w:cs="Arial" w:eastAsia="Arial" w:hAnsi="Arial"/>
          <w:sz w:val="13"/>
          <w:szCs w:val="13"/>
          <w:color w:val="auto"/>
        </w:rPr>
        <w:t>We provide our named executive officers with very few perquisites (i.e., generally only employer matching contributions to our 401(k)</w:t>
      </w:r>
      <w:r>
        <w:rPr>
          <w:rFonts w:ascii="Arial" w:cs="Arial" w:eastAsia="Arial" w:hAnsi="Arial"/>
          <w:sz w:val="13"/>
          <w:szCs w:val="13"/>
          <w:i w:val="1"/>
          <w:iCs w:val="1"/>
          <w:color w:val="auto"/>
        </w:rPr>
        <w:t xml:space="preserve"> </w:t>
      </w:r>
      <w:r>
        <w:rPr>
          <w:rFonts w:ascii="Arial" w:cs="Arial" w:eastAsia="Arial" w:hAnsi="Arial"/>
          <w:sz w:val="13"/>
          <w:szCs w:val="13"/>
          <w:color w:val="auto"/>
        </w:rPr>
        <w:t>plan), which are immaterial and other benefits not generally available to other employees. Our executives participate in broad-based Company-sponsored benefits programs on the same basis as other full-time employees. That said, we did provide an allowance for certain relocation expenses (but no home buyout) and reimbursement of certain commuting and legal expenses in the employment agreement for our new President and Chief Operating Officer to help offset some of the costs incurred as a result of his hiring and relocation. (See “2010 Employment Agreement and Severance Matters” below.)</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40" w:right="1039" w:bottom="1440" w:gutter="0" w:footer="0" w:header="0"/>
        </w:sectPr>
      </w:pPr>
    </w:p>
    <w:bookmarkStart w:id="28" w:name="page29"/>
    <w:bookmarkEnd w:id="28"/>
    <w:p>
      <w:pPr>
        <w:ind w:left="600" w:right="20" w:hanging="191"/>
        <w:spacing w:after="0" w:line="291"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Pre-clearance of Executive Officer Transactions Involving Our Common Stock</w:t>
      </w:r>
      <w:r>
        <w:rPr>
          <w:rFonts w:ascii="Arial" w:cs="Arial" w:eastAsia="Arial" w:hAnsi="Arial"/>
          <w:sz w:val="13"/>
          <w:szCs w:val="13"/>
          <w:color w:val="auto"/>
        </w:rPr>
        <w:t>. Before an executive officer may initiate a transaction involving our common stock, we require</w:t>
      </w:r>
      <w:r>
        <w:rPr>
          <w:rFonts w:ascii="Arial" w:cs="Arial" w:eastAsia="Arial" w:hAnsi="Arial"/>
          <w:sz w:val="13"/>
          <w:szCs w:val="13"/>
          <w:i w:val="1"/>
          <w:iCs w:val="1"/>
          <w:color w:val="auto"/>
        </w:rPr>
        <w:t xml:space="preserve"> </w:t>
      </w:r>
      <w:r>
        <w:rPr>
          <w:rFonts w:ascii="Arial" w:cs="Arial" w:eastAsia="Arial" w:hAnsi="Arial"/>
          <w:sz w:val="13"/>
          <w:szCs w:val="13"/>
          <w:color w:val="auto"/>
        </w:rPr>
        <w:t>that our law department clear the transaction.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Philosophy</w:t>
      </w:r>
    </w:p>
    <w:p>
      <w:pPr>
        <w:spacing w:after="0" w:line="10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without encouraging excessive and unnecessary risk-taking behaviors. The Compensation Committee considered compensation risk implications during its deliberations on the design of our 2010 and 2011 executive compensation programs with the goal of appropriately balancing short-term incentives and long-term performance. See “Risk Assessment Regarding Compensation Policies and Practices” above for information regarding our review of our employee compensation programs.</w:t>
      </w:r>
    </w:p>
    <w:p>
      <w:pPr>
        <w:spacing w:after="0" w:line="65"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Our use of equity-based awards that vest over time also encourages key executives to remain in our employ. We require our named executive officers to enter into non-competition or other restrictive covenants with us, a practice that we believe should limit the possibility of losing them to our closest competitors. We also encourage executives to act as equity owners through our stock ownership guidelines described later in this discussion.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Role of Executive Officers in Compensation Process</w:t>
      </w:r>
    </w:p>
    <w:p>
      <w:pPr>
        <w:spacing w:after="0" w:line="103" w:lineRule="exact"/>
        <w:rPr>
          <w:sz w:val="20"/>
          <w:szCs w:val="20"/>
          <w:color w:val="auto"/>
        </w:rPr>
      </w:pPr>
    </w:p>
    <w:p>
      <w:pPr>
        <w:ind w:right="300" w:firstLine="399"/>
        <w:spacing w:after="0" w:line="274" w:lineRule="auto"/>
        <w:rPr>
          <w:sz w:val="20"/>
          <w:szCs w:val="20"/>
          <w:color w:val="auto"/>
        </w:rPr>
      </w:pPr>
      <w:r>
        <w:rPr>
          <w:rFonts w:ascii="Arial" w:cs="Arial" w:eastAsia="Arial" w:hAnsi="Arial"/>
          <w:sz w:val="13"/>
          <w:szCs w:val="13"/>
          <w:color w:val="auto"/>
        </w:rPr>
        <w:t>Our Chief Executive Officer provides significant input on the compensation, including annual merit adjustments and equity awards, for his direct reports and the other named executive officers. In addition, he attends meetings of the Compensation Committee. As discussed below under “Annual Review of Compensation,” the Compensation Committee approves the compensation of the named executive officers, taking into consideration the recommendations of our Chief Executive Officer.</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Consultants</w:t>
      </w:r>
    </w:p>
    <w:p>
      <w:pPr>
        <w:spacing w:after="0" w:line="103" w:lineRule="exact"/>
        <w:rPr>
          <w:sz w:val="20"/>
          <w:szCs w:val="20"/>
          <w:color w:val="auto"/>
        </w:rPr>
      </w:pPr>
    </w:p>
    <w:p>
      <w:pPr>
        <w:ind w:right="120" w:firstLine="399"/>
        <w:spacing w:after="0" w:line="262" w:lineRule="auto"/>
        <w:rPr>
          <w:sz w:val="20"/>
          <w:szCs w:val="20"/>
          <w:color w:val="auto"/>
        </w:rPr>
      </w:pPr>
      <w:r>
        <w:rPr>
          <w:rFonts w:ascii="Arial" w:cs="Arial" w:eastAsia="Arial" w:hAnsi="Arial"/>
          <w:sz w:val="13"/>
          <w:szCs w:val="13"/>
          <w:color w:val="auto"/>
        </w:rPr>
        <w:t>During 2011, the Compensation Committee of the Board of Directors engaged Towers Watson (the surviving entity after the merger of Towers Perrin and Watson Wyatt &amp; Company) to provide consulting services on the Compensation Discussion and Analysis and Say on Pay proposal, as well as the Summary of Potential Payments table in this proxy statement. During 2010 and 2008, the Compensation Committee engaged Towers Watson and Watson Wyatt &amp; Company, respectively, to advise it in connection with a review of the Company’s 2003 Equity Incentive Plan. In addition, during 2010, the Compensation Committee engaged Towers Watson to advise it in connection with the Company’s employment agreement with Mr. Arduini, the extension of the employment agreement with Mr. Henneman and a review of non-employee director compensation. Further, during 2008, the Compensation Committee engaged Watson Wyatt &amp; Company to advise it in connection with the extension of the Company’s employment agreements with Messrs. Essig, Carlozzi and Henneman. The Compensation Committee also called upon Watson Wyatt &amp; Company in 2008 to provide consulting services on the Compensation Discussion and Analysis part of the 2008 proxy statement.</w:t>
      </w:r>
    </w:p>
    <w:p>
      <w:pPr>
        <w:spacing w:after="0" w:line="67"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During 2010, 2009 and 2008, Watson Wyatt &amp; Company served as a consultant to the Company in connection with the preparation of the Summary of Potential Payments table in the proxy statement.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During 2009, the Board of Directors engaged Watson Wyatt &amp; Company to advise it on management development and succession planning matters.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Other Companies</w:t>
      </w:r>
    </w:p>
    <w:p>
      <w:pPr>
        <w:spacing w:after="0" w:line="103"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Our Compensation Committee considers the compensation practices of other companies in our industry in determining the compensation for our executive officers. This consideration generally occurs in connection with our entering into employment or severance agreements with executive officers, rather than on an annual basis. The Committee generally considers market compensation of other companies in our industry when reviewing base salaries of our executives. In 2010 and 2008 the Committee reviewed competitive market data provided by Towers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29" w:name="page30"/>
    <w:bookmarkEnd w:id="29"/>
    <w:p>
      <w:pPr>
        <w:ind w:right="20"/>
        <w:spacing w:after="0" w:line="264" w:lineRule="auto"/>
        <w:rPr>
          <w:sz w:val="20"/>
          <w:szCs w:val="20"/>
          <w:color w:val="auto"/>
        </w:rPr>
      </w:pPr>
      <w:r>
        <w:rPr>
          <w:rFonts w:ascii="Arial" w:cs="Arial" w:eastAsia="Arial" w:hAnsi="Arial"/>
          <w:sz w:val="13"/>
          <w:szCs w:val="13"/>
          <w:color w:val="auto"/>
        </w:rPr>
        <w:t>Watson and Watson Wyatt &amp; Company, respectively, on two peer groups of companies in connection with (i) the employment agreement with Mr. Arduini and the extension of the employment agreement with Mr. Henneman and (ii) the extension of the employment agreements with Messrs. Essig, Carlozzi and Henneman, respectively. See “2010 Employment Agreement and Severance Agreement Matters” and “2008 Employment Agreement and Severance Agreement Matters.” In each case, the Compensation Committee approved the composition of the two peer groups, which we most recently updated in 2010 to reflect mergers, acquisitions and changes in size and competitive markets. While the Compensation Committee and the Chief Executive Officer review this data, the Company does not target its executives’ base salaries or other compensation at a specific percentile of market salaries or any particular group of companies.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companies in the 2010 peer groups included the following:</w:t>
      </w:r>
    </w:p>
    <w:p>
      <w:pPr>
        <w:sectPr>
          <w:pgSz w:w="11900" w:h="16838" w:orient="portrait"/>
          <w:cols w:equalWidth="0" w:num="1">
            <w:col w:w="9920"/>
          </w:cols>
          <w:pgMar w:left="900" w:top="730" w:right="107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imilar-Sized Peers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L</w:t>
      </w:r>
      <w:r>
        <w:rPr>
          <w:rFonts w:ascii="Arial" w:cs="Arial" w:eastAsia="Arial" w:hAnsi="Arial"/>
          <w:sz w:val="9"/>
          <w:szCs w:val="9"/>
          <w:b w:val="1"/>
          <w:bCs w:val="1"/>
          <w:color w:val="auto"/>
        </w:rPr>
        <w:t>arge Company Peers</w:t>
      </w:r>
    </w:p>
    <w:p>
      <w:pPr>
        <w:spacing w:after="0" w:line="73" w:lineRule="exact"/>
        <w:rPr>
          <w:sz w:val="20"/>
          <w:szCs w:val="20"/>
          <w:color w:val="auto"/>
        </w:rPr>
      </w:pPr>
    </w:p>
    <w:p>
      <w:pPr>
        <w:sectPr>
          <w:pgSz w:w="11900" w:h="16838" w:orient="portrait"/>
          <w:cols w:equalWidth="0" w:num="2">
            <w:col w:w="4480" w:space="720"/>
            <w:col w:w="4720"/>
          </w:cols>
          <w:pgMar w:left="900" w:top="730" w:right="1079" w:bottom="1440" w:gutter="0" w:footer="0" w:header="0"/>
          <w:type w:val="continuous"/>
        </w:sectPr>
      </w:pPr>
    </w:p>
    <w:p>
      <w:pPr>
        <w:spacing w:after="0"/>
        <w:rPr>
          <w:sz w:val="20"/>
          <w:szCs w:val="20"/>
          <w:color w:val="auto"/>
        </w:rPr>
      </w:pPr>
      <w:r>
        <w:rPr>
          <w:rFonts w:ascii="Arial" w:cs="Arial" w:eastAsia="Arial" w:hAnsi="Arial"/>
          <w:sz w:val="13"/>
          <w:szCs w:val="13"/>
          <w:color w:val="auto"/>
        </w:rPr>
        <w:t>Alere Inc. (formerly known as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Inverness Medical Innovations, Inc.)</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American Medical Systems Holdings,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ArthroCare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CONMED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Edwards Lifesciences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Haemonetics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Hill-Rom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Hologic,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NuVasive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ResMed,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STERIS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Cooper Companies,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Wright Medical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Baxter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Becton, Dickinson and Company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Boston Scientific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C.R. Bard,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CareFusion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Covidien Public Limited Company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Hospira,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Medtronic,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St. Jude Medical,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Stryker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Zimmer Holdings, Inc.</w:t>
      </w:r>
    </w:p>
    <w:p>
      <w:pPr>
        <w:spacing w:after="0" w:line="648" w:lineRule="exact"/>
        <w:rPr>
          <w:sz w:val="20"/>
          <w:szCs w:val="20"/>
          <w:color w:val="auto"/>
        </w:rPr>
      </w:pPr>
    </w:p>
    <w:p>
      <w:pPr>
        <w:sectPr>
          <w:pgSz w:w="11900" w:h="16838" w:orient="portrait"/>
          <w:cols w:equalWidth="0" w:num="2">
            <w:col w:w="4480" w:space="720"/>
            <w:col w:w="4720"/>
          </w:cols>
          <w:pgMar w:left="900" w:top="730" w:right="10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Elements of Compensation</w:t>
      </w:r>
    </w:p>
    <w:p>
      <w:pPr>
        <w:spacing w:after="0" w:line="103"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Our executive compensation program contains the following elements: (1) base salary, (2) annual incentives in the form of bonus and/or incentive compensation plan payments, cash bonuses, equity-based awards or a combination of the above and (3) long-term equity-based incentives in the form of stock options, restricted stock, performance stock and other forms of equity. The Compensation Committee reviews these elements of compensation annually.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jc w:val="both"/>
        <w:ind w:firstLine="399"/>
        <w:spacing w:after="0" w:line="293" w:lineRule="auto"/>
        <w:rPr>
          <w:sz w:val="20"/>
          <w:szCs w:val="20"/>
          <w:color w:val="auto"/>
        </w:rPr>
      </w:pPr>
      <w:r>
        <w:rPr>
          <w:rFonts w:ascii="Arial" w:cs="Arial" w:eastAsia="Arial" w:hAnsi="Arial"/>
          <w:sz w:val="12"/>
          <w:szCs w:val="12"/>
          <w:color w:val="auto"/>
        </w:rPr>
        <w:t>We have relied upon historical practices and survey data to set salaries so as to attract and retain the members of our senior management team. We have considered base salaries for comparable positions or responsibilities at other medical device companies, based on the data obtained from published salary survey sources that we consult, the proxy statements of the companies mentioned above and other peer-group companies and/or materials that the Compensation Committee’s compensation consultant prepared relying upon such data. We use this data primarily to ensure that our executive compensation program as a whole is competitive. We do not establish rigid targets for total compensation or any individual element of our executive compensation program, and we do not aim to fix our base salaries to a targeted percentile of compensation for similar medical device executives.</w:t>
      </w:r>
    </w:p>
    <w:p>
      <w:pPr>
        <w:spacing w:after="0" w:line="49"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The Compensation Committee reviews base salaries annually, but it does not automatically increase them if the Compensation Committee believes that other elements of compensation are more appropriate in light of our stated objectives or if increases are not warranted. We consider market factors, individual and Company performance, rate of inflation, responsibilities and experience when considering merit- or promotion-related increases.</w:t>
      </w:r>
    </w:p>
    <w:p>
      <w:pPr>
        <w:spacing w:after="0" w:line="59" w:lineRule="exact"/>
        <w:rPr>
          <w:sz w:val="20"/>
          <w:szCs w:val="20"/>
          <w:color w:val="auto"/>
        </w:rPr>
      </w:pPr>
    </w:p>
    <w:p>
      <w:pPr>
        <w:ind w:right="60" w:firstLine="399"/>
        <w:spacing w:after="0" w:line="336" w:lineRule="auto"/>
        <w:rPr>
          <w:sz w:val="20"/>
          <w:szCs w:val="20"/>
          <w:color w:val="auto"/>
        </w:rPr>
      </w:pPr>
      <w:r>
        <w:rPr>
          <w:rFonts w:ascii="Arial" w:cs="Arial" w:eastAsia="Arial" w:hAnsi="Arial"/>
          <w:sz w:val="12"/>
          <w:szCs w:val="12"/>
          <w:color w:val="auto"/>
        </w:rPr>
        <w:t>In addition, in determining salaries for 2010 for Messrs. Essig, Carlozzi and Henneman, the Compensation Committee considered the extent to which the Company achieved the goals assigned to these executives for 2009 and the extent to which the individuals contributed to the achievement of those goals. No weightings were assigned, as the</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type w:val="continuous"/>
        </w:sectPr>
      </w:pPr>
    </w:p>
    <w:bookmarkStart w:id="30" w:name="page31"/>
    <w:bookmarkEnd w:id="30"/>
    <w:p>
      <w:pPr>
        <w:ind w:right="20"/>
        <w:spacing w:after="0" w:line="263" w:lineRule="auto"/>
        <w:rPr>
          <w:sz w:val="20"/>
          <w:szCs w:val="20"/>
          <w:color w:val="auto"/>
        </w:rPr>
      </w:pPr>
      <w:r>
        <w:rPr>
          <w:rFonts w:ascii="Arial" w:cs="Arial" w:eastAsia="Arial" w:hAnsi="Arial"/>
          <w:sz w:val="13"/>
          <w:szCs w:val="13"/>
          <w:color w:val="auto"/>
        </w:rPr>
        <w:t>Compensation Committee viewed the objectives in the aggregate, with emphasis on the qualitative goals. In addition, the Compensation Committee considered the Company’s long-term performance and overall accomplishments. See “Annual Review of Compensation” and “2010 Named Executive Officer Compensation — Base Salaries” below for additional information. Further, the Compensation Committee considered the fact that, because of economic conditions, (i) it did not increase the base salaries of Mr. Corbin and Ms. O’Grady during 2009 and (ii) it reduced the 2009 base salaries for Messrs. Essig, Carlozzi and Henneman to their respective 2008 base salary levels, pursuant to the April 2009 amendments to their respective employment agreements. (See “2009 Employment Agreement Matters” and “2010 Named Executive Officer Compensation — Base Salaries” below.) In determining the 2010 salary for Mr. Arduini, the Compensation Committee consulted with Towers Watson on competitive market data, and considered his salary at his prior employer and other factors. See “2010 Employment Agreement and Severance Agreement Matters.”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Annual Cash Incentives</w:t>
      </w:r>
    </w:p>
    <w:p>
      <w:pPr>
        <w:spacing w:after="0" w:line="101" w:lineRule="exact"/>
        <w:rPr>
          <w:sz w:val="20"/>
          <w:szCs w:val="20"/>
          <w:color w:val="auto"/>
        </w:rPr>
      </w:pPr>
    </w:p>
    <w:p>
      <w:pPr>
        <w:ind w:right="20" w:firstLine="399"/>
        <w:spacing w:after="0" w:line="297" w:lineRule="auto"/>
        <w:rPr>
          <w:sz w:val="20"/>
          <w:szCs w:val="20"/>
          <w:color w:val="auto"/>
        </w:rPr>
      </w:pPr>
      <w:r>
        <w:rPr>
          <w:rFonts w:ascii="Arial" w:cs="Arial" w:eastAsia="Arial" w:hAnsi="Arial"/>
          <w:sz w:val="12"/>
          <w:szCs w:val="12"/>
          <w:color w:val="auto"/>
        </w:rPr>
        <w:t>Because our Company has grown and become recognized as a market leader in our industry, we need to pay competitively to retain our top executives and attract new ones. We pay discretionary cash bonuses to many of our executives, but not including the Chief Executive Officer, President and Chief Operating Officer and Chief Financial Officer and (until his retirement) our former Chief Operating Officer, all of whom have or had bonus provisions in their employment agreements. These forms of compensation create annual incentive opportunities tied to objectives that are designed to help us achieve our short-term plans to grow the business and increase stockholder value.</w:t>
      </w:r>
    </w:p>
    <w:p>
      <w:pPr>
        <w:spacing w:after="0" w:line="48"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i w:val="1"/>
          <w:iCs w:val="1"/>
          <w:color w:val="auto"/>
        </w:rPr>
        <w:t xml:space="preserve">Cash Bonuses for Executives with Employment Agreements. </w:t>
      </w:r>
      <w:r>
        <w:rPr>
          <w:rFonts w:ascii="Arial" w:cs="Arial" w:eastAsia="Arial" w:hAnsi="Arial"/>
          <w:sz w:val="12"/>
          <w:szCs w:val="12"/>
          <w:color w:val="auto"/>
        </w:rPr>
        <w:t>We believe that paying cash bonuses accomplishes the goal of creating annual incentives, and we further believe that</w:t>
      </w:r>
      <w:r>
        <w:rPr>
          <w:rFonts w:ascii="Arial" w:cs="Arial" w:eastAsia="Arial" w:hAnsi="Arial"/>
          <w:sz w:val="12"/>
          <w:szCs w:val="12"/>
          <w:i w:val="1"/>
          <w:iCs w:val="1"/>
          <w:color w:val="auto"/>
        </w:rPr>
        <w:t xml:space="preserve"> </w:t>
      </w:r>
      <w:r>
        <w:rPr>
          <w:rFonts w:ascii="Arial" w:cs="Arial" w:eastAsia="Arial" w:hAnsi="Arial"/>
          <w:sz w:val="12"/>
          <w:szCs w:val="12"/>
          <w:color w:val="auto"/>
        </w:rPr>
        <w:t>this form of compensation is similar to what other companies offer in our industry. The employment agreements that we entered into with our Chief Executive Officer (Mr. Essig), our President and Chief Operating Officer (Mr. Arduini), our Chief Financial Officer (Mr. Henneman) and our former Chief Operating Officer (Mr. Carlozzi) provide for an annual cash bonus opportunity equal to a targeted percentage of base salary. For 2010, the targeted amounts were 100% for Mr. Essig and 50% for Messrs. Carlozzi and Henneman. Mr. Arduini, whom we hired effective November 1, 2010, was not eligible for a bonus for 2010 performance. We did, however, award him a cash signing bonus of $500,000 pursuant to the terms of his employment agreement. See “2010 Employment Agreement and Severance Agreement Matters.” After reviewing the 2010 Company and individual performance, the Compensation Committee determined to pay cash bonuses for 2010 to certain of our executives, including Messrs. Essig, Carlozzi and Henneman, pursuant to the terms of their respective employment agreements. No weightings were assigned to the 2010 objectives for these executives and the Committee viewed the objectives in the aggregate, with emphasis on the qualitative goals.</w:t>
      </w:r>
    </w:p>
    <w:p>
      <w:pPr>
        <w:spacing w:after="0" w:line="57"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color w:val="auto"/>
        </w:rPr>
        <w:t>Because of economic conditions, the Compensation Committee determined not to pay cash bonuses for 2009 to certain of our executives, including Messrs. Essig, Carlozzi and Henneman, whose employment agreements were amended in April 2009 to reflect this change. See “2009 Employment Agreement Matters.” In addition, after reviewing the 2010 and 2009 Company and individual performance, the Compensation Committee determined to pay discretionary cash bonuses for 2010 and 2009, respectively, to Mr. Corbin and Ms. O’Grady and certain other executives. Because of economic conditions, the Compensation Committee also determined not to pay cash bonuses to executives for 2008, as described below. See “Long-term Equity-Based Incentives.” As discussed below under “Annual Review of Compensation,” the Compensation Committee, in its sole discretion, after discussion with the Chief Executive Officer, determines the amount of the bonus that we will pay and bases its decision on the satisfaction of performance objectives or, in the case of any discretionary bonuses, Company, departmental and individual performance. As discussed below, prior to 2006 and for 2008 and 2009, the Committee determined not to award a cash bonus to Mr. Essig.</w:t>
      </w:r>
    </w:p>
    <w:p>
      <w:pPr>
        <w:spacing w:after="0" w:line="53" w:lineRule="exact"/>
        <w:rPr>
          <w:sz w:val="20"/>
          <w:szCs w:val="20"/>
          <w:color w:val="auto"/>
        </w:rPr>
      </w:pPr>
    </w:p>
    <w:p>
      <w:pPr>
        <w:ind w:right="40" w:firstLine="399"/>
        <w:spacing w:after="0" w:line="297" w:lineRule="auto"/>
        <w:rPr>
          <w:sz w:val="20"/>
          <w:szCs w:val="20"/>
          <w:color w:val="auto"/>
        </w:rPr>
      </w:pPr>
      <w:r>
        <w:rPr>
          <w:rFonts w:ascii="Arial" w:cs="Arial" w:eastAsia="Arial" w:hAnsi="Arial"/>
          <w:sz w:val="12"/>
          <w:szCs w:val="12"/>
          <w:color w:val="auto"/>
        </w:rPr>
        <w:t>The employment agreements for our Chief Executive Officer, our President and Chief Operating Officer (beginning in 2012) and our Executive Vice Presidents generally provide for targeted cash bonuses. We believe that paying these executive officers a targeted bonus based on both qualitative and quantitative objectives without weightings or a formula allows the Compensation Committee to have flexibility to judge the performance of these officers on a number of factors, such as leadership, executive and organizational development, succession planning, compliance and quality objectives, and the accomplishment of goals that were set from time to time during the year.</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31" w:name="page32"/>
    <w:bookmarkEnd w:id="31"/>
    <w:p>
      <w:pPr>
        <w:ind w:right="100" w:firstLine="399"/>
        <w:spacing w:after="0" w:line="274" w:lineRule="auto"/>
        <w:rPr>
          <w:sz w:val="20"/>
          <w:szCs w:val="20"/>
          <w:color w:val="auto"/>
        </w:rPr>
      </w:pPr>
      <w:r>
        <w:rPr>
          <w:rFonts w:ascii="Arial" w:cs="Arial" w:eastAsia="Arial" w:hAnsi="Arial"/>
          <w:sz w:val="13"/>
          <w:szCs w:val="13"/>
          <w:i w:val="1"/>
          <w:iCs w:val="1"/>
          <w:color w:val="auto"/>
        </w:rPr>
        <w:t xml:space="preserve">Cash Bonuses for Other Key Employees. </w:t>
      </w:r>
      <w:r>
        <w:rPr>
          <w:rFonts w:ascii="Arial" w:cs="Arial" w:eastAsia="Arial" w:hAnsi="Arial"/>
          <w:sz w:val="13"/>
          <w:szCs w:val="13"/>
          <w:color w:val="auto"/>
        </w:rPr>
        <w:t>In 2010 and 2009, we utilized a discretionary cash bonus program for key employees below the level of Executive Vice President. In</w:t>
      </w:r>
      <w:r>
        <w:rPr>
          <w:rFonts w:ascii="Arial" w:cs="Arial" w:eastAsia="Arial" w:hAnsi="Arial"/>
          <w:sz w:val="13"/>
          <w:szCs w:val="13"/>
          <w:i w:val="1"/>
          <w:iCs w:val="1"/>
          <w:color w:val="auto"/>
        </w:rPr>
        <w:t xml:space="preserve"> </w:t>
      </w:r>
      <w:r>
        <w:rPr>
          <w:rFonts w:ascii="Arial" w:cs="Arial" w:eastAsia="Arial" w:hAnsi="Arial"/>
          <w:sz w:val="13"/>
          <w:szCs w:val="13"/>
          <w:color w:val="auto"/>
        </w:rPr>
        <w:t>2009, we discontinued the Management Incentive Compensation Plan (“MICP”), a strict formula-driven cash incentive program for such employees when the Compensation Committee determined not to pay cash bonuses to executives for 2008 because of economic conditions.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Long-Term Equity-Based Incentives</w:t>
      </w:r>
    </w:p>
    <w:p>
      <w:pPr>
        <w:spacing w:after="0" w:line="101"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We use restricted stock, performance stock, stock options and other equity equivalents to provide long-term incentives. These awards help us retain executives and align their interests with stockholders by setting multi-year vesting requirements and tying a significant portion of the compensation value to the value of our stock. Existing ownership levels are not a factor in award determination, because we do not want to discourage executives and other employees from holding significant amounts of our stock if they so choose.</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grant equity awards to employees in the following situations: (1) upon their hiring or entering into new employment agreements or amendments extending such agreements,</w:t>
      </w:r>
    </w:p>
    <w:p>
      <w:pPr>
        <w:spacing w:after="0" w:line="33" w:lineRule="exact"/>
        <w:rPr>
          <w:sz w:val="20"/>
          <w:szCs w:val="20"/>
          <w:color w:val="auto"/>
        </w:rPr>
      </w:pPr>
    </w:p>
    <w:p>
      <w:pPr>
        <w:ind w:right="20" w:firstLine="8"/>
        <w:spacing w:after="0" w:line="274" w:lineRule="auto"/>
        <w:tabs>
          <w:tab w:leader="none" w:pos="189"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connection with annual performance reviews, and (3) from time to time, for retention purposes or in special situations to reward certain employees who have been promoted or who achieved milestones or accomplished projects that benefit our Company.</w:t>
      </w:r>
    </w:p>
    <w:p>
      <w:pPr>
        <w:spacing w:after="0" w:line="59" w:lineRule="exact"/>
        <w:rPr>
          <w:sz w:val="20"/>
          <w:szCs w:val="20"/>
          <w:color w:val="auto"/>
        </w:rPr>
      </w:pPr>
    </w:p>
    <w:p>
      <w:pPr>
        <w:ind w:right="220" w:firstLine="399"/>
        <w:spacing w:after="0" w:line="265" w:lineRule="auto"/>
        <w:rPr>
          <w:sz w:val="20"/>
          <w:szCs w:val="20"/>
          <w:color w:val="auto"/>
        </w:rPr>
      </w:pPr>
      <w:r>
        <w:rPr>
          <w:rFonts w:ascii="Arial" w:cs="Arial" w:eastAsia="Arial" w:hAnsi="Arial"/>
          <w:sz w:val="13"/>
          <w:szCs w:val="13"/>
          <w:color w:val="auto"/>
        </w:rPr>
        <w:t>In April 2011 and April 2010, we granted restricted stock with three-year cliff vesting to certain employees, including Mr. Corbin and Ms. O’Grady in connection with the Company’s 2010 and 2009 performance, respectively, as well as their individual performance. We believe that restricted stock ties the value of employees’ equity compensation to our long-term performance. By granting restricted stock instead of stock options, we are able to issue fewer shares and conserve the amount of equity available under our equity incentive plans. In addition, stock options no longer receive favorable accounting treatment. Finally, we believe that the vesting over three years of restricted stock awards provides an effective retention tool.</w:t>
      </w:r>
    </w:p>
    <w:p>
      <w:pPr>
        <w:spacing w:after="0" w:line="66"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In December 2009 and 2010, we granted RSUs with annual vesting over three years to Mr. Essig as an award for 2009 and 2010 performance, respectively, pursuant to the August 2008 amendment to his employment agreement. In addition, in December 2009, we granted restricted stock to Mr. Essig as an award for 2009 performance pursuant to his April 2009 amendment to his employment agreement. This restricted stock award vested fully on December 31, 2010. Further, in December 2009 and April 2010, we granted restricted stock to Messrs. Henneman and Carlozzi, respectively, as an award for the Company’s 2009 performance, as well as their individual performance, pursuant to the April 2009 amendments to their respective employment agreements. These awards vested fully on December 31, 2010.</w:t>
      </w:r>
    </w:p>
    <w:p>
      <w:pPr>
        <w:spacing w:after="0" w:line="66" w:lineRule="exact"/>
        <w:rPr>
          <w:sz w:val="20"/>
          <w:szCs w:val="20"/>
          <w:color w:val="auto"/>
        </w:rPr>
      </w:pPr>
    </w:p>
    <w:p>
      <w:pPr>
        <w:ind w:right="240" w:firstLine="399"/>
        <w:spacing w:after="0" w:line="274" w:lineRule="auto"/>
        <w:rPr>
          <w:sz w:val="20"/>
          <w:szCs w:val="20"/>
          <w:color w:val="auto"/>
        </w:rPr>
      </w:pPr>
      <w:r>
        <w:rPr>
          <w:rFonts w:ascii="Arial" w:cs="Arial" w:eastAsia="Arial" w:hAnsi="Arial"/>
          <w:sz w:val="13"/>
          <w:szCs w:val="13"/>
          <w:color w:val="auto"/>
        </w:rPr>
        <w:t>In November 2010, we granted fully vested RSUs to Mr. Arduini on the effective date of his appointment as President and Chief Operating Officer pursuant to the terms of his employment agreement. In addition, in December 2010, we granted restricted stock with annual vesting over two years to Mr. Henneman in connection with the extension of his employment agreement, subject to his continued employment. See “2010 Employment Agreement and Severance Agreement Matters.”</w:t>
      </w:r>
    </w:p>
    <w:p>
      <w:pPr>
        <w:spacing w:after="0" w:line="59" w:lineRule="exact"/>
        <w:rPr>
          <w:sz w:val="20"/>
          <w:szCs w:val="20"/>
          <w:color w:val="auto"/>
        </w:rPr>
      </w:pPr>
    </w:p>
    <w:p>
      <w:pPr>
        <w:jc w:val="both"/>
        <w:ind w:right="40" w:firstLine="399"/>
        <w:spacing w:after="0" w:line="274" w:lineRule="auto"/>
        <w:rPr>
          <w:sz w:val="20"/>
          <w:szCs w:val="20"/>
          <w:color w:val="auto"/>
        </w:rPr>
      </w:pPr>
      <w:r>
        <w:rPr>
          <w:rFonts w:ascii="Arial" w:cs="Arial" w:eastAsia="Arial" w:hAnsi="Arial"/>
          <w:sz w:val="13"/>
          <w:szCs w:val="13"/>
          <w:color w:val="auto"/>
        </w:rPr>
        <w:t>As described above under “Information Concerning Meetings and Committees,” the Compensation Committee has delegated authority for making equity awards to non-executive officer employees under the Approved Plans to a Special Award Committee, consisting of Mr. Essig. On an annual basis, the Compensation Committee establishes the aggregate number of awards that the Special Award Committee may make during the year.</w:t>
      </w:r>
    </w:p>
    <w:p>
      <w:pPr>
        <w:spacing w:after="0" w:line="59"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We require all named executive officers and substantially all U.S.-based employees to have signed a non-competition agreement, or an employment or severance agreement with non-competition provisions, as a condition of receiving an equity award.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Perquisites</w:t>
      </w:r>
    </w:p>
    <w:p>
      <w:pPr>
        <w:spacing w:after="0" w:line="101" w:lineRule="exact"/>
        <w:rPr>
          <w:sz w:val="20"/>
          <w:szCs w:val="20"/>
          <w:color w:val="auto"/>
        </w:rPr>
      </w:pPr>
    </w:p>
    <w:p>
      <w:pPr>
        <w:ind w:right="60" w:firstLine="399"/>
        <w:spacing w:after="0" w:line="274" w:lineRule="auto"/>
        <w:rPr>
          <w:sz w:val="20"/>
          <w:szCs w:val="20"/>
          <w:color w:val="auto"/>
        </w:rPr>
      </w:pPr>
      <w:r>
        <w:rPr>
          <w:rFonts w:ascii="Arial" w:cs="Arial" w:eastAsia="Arial" w:hAnsi="Arial"/>
          <w:sz w:val="13"/>
          <w:szCs w:val="13"/>
          <w:color w:val="auto"/>
        </w:rPr>
        <w:t>We provide our named executive officers with very few perquisites (i.e., generally only employer matching contributions to our 401(k) plan) and other benefits not generally available to other employees. We provide management-level employees with a corporate credit card not available to all employees, which, until November 2010, included an airport club membership benefit. The employment agreement for Mr. Arduini provides a</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2" w:name="page33"/>
    <w:bookmarkEnd w:id="32"/>
    <w:p>
      <w:pPr>
        <w:ind w:right="420"/>
        <w:spacing w:after="0" w:line="291" w:lineRule="auto"/>
        <w:rPr>
          <w:sz w:val="20"/>
          <w:szCs w:val="20"/>
          <w:color w:val="auto"/>
        </w:rPr>
      </w:pPr>
      <w:r>
        <w:rPr>
          <w:rFonts w:ascii="Arial" w:cs="Arial" w:eastAsia="Arial" w:hAnsi="Arial"/>
          <w:sz w:val="13"/>
          <w:szCs w:val="13"/>
          <w:color w:val="auto"/>
        </w:rPr>
        <w:t>$200,000 allowance for certain relocation expenses and reimbursement of certain commuting expenses and up to $15,000 in legal expenses relating to the initial negotiation of his employment agreement. See “2010 Employment Agreement and Severance Agreement Matters.”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Review of Compensation</w:t>
      </w:r>
    </w:p>
    <w:p>
      <w:pPr>
        <w:spacing w:after="0" w:line="103" w:lineRule="exact"/>
        <w:rPr>
          <w:sz w:val="20"/>
          <w:szCs w:val="20"/>
          <w:color w:val="auto"/>
        </w:rPr>
      </w:pPr>
    </w:p>
    <w:p>
      <w:pPr>
        <w:ind w:right="40" w:firstLine="399"/>
        <w:spacing w:after="0" w:line="283" w:lineRule="auto"/>
        <w:rPr>
          <w:sz w:val="20"/>
          <w:szCs w:val="20"/>
          <w:color w:val="auto"/>
        </w:rPr>
      </w:pPr>
      <w:r>
        <w:rPr>
          <w:rFonts w:ascii="Arial" w:cs="Arial" w:eastAsia="Arial" w:hAnsi="Arial"/>
          <w:sz w:val="12"/>
          <w:szCs w:val="12"/>
          <w:color w:val="auto"/>
        </w:rPr>
        <w:t>We make decisions regarding named executive officer compensation (salary increases, equity grants and bonus payments) in connection with our annual performance review process. The Compensation Committee determines Mr. Essig’s compensation at the meeting it holds each December. In addition, the Committee reviewed his performance prior to extending his employment agreement in August 2008. The Committee also reviewed the performance of Messrs. Carlozzi and Henneman prior to extending their respective employment agreements and approving restricted stock unit grants for each of them in December 2008. In April 2009, the Committee also considered their performance for 2008 when determining to grant restricted stock to Messrs. Carlozzi and Henneman in April 2009 in connection with an April 2009 amendment to their employment agreements. In December 2009, the Compensation Committee and our Chief Executive Officer reviewed the performance of Messrs. Carlozzi and Henneman prior to approving restricted stock awards for 2009 for each of them. For fiscal year 2010, we completed our review process for Mr. Corbin and Ms. O’Grady in February 2011. Thus, those equity grants awarded to Mr. Corbin and Ms. O’Grady in 2011 for 2010 performance do not appear in the Summary Compensation Table for 2010. We anticipate that we will adhere to a similar timetable for annual reviews in future years. We normally do not make equity grants to named executive officers other than Mr. Essig until after the end of the year, except that in December 2009, we awarded a restricted stock grant to Mr. Henneman for 2009 following the Committee’s review of his 2009 performance, consistent with the review and grant timing for Mr. Essig. In addition, as indicated above, in November 2010, we granted RSUs to Mr. Arduini in connection with his employment agreement. Further, we awarded Mr. Henneman restricted stock in December 2010 in connection with the extension of his employment agreement, consistent with the review and grant timing for Mr. Essig.</w:t>
      </w:r>
    </w:p>
    <w:p>
      <w:pPr>
        <w:spacing w:after="0" w:line="61"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In the fourth quarter of each year, Mr. Essig discusses with the Compensation Committee and the Board of Directors a proposed list of his performance objectives. These objectives, described below, cover financial and organizational matters. The financial measures typically include revenue, EBITDA, earnings and/or similar metrics. At the end of each year, Mr. Essig provides a self-evaluation of his performance, which the Compensation Committee reviews and discusses with him. The Committee then solicits input from the full Board of Directors and meets in executive session to discuss Mr. Essig’s performance and to determine his annual salary increase, bonus amount and equity-based grant. Mr. Essig’s targets and objectives are set to be aggressive and ambitious, but without encouraging excessive and unnecessary risk-taking behavior. As a result, the objectives are not meant to be a “check-the-box” chart pursuant to which the Company will award Mr. Essig a certain percentage of his contractually obligated salary increase, equity award or bonus based upon a percentage of the objectives achieved. Rather, they are meant to guide the members of the Compensation Committee as to what compensation awards are appropriate for Mr. Essig based upon his overall performance.</w:t>
      </w:r>
    </w:p>
    <w:p>
      <w:pPr>
        <w:spacing w:after="0" w:line="67" w:lineRule="exact"/>
        <w:rPr>
          <w:sz w:val="20"/>
          <w:szCs w:val="20"/>
          <w:color w:val="auto"/>
        </w:rPr>
      </w:pPr>
    </w:p>
    <w:p>
      <w:pPr>
        <w:ind w:right="80" w:firstLine="399"/>
        <w:spacing w:after="0" w:line="293" w:lineRule="auto"/>
        <w:rPr>
          <w:sz w:val="20"/>
          <w:szCs w:val="20"/>
          <w:color w:val="auto"/>
        </w:rPr>
      </w:pPr>
      <w:r>
        <w:rPr>
          <w:rFonts w:ascii="Arial" w:cs="Arial" w:eastAsia="Arial" w:hAnsi="Arial"/>
          <w:sz w:val="12"/>
          <w:szCs w:val="12"/>
          <w:color w:val="auto"/>
        </w:rPr>
        <w:t>Messrs. Carlozzi and Henneman discussed a proposed list of their objectives for 2010 with Mr. Essig. The objectives, described below, relate to each named executive officer’s areas of responsibility. At the end of each year, Mr. Essig reviews the performance of these named executive officers, which includes evaluating whether they satisfied their performance objectives, solicits feedback from other employees, and makes recommendations to the Compensation Committee regarding their salary increases, bonus amounts and equity awards. Mr. Essig also evaluates the performance of the other named executive officers with their supervisors and makes similar recommendations to the Compensation Committee. The Compensation Committee then considers Mr. Essig’s recommendations in making its determinations regarding compensation for these named executive officers.</w:t>
      </w:r>
    </w:p>
    <w:p>
      <w:pPr>
        <w:spacing w:after="0" w:line="49"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3"/>
          <w:szCs w:val="13"/>
          <w:color w:val="auto"/>
        </w:rPr>
        <w:t>For 2010, the Compensation Committee established a goal for Messrs. Essig, Carlozzi and Henneman to achieve adjusted EBITDA of $160-$170 million (excluding the impact of stock-based compensation expense). This quantitative goal was intended as a “stretch” goal that would significantly benefit the Company, without encouraging excessive and unnecessary risk-taking behavior. The Compensation Committee also established a goal for these individuals of developing a five-year strategic plan with the following objectives: minimum revenue growth of 7-10% per year, minimum adjusted earnings per share growth of 10-15% and increased focus on divisional</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management. In addition, the Compensation Committee assigned the following qualitative goals to these individuals:</w:t>
      </w:r>
    </w:p>
    <w:p>
      <w:pPr>
        <w:spacing w:after="0" w:line="101" w:lineRule="exact"/>
        <w:rPr>
          <w:sz w:val="20"/>
          <w:szCs w:val="20"/>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outstanding leadership;</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leveraging and maintaining high-quality relationships with the investment community and key customers;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keeping the Board informed and consulted on appropriate matters;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ensuring corporate governance and ethical responsibilities are met;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employee development;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business development;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aligning and motivating the organization to achieve the objectives;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recruiting high-quality executives and developing succession planning for critical positions;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supporting and guiding the strengthening of organizational development and planning efforts;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maintaining corporate environment for continuous improvement;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supporting the development of business opportunities;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achieving operating synergies projected in operating plans;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improving diversity;</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encouraging employee equity ownership;</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reviewing and enhancing compliance programs;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improving the timeliness and effectiveness of the finance function (for Messrs. Essig and Henneman);</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improving and enhancing commitment to quality systems;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continuing to enhance evaluation process by tying compliance initiatives with performance evaluations;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participating in the development of the industry and public policy positions and action plans;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progress in improving gross margin;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progress in managing capital efficiently.</w:t>
      </w:r>
    </w:p>
    <w:p>
      <w:pPr>
        <w:spacing w:after="0" w:line="101" w:lineRule="exact"/>
        <w:rPr>
          <w:sz w:val="20"/>
          <w:szCs w:val="20"/>
          <w:color w:val="auto"/>
        </w:rPr>
      </w:pPr>
    </w:p>
    <w:p>
      <w:pPr>
        <w:ind w:firstLine="399"/>
        <w:spacing w:after="0" w:line="283" w:lineRule="auto"/>
        <w:rPr>
          <w:sz w:val="20"/>
          <w:szCs w:val="20"/>
          <w:color w:val="auto"/>
        </w:rPr>
      </w:pPr>
      <w:r>
        <w:rPr>
          <w:rFonts w:ascii="Arial" w:cs="Arial" w:eastAsia="Arial" w:hAnsi="Arial"/>
          <w:sz w:val="12"/>
          <w:szCs w:val="12"/>
          <w:color w:val="auto"/>
        </w:rPr>
        <w:t>The Compensation Committee reviewed corporate and individual performance against the 2010 goals described above for Messrs. Essig, Carlozzi and Henneman in determining the amount of their respective bonus for 2010 performance, as well as the amount of RSUs to grant to Mr. Essig for his annual equity award and the amount of restricted stock to grant to Mr. Henneman in connection with the extension of his employment agreement. For 2010, the Company achieved the adjusted EBITDA goal of $160-170 million (excluding the impact of stock-based compensation expense). In addition, the Committee considered the Company’s long-term performance and overall accomplishments. (See the “Executive Summary” above for information on certain key financial accomplishments for 2010.) Further, the goals of developing the five-year strategic plan and recruiting a high-quality executive to fill the vacancy that Mr. Carlozzi’s retirement created were achieved. See the “Executive Summary” above for information on Company performance and key accomplishments in 2010. In addition, the Committee reviewed each individual’s performance against the other goals described in the preceding paragraph. No weightings were assigned, and the Committee viewed the objectives in the aggregate, with special emphasis on the qualitative goals, particularly compliance, leadership, business development, recruiting, succession planning, employee development, progress in improving gross margin and progress in managing capital efficiently. As a result of the annual review, including a determination that these individuals had met or exceeded a significant amount of achievement of the “stretch” goal and the qualitative goals, the Committee determined that these individuals had met or achieved their 2010 goals taken as a whole. Accordingly, the Committee determined to pay these executives 100% of their respective target award amount. For Mr. Essig, the Committee determined to pay his target award partly in cash and partly in restricted stock units. (See “Annual Bonus Payments” below.) In addition,</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3"/>
          <w:szCs w:val="13"/>
          <w:color w:val="auto"/>
        </w:rPr>
        <w:t>the Committee considered the performance of the Company and the individuals against these goals when determining the 2011 salaries and equity grants for Messrs. Essig and Henneman for 2010 performance.</w:t>
      </w:r>
    </w:p>
    <w:p>
      <w:pPr>
        <w:spacing w:after="0" w:line="48" w:lineRule="exact"/>
        <w:rPr>
          <w:sz w:val="20"/>
          <w:szCs w:val="20"/>
          <w:color w:val="auto"/>
        </w:rPr>
      </w:pPr>
    </w:p>
    <w:p>
      <w:pPr>
        <w:ind w:right="180" w:firstLine="399"/>
        <w:spacing w:after="0" w:line="268" w:lineRule="auto"/>
        <w:rPr>
          <w:sz w:val="20"/>
          <w:szCs w:val="20"/>
          <w:color w:val="auto"/>
        </w:rPr>
      </w:pPr>
      <w:r>
        <w:rPr>
          <w:rFonts w:ascii="Arial" w:cs="Arial" w:eastAsia="Arial" w:hAnsi="Arial"/>
          <w:sz w:val="13"/>
          <w:szCs w:val="13"/>
          <w:color w:val="auto"/>
        </w:rPr>
        <w:t>Adjusted EBITDA, excluding the impact of stock-based compensation expense, consists of net income determined in accordance with U.S. Generally Accepted Accounting Principles (“GAAP”), excluding: (i) depreciation and amortization, (ii) other income (expense), net, (iii) interest income and expense, (iv) income taxes, (v) stock-based compensation expense and (vi) certain operating expenses that, for various reasons, we do not use when evaluating operating performance, e.g., because they are of an infrequent and/or non-cash nature.</w:t>
      </w:r>
    </w:p>
    <w:p>
      <w:pPr>
        <w:spacing w:after="0" w:line="63" w:lineRule="exact"/>
        <w:rPr>
          <w:sz w:val="20"/>
          <w:szCs w:val="20"/>
          <w:color w:val="auto"/>
        </w:rPr>
      </w:pPr>
    </w:p>
    <w:p>
      <w:pPr>
        <w:ind w:right="80" w:firstLine="399"/>
        <w:spacing w:after="0" w:line="297" w:lineRule="auto"/>
        <w:rPr>
          <w:sz w:val="20"/>
          <w:szCs w:val="20"/>
          <w:color w:val="auto"/>
        </w:rPr>
      </w:pPr>
      <w:r>
        <w:rPr>
          <w:rFonts w:ascii="Arial" w:cs="Arial" w:eastAsia="Arial" w:hAnsi="Arial"/>
          <w:sz w:val="12"/>
          <w:szCs w:val="12"/>
          <w:color w:val="auto"/>
        </w:rPr>
        <w:t>We used adjusted EBITDA, excluding the impact of stock-based compensation expense, as one of the performance objectives for these executives for 2010 because we believe it provides important supplemental information regarding financial and business trends relating to the Company’s financial condition and results of operations. In addition, management uses adjusted EBITDA when evaluating operating performance because we believe that it provides a supplemental measure of our operating results that facilitates comparability of our operating performance from period to period, against our business model objectives and against other companies in our industry.</w:t>
      </w:r>
    </w:p>
    <w:p>
      <w:pPr>
        <w:spacing w:after="0" w:line="48" w:lineRule="exact"/>
        <w:rPr>
          <w:sz w:val="20"/>
          <w:szCs w:val="20"/>
          <w:color w:val="auto"/>
        </w:rPr>
      </w:pPr>
    </w:p>
    <w:p>
      <w:pPr>
        <w:ind w:right="260" w:firstLine="399"/>
        <w:spacing w:after="0" w:line="291" w:lineRule="auto"/>
        <w:rPr>
          <w:sz w:val="20"/>
          <w:szCs w:val="20"/>
          <w:color w:val="auto"/>
        </w:rPr>
      </w:pPr>
      <w:r>
        <w:rPr>
          <w:rFonts w:ascii="Arial" w:cs="Arial" w:eastAsia="Arial" w:hAnsi="Arial"/>
          <w:sz w:val="13"/>
          <w:szCs w:val="13"/>
          <w:color w:val="auto"/>
        </w:rPr>
        <w:t>For 2010, we achieved $166.7 million of adjusted EBITDA, excluding the $15.7 million impact of stock-based compensation expense. This reflects a total of $85.3 million in adjustments to GAAP net income of $65.7 million excluding such compensation expense. The adjustments included the following:</w:t>
      </w:r>
    </w:p>
    <w:p>
      <w:pPr>
        <w:spacing w:after="0" w:line="48" w:lineRule="exact"/>
        <w:rPr>
          <w:sz w:val="20"/>
          <w:szCs w:val="20"/>
          <w:color w:val="auto"/>
        </w:rPr>
      </w:pPr>
    </w:p>
    <w:p>
      <w:pPr>
        <w:ind w:left="600" w:hanging="191"/>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$38.3 million of depreciation and amortization;</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$(1.6) million of other income (expense), net;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$18.1 million of interest (income) expense, net;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$16.4 million of income tax expense;</w:t>
      </w:r>
    </w:p>
    <w:p>
      <w:pPr>
        <w:spacing w:after="0" w:line="90" w:lineRule="exact"/>
        <w:rPr>
          <w:rFonts w:ascii="Arial" w:cs="Arial" w:eastAsia="Arial" w:hAnsi="Arial"/>
          <w:sz w:val="13"/>
          <w:szCs w:val="13"/>
          <w:color w:val="auto"/>
        </w:rPr>
      </w:pPr>
    </w:p>
    <w:p>
      <w:pPr>
        <w:ind w:left="600" w:right="500" w:hanging="191"/>
        <w:spacing w:after="0" w:line="291"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$2.2 million of charges related to our Chief Operating Officer’s fully-vested equity and cash signing bonus compensation and other expenses related to his joining the Company; and</w:t>
      </w:r>
    </w:p>
    <w:p>
      <w:pPr>
        <w:spacing w:after="0" w:line="38" w:lineRule="exact"/>
        <w:rPr>
          <w:rFonts w:ascii="Arial" w:cs="Arial" w:eastAsia="Arial" w:hAnsi="Arial"/>
          <w:sz w:val="13"/>
          <w:szCs w:val="13"/>
          <w:color w:val="auto"/>
        </w:rPr>
      </w:pPr>
    </w:p>
    <w:p>
      <w:pPr>
        <w:ind w:left="600" w:right="160" w:hanging="191"/>
        <w:spacing w:after="0" w:line="307"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$11.9 million of certain operating expenses that we do not use when evaluating operating performance. These expenses include (i) acquisition-related charges, (ii) certain employee termination and related charges, (iii) charges associated with discontinued or withdrawn product lines, (iv) systems implementation charges, (v) facility consolidation, manufacturing and distribution transfer charges, (vi) charges relating to restructuring our European subsidiaries and (vii) intangible asset impairment charges.</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additional information, see our Current Report on Form 8-K that we filed on February 24, 2011.</w:t>
      </w:r>
    </w:p>
    <w:p>
      <w:pPr>
        <w:spacing w:after="0" w:line="101" w:lineRule="exact"/>
        <w:rPr>
          <w:sz w:val="20"/>
          <w:szCs w:val="20"/>
          <w:color w:val="auto"/>
        </w:rPr>
      </w:pPr>
    </w:p>
    <w:p>
      <w:pPr>
        <w:ind w:right="480" w:firstLine="399"/>
        <w:spacing w:after="0" w:line="291" w:lineRule="auto"/>
        <w:rPr>
          <w:sz w:val="20"/>
          <w:szCs w:val="20"/>
          <w:color w:val="auto"/>
        </w:rPr>
      </w:pPr>
      <w:r>
        <w:rPr>
          <w:rFonts w:ascii="Arial" w:cs="Arial" w:eastAsia="Arial" w:hAnsi="Arial"/>
          <w:sz w:val="13"/>
          <w:szCs w:val="13"/>
          <w:color w:val="auto"/>
        </w:rPr>
        <w:t>In addition, during 2010, the Committee’s compensation decisions for Messrs. Carlozzi and Henneman reflected the Committee’s intent to provide the same basic level of compensation for each of them, reflecting similar responsibilities and individual performance.</w:t>
      </w:r>
    </w:p>
    <w:p>
      <w:pPr>
        <w:spacing w:after="0" w:line="48"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For 2010, the Committee’s decisions regarding the compensation of Ms. O’Grady and Mr. Corbin were intended to keep their compensation in line with the compensation of other Senior Vice Presidents and Vice Presidents, respectively, as well as to generally maintain their overall compensation package consistent with that of prior years. In addition, such decisions recognized their individual performance as well as the Company’s performance.</w:t>
      </w:r>
    </w:p>
    <w:p>
      <w:pPr>
        <w:spacing w:after="0" w:line="59" w:lineRule="exact"/>
        <w:rPr>
          <w:sz w:val="20"/>
          <w:szCs w:val="20"/>
          <w:color w:val="auto"/>
        </w:rPr>
      </w:pPr>
    </w:p>
    <w:p>
      <w:pPr>
        <w:ind w:right="60" w:firstLine="399"/>
        <w:spacing w:after="0" w:line="263" w:lineRule="auto"/>
        <w:rPr>
          <w:sz w:val="20"/>
          <w:szCs w:val="20"/>
          <w:color w:val="auto"/>
        </w:rPr>
      </w:pPr>
      <w:r>
        <w:rPr>
          <w:rFonts w:ascii="Arial" w:cs="Arial" w:eastAsia="Arial" w:hAnsi="Arial"/>
          <w:sz w:val="13"/>
          <w:szCs w:val="13"/>
          <w:color w:val="auto"/>
        </w:rPr>
        <w:t>Mr. Essig’s employment agreement provides that (1) we increase his salary by a minimum of $50,000 each year during the term of the agreement and (2) Mr. Essig be eligible for a target bonus in cash that shall not be less than 100% of his base salary. In addition, his agreement provided (prior to an amendment to the agreement in August 2008) that we award Mr. Essig an annual stock option grant ranging from 100,000 to 200,000 shares of our common stock. When we extended Mr. Essig’s employment agreement in August 2008, we amended the agreement to provide that his annual equity-based grant be in the form of RSUs or performance stock, at the Compensation Committee’s discretion, and that the grant cover between 75,000 and 100,000 shares of common stock. (See “2008 Employment Agreement and Severance Agreement Matters.”) The compensation that we have paid to Mr. Essig has demonstrated a connection among these three components. We have increased Mr. Essig’s salary by the minimum amount during each year of his agreement through 2010, except that, because of economic conditions, we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5" w:name="page36"/>
    <w:bookmarkEnd w:id="35"/>
    <w:p>
      <w:pPr>
        <w:ind w:right="40"/>
        <w:spacing w:after="0" w:line="263" w:lineRule="auto"/>
        <w:rPr>
          <w:sz w:val="20"/>
          <w:szCs w:val="20"/>
          <w:color w:val="auto"/>
        </w:rPr>
      </w:pPr>
      <w:r>
        <w:rPr>
          <w:rFonts w:ascii="Arial" w:cs="Arial" w:eastAsia="Arial" w:hAnsi="Arial"/>
          <w:sz w:val="13"/>
          <w:szCs w:val="13"/>
          <w:color w:val="auto"/>
        </w:rPr>
        <w:t>temporarily reduced his 2009 base salary in April 2009 through the end of 2009 to his 2008 base salary level pursuant to the April 2009 amendment to his employment agreement. Similarly, in April 2009, we reduced the 2009 base salaries of Messrs. Carlozzi and Henneman to their 2008 levels pursuant to their respective April 2009 amendment to their employment agreement. Because of economic conditions, the Committee determined not to pay Mr. Essig a cash bonus for 2008 or 2009, as provided in the April 2009 amendment to his employment agreement. (See “2009 Employment Agreement Matters.”) In addition, we have awarded Mr. Essig the maximum amount of 100,000 RSUs in 2008, 2009 and 2010, as well as the full amount of his target award for 2009 (paid in restricted stock) and 2010 (paid partly in cash and partly in RSUs) pursuant to his employment agreement, owing primarily to his outstanding performance and the Company’s long-term performance, and partly due to the Company’s decisions regarding his salary increase and the Committee’s decision to not award him cash bonuses for many past years.</w:t>
      </w:r>
    </w:p>
    <w:p>
      <w:pPr>
        <w:spacing w:after="0" w:line="65"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so as to retain their services, and we have considered the cash compensation that we pay to executive officers in setting the size of equity grants.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Grant Practices</w:t>
      </w:r>
    </w:p>
    <w:p>
      <w:pPr>
        <w:spacing w:after="0" w:line="103" w:lineRule="exact"/>
        <w:rPr>
          <w:sz w:val="20"/>
          <w:szCs w:val="20"/>
          <w:color w:val="auto"/>
        </w:rPr>
      </w:pPr>
    </w:p>
    <w:p>
      <w:pPr>
        <w:ind w:right="20" w:firstLine="399"/>
        <w:spacing w:after="0" w:line="284" w:lineRule="auto"/>
        <w:rPr>
          <w:sz w:val="20"/>
          <w:szCs w:val="20"/>
          <w:color w:val="auto"/>
        </w:rPr>
      </w:pPr>
      <w:r>
        <w:rPr>
          <w:rFonts w:ascii="Arial" w:cs="Arial" w:eastAsia="Arial" w:hAnsi="Arial"/>
          <w:sz w:val="12"/>
          <w:szCs w:val="12"/>
          <w:color w:val="auto"/>
        </w:rPr>
        <w:t>We make decisions to grant equity awards without regard to anticipated earnings or other major announcements by the Company. Historically, the Compensation Committee has approved the annual equity-based grants to Mr. Essig at its December meeting and generally approved the annual stock option or other equity-based grants to other executive officers and, depending on the amount of the award, other managers at a meeting held in December or February. The Compensation Committee approved (i) restricted stock awards for 2009 for</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color w:val="auto"/>
        </w:rPr>
        <w:t>Mr. Corbin and Ms. O’Grady on February 24, 2010, effective April 1, 2010 and (ii) restricted stock awards for 2010 for Mr. Corbin and Ms. O’Grady on February 22, 2011, effective April 1, 2011. In each case, the annual equity awards were approved after our annual review process for the individuals was completed. In the case of an approval by written consent, the grant date cannot be earlier than the date when the Committee member approvals have been obtained. In addition, the Special Award Committee, comprised of our Chief Executive Officer, has authority (within specified limits) to approve equity-based awards to other managers. The Special Award Committee approves and makes equity grants on the first business day of the month. The Special Award Committee typically approves annual awards during the first quarter. We expect this general timetable to continue.</w:t>
      </w:r>
    </w:p>
    <w:p>
      <w:pPr>
        <w:spacing w:after="0" w:line="53"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grant date of Mr. Essig’s annual equity-based compensation award in the form of RSUs granted in December 2009 and December 2010 and his restricted stock award for 2009 granted in December 2009 pursuant to his employment agreement, entered into in July 2004, and subsequently amended in August 2008 and April 2009, has been the date the award was approved. In the case of the restricted stock award for 2009 granted to Mr. Henneman in December 2009, the Committee approved the grant on the date of the award. In the case of the restricted stock award for 2009 granted to Mr. Carlozzi in April 2010, the Committee approved the grant in advance of the grant date. In addition, in the case of the restricted stock granted to Mr. Henneman in December 2010 in connection with the extension of his employment agreement and the RSUs granted to Mr. Arduini in November 2010 in connection with his employment agreement, the Committee approved the grants in advance of the applicable grant dates. In general, the grant date for awards to other executive officers is either the date of the required approval or, for administrative convenience, the first business day of the month or quarter following the required approval. As we have generally moved from granting options to granting restricted stock and performance stock or RSUs, we expect grants to our named executive officers, other than annual equity-based grants to Mr. Essig pursuant to his employment agreement, to be made on the first business day of the month or quarter following the approval of the Compensation Committee. We make equity grants to members of our Board of Directors on the date of our annual meeting of stockholders.</w:t>
      </w:r>
    </w:p>
    <w:p>
      <w:pPr>
        <w:spacing w:after="0" w:line="54"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 The terms of these plans require that the exercise price of options granted under the plans be not less than the fair market value of our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6" w:name="page37"/>
    <w:bookmarkEnd w:id="36"/>
    <w:p>
      <w:pPr>
        <w:ind w:right="40"/>
        <w:spacing w:after="0" w:line="291" w:lineRule="auto"/>
        <w:rPr>
          <w:sz w:val="20"/>
          <w:szCs w:val="20"/>
          <w:color w:val="auto"/>
        </w:rPr>
      </w:pPr>
      <w:r>
        <w:rPr>
          <w:rFonts w:ascii="Arial" w:cs="Arial" w:eastAsia="Arial" w:hAnsi="Arial"/>
          <w:sz w:val="13"/>
          <w:szCs w:val="13"/>
          <w:color w:val="auto"/>
        </w:rPr>
        <w:t>common stock on the date of grant. The plans define “fair market value” as the closing price of our common stock on the NASDAQ Global Select Market on the date of grant. In general, our 2003 Equity Incentive Plan provides that, without stockholder approval, no amendment may be made that would reprice outstanding awards.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2008 Employment Agreement and Severance Agreement Matters</w:t>
      </w:r>
    </w:p>
    <w:p>
      <w:pPr>
        <w:spacing w:after="0" w:line="103" w:lineRule="exact"/>
        <w:rPr>
          <w:sz w:val="20"/>
          <w:szCs w:val="20"/>
          <w:color w:val="auto"/>
        </w:rPr>
      </w:pPr>
    </w:p>
    <w:p>
      <w:pPr>
        <w:ind w:right="80" w:firstLine="399"/>
        <w:spacing w:after="0" w:line="336"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to comply with Section 409A of the Internal Revenue Code (the “Code”) and to update treatment of insurance benefits following termination. In March 2008, we amended the employment agreement with Mr. Essig to make similar changes.</w:t>
      </w:r>
    </w:p>
    <w:p>
      <w:pPr>
        <w:spacing w:after="0" w:line="24" w:lineRule="exact"/>
        <w:rPr>
          <w:sz w:val="20"/>
          <w:szCs w:val="20"/>
          <w:color w:val="auto"/>
        </w:rPr>
      </w:pPr>
    </w:p>
    <w:p>
      <w:pPr>
        <w:jc w:val="both"/>
        <w:ind w:right="180" w:firstLine="399"/>
        <w:spacing w:after="0" w:line="274" w:lineRule="auto"/>
        <w:rPr>
          <w:sz w:val="20"/>
          <w:szCs w:val="20"/>
          <w:color w:val="auto"/>
        </w:rPr>
      </w:pPr>
      <w:r>
        <w:rPr>
          <w:rFonts w:ascii="Arial" w:cs="Arial" w:eastAsia="Arial" w:hAnsi="Arial"/>
          <w:sz w:val="13"/>
          <w:szCs w:val="13"/>
          <w:color w:val="auto"/>
        </w:rPr>
        <w:t>In January 2008, we entered into a one-year severance agreement with Ms. O’Grady which included minor changes to comply with Section 409A of the Code and to update the treatment of insurance benefits following termination. In addition, the new agreement provided for a cash severance payment in the event of a termination of employment relating to a change in control of one times base salary.</w:t>
      </w:r>
    </w:p>
    <w:p>
      <w:pPr>
        <w:spacing w:after="0" w:line="59"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 August 2008, we amended Mr. Essig’s agreement (the “Essig Amendment”) to extend the term of his employment, as President and Chief Executive Officer, until December 31, 2011 and provide for automatic one-year extensions thereafter. Prior to extending the term of the employment agreement, the Committee engaged Watson Wyatt &amp; Company to provide consulting services in connection with the terms of the Essig Amendment, including compiling market data on compensation of chief executive officers at peer groups approved in advance by the Committee. One group, consisting of similar-sized peers, included Abbott Medical Optics, Inc. (formerly known as “Advanced Medical Optics, Inc.”), Alere Inc. (formerly known as Inverness Medical Innovations, Inc.), American Medical Systems Holdings, Inc., Arthrocare Corp., Edwards Lifesciences Corp., Haemonetics Corp., Hologic, Inc., Medicis Pharmaceutical, STERIS Corp., The Cooper Companies, Inc. and Wright Medical Group, Inc. The second group, consisting of large company peers, included Baxter International Inc., Becton, Dickinson &amp; Co., Boston Scientific Corp., C.R. Bard, Inc., Cardinal Health Inc., Covidien Public Limited Company, Genzyme Corp., Johnson &amp; Johnson, Medtronic, Inc., St. Jude Medical, Inc., Stryker Corporation, Thermo Fisher Scientific Inc. and Zimmer Holdings, Inc. The review included data on larger medical device companies because Integra is a growing company, and our executives may be attractive candidates for these or similar companies.</w:t>
      </w:r>
    </w:p>
    <w:p>
      <w:pPr>
        <w:spacing w:after="0" w:line="58"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color w:val="auto"/>
        </w:rPr>
        <w:t>Prior to approving the terms of the Essig Amendment, the Committee reviewed the market data analysis that Watson Wyatt &amp; Company developed, the proposed amount, form and rationale for salary, bonuses and equity-based awards, tax and accounting considerations, individual circumstances, succession planning considerations and process for developing the terms of the amendment. The Essig Amendment provides that Mr. Essig was to receive grants of (i) 375,000 RSUs on the effective date of the Amendment (the “Initial RSU Award”);</w:t>
      </w:r>
    </w:p>
    <w:p>
      <w:pPr>
        <w:spacing w:after="0" w:line="2" w:lineRule="exact"/>
        <w:rPr>
          <w:sz w:val="20"/>
          <w:szCs w:val="20"/>
          <w:color w:val="auto"/>
        </w:rPr>
      </w:pPr>
    </w:p>
    <w:p>
      <w:pPr>
        <w:ind w:right="80" w:firstLine="8"/>
        <w:spacing w:after="0" w:line="265" w:lineRule="auto"/>
        <w:tabs>
          <w:tab w:leader="none" w:pos="197"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non-qualified stock option (the “Option”) to purchase 125,000 shares of Company common stock (the “Shares”) to be granted on the first day on which the Company trading window was to open following the effective date of the Essig Amendment (the “Option Grant Date”) and (iii) annual grants during the term, commencing in December 2008, of between 75,000 and 100,000 RSUs or performance shares (the “Annual Award”).</w:t>
      </w:r>
    </w:p>
    <w:p>
      <w:pPr>
        <w:spacing w:after="0" w:line="65" w:lineRule="exact"/>
        <w:rPr>
          <w:sz w:val="20"/>
          <w:szCs w:val="20"/>
          <w:color w:val="auto"/>
        </w:rPr>
      </w:pPr>
    </w:p>
    <w:p>
      <w:pPr>
        <w:ind w:right="400" w:firstLine="399"/>
        <w:spacing w:after="0" w:line="265" w:lineRule="auto"/>
        <w:rPr>
          <w:sz w:val="20"/>
          <w:szCs w:val="20"/>
          <w:color w:val="auto"/>
        </w:rPr>
      </w:pPr>
      <w:r>
        <w:rPr>
          <w:rFonts w:ascii="Arial" w:cs="Arial" w:eastAsia="Arial" w:hAnsi="Arial"/>
          <w:sz w:val="13"/>
          <w:szCs w:val="13"/>
          <w:color w:val="auto"/>
        </w:rPr>
        <w:t>Subject to Mr. Essig’s continued service with the Company, the Option vests as follows: 25% of the Shares vest on the first anniversary of the Option Grant Date and the remaining Shares vest monthly thereafter over the subsequent 36 months. In addition, the Option will vest in full upon the occurrence of any of the following: (i) termination of Mr. Essig’s employment by the Company without “Cause” or by Mr. Essig for “Good Reason,” (ii) a “Change in Control” of the Company, (iii) a “Disability Termination,” each as defined in the employment agreement, (iv) a termination of Mr. Essig’s employment upon non-renewal of the employment term by either party, or (v) Mr. Essig’s death (each, an “Acceleration Event”). The Option has a ten-year term.</w:t>
      </w:r>
    </w:p>
    <w:p>
      <w:pPr>
        <w:spacing w:after="0" w:line="66"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The Initial RSU Award vested in full on the effective date of the grant, and the underlying shares will be deferred and delivered to Mr. Essig within the 30-day period immediately following the six-month anniversary of his separation from service.</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Pursuant to the Amendment, the Annual Award may take the form of either (i) RSUs for between 75,000 and 100,000 (inclusive) shares of the Company’s common stock, or</w:t>
      </w:r>
    </w:p>
    <w:p>
      <w:pPr>
        <w:spacing w:after="0" w:line="33" w:lineRule="exact"/>
        <w:rPr>
          <w:sz w:val="20"/>
          <w:szCs w:val="20"/>
          <w:color w:val="auto"/>
        </w:rPr>
      </w:pPr>
    </w:p>
    <w:p>
      <w:pPr>
        <w:ind w:left="4920" w:right="1260" w:hanging="4912"/>
        <w:spacing w:after="0" w:line="756" w:lineRule="auto"/>
        <w:tabs>
          <w:tab w:leader="none" w:pos="195"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performance stock for between 75,000 and 100,000 (inclusive) shares of the Company’s common stock. The Compensation Committee will determine the form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-104775</wp:posOffset>
            </wp:positionV>
            <wp:extent cx="72885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of the Annual Award in its sole discretion. For the 2008, 2009 and 2010 Annual Awards, the Committee determined to grant RSUs to Mr. Essig.</w:t>
      </w:r>
    </w:p>
    <w:p>
      <w:pPr>
        <w:spacing w:after="0" w:line="101" w:lineRule="exact"/>
        <w:rPr>
          <w:sz w:val="20"/>
          <w:szCs w:val="20"/>
          <w:color w:val="auto"/>
        </w:rPr>
      </w:pPr>
    </w:p>
    <w:p>
      <w:pPr>
        <w:jc w:val="both"/>
        <w:ind w:right="140" w:firstLine="399"/>
        <w:spacing w:after="0" w:line="274" w:lineRule="auto"/>
        <w:rPr>
          <w:sz w:val="20"/>
          <w:szCs w:val="20"/>
          <w:color w:val="auto"/>
        </w:rPr>
      </w:pPr>
      <w:r>
        <w:rPr>
          <w:rFonts w:ascii="Arial" w:cs="Arial" w:eastAsia="Arial" w:hAnsi="Arial"/>
          <w:sz w:val="13"/>
          <w:szCs w:val="13"/>
          <w:color w:val="auto"/>
        </w:rPr>
        <w:t>Any Annual Award of RSUs will vest, subject to Mr. Essig’s continued service with the Company, in three equal annual installments on the first three anniversaries of the grant date and will be subject to accelerated vesting upon the occurrence of an Acceleration Event. The shares underlying the vested RSUs covered by the Annual Award will be deferred and delivered to Mr. Essig within the 30-day period immediately following the six-month anniversary of his separation from service.</w:t>
      </w:r>
    </w:p>
    <w:p>
      <w:pPr>
        <w:spacing w:after="0" w:line="59"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Any Annual Award of performance shares will be subject to both (i) annual time-based vesting through the three-year performance period and (ii) performance-based vesting if the Company’s sales in any calendar year during the three-year performance period exceed sales in the calendar year prior to such three-year performance period. The performance shares will only vest to the extent that both the time-based and performance-based conditions are satisfied (except in the event of a Change in Control of the Company). The time-based vesting condition will be deemed satisfied in full upon a termination of Mr. Essig’s employment by the Company without “Cause,” by Mr. Essig for “Good Reason,” by reason of a “Disability Termination,” each as defined in the employment agreement, or Mr. Essig’s death, or upon a nonrenewal of the employment term by either party. In addition, the performance shares will vest in full upon a Change in Control of the Company that occurs during the performance period and prior to Mr. Essig’s termination of service. The vested performance shares will be delivered to Mr. Essig upon or within thirty days after vesting.</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Each of the RSU grants and performance stock grants will also include certain dividend equivalent rights for vested awards.</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In December 2008, we amended the employment agreements for Messrs. Carlozzi and Henneman to extend the term of their agreements through January 4, 2011. Prior to extending the term of these employment agreements, the Committee engaged Watson Wyatt &amp; Company to advise it in connection with the terms of the amendments, including compiling market data on compensation of chief operating officers and chief financial officers at the same peer groups approved in advance by the Committee for review in connection with the extension of Mr. Essig’s employment agreement.</w:t>
      </w:r>
    </w:p>
    <w:p>
      <w:pPr>
        <w:spacing w:after="0" w:line="63" w:lineRule="exact"/>
        <w:rPr>
          <w:sz w:val="20"/>
          <w:szCs w:val="20"/>
          <w:color w:val="auto"/>
        </w:rPr>
      </w:pPr>
    </w:p>
    <w:p>
      <w:pPr>
        <w:ind w:right="160" w:firstLine="399"/>
        <w:spacing w:after="0" w:line="297" w:lineRule="auto"/>
        <w:rPr>
          <w:sz w:val="20"/>
          <w:szCs w:val="20"/>
          <w:color w:val="auto"/>
        </w:rPr>
      </w:pPr>
      <w:r>
        <w:rPr>
          <w:rFonts w:ascii="Arial" w:cs="Arial" w:eastAsia="Arial" w:hAnsi="Arial"/>
          <w:sz w:val="12"/>
          <w:szCs w:val="12"/>
          <w:color w:val="auto"/>
        </w:rPr>
        <w:t>The Committee used a similar process in reviewing and determining the terms of the amendments to extend the term of the employment agreements for Messrs. Carlozzi and Henneman as it had used when reviewing and determining the terms of the amendment to extend the term of Mr. Essig’s employment agreement. Prior to approving these amendments, the Committee reviewed the market data analysis that Watson Wyatt &amp; Company developed, the proposed size, form and rationale for salaries, bonuses, equity-based awards, tax and accounting considerations, unique circumstances, succession planning considerations and process for developing the terms of the amendments.</w:t>
      </w:r>
    </w:p>
    <w:p>
      <w:pPr>
        <w:spacing w:after="0" w:line="48" w:lineRule="exact"/>
        <w:rPr>
          <w:sz w:val="20"/>
          <w:szCs w:val="20"/>
          <w:color w:val="auto"/>
        </w:rPr>
      </w:pPr>
    </w:p>
    <w:p>
      <w:pPr>
        <w:ind w:right="20" w:firstLine="399"/>
        <w:spacing w:after="0" w:line="288" w:lineRule="auto"/>
        <w:rPr>
          <w:sz w:val="20"/>
          <w:szCs w:val="20"/>
          <w:color w:val="auto"/>
        </w:rPr>
      </w:pPr>
      <w:r>
        <w:rPr>
          <w:rFonts w:ascii="Arial" w:cs="Arial" w:eastAsia="Arial" w:hAnsi="Arial"/>
          <w:sz w:val="12"/>
          <w:szCs w:val="12"/>
          <w:color w:val="auto"/>
        </w:rPr>
        <w:t>The December 2008 amendments to the employment agreements with Messrs Carlozzi and Henneman provide that both Mr. Carlozzi and Mr. Henneman will receive (i) a base salary of $475,000 for 2009 and $500,000 for 2010, (ii) an annual bonus opportunity for each of 2009 and 2010 equal to 50% of annual base salary and (iii) 88,877 RSUs to be granted on December 18, 2008, of which 83,846 units represent the signing equity-based award and 5,031 units represent the equity-based award for 2008 performance. The restricted stock unit grants for each executive, subject to the executive’s continued service with the Company, vest in two equal annual installments on the first two anniversaries of the grant date and are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agreements, or (iv) the executive’s death. The shares underlying the units will be paid out within the 30-day period immediately following the six-month anniversary after the executive’s separation from service with the Company.</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restricted stock unit grants include certain dividend equivalent rights for vested awards.</w:t>
      </w:r>
    </w:p>
    <w:p>
      <w:pPr>
        <w:spacing w:after="0" w:line="101" w:lineRule="exact"/>
        <w:rPr>
          <w:sz w:val="20"/>
          <w:szCs w:val="20"/>
          <w:color w:val="auto"/>
        </w:rPr>
      </w:pPr>
    </w:p>
    <w:p>
      <w:pPr>
        <w:ind w:right="720" w:firstLine="399"/>
        <w:spacing w:after="0" w:line="291" w:lineRule="auto"/>
        <w:rPr>
          <w:sz w:val="20"/>
          <w:szCs w:val="20"/>
          <w:color w:val="auto"/>
        </w:rPr>
      </w:pPr>
      <w:r>
        <w:rPr>
          <w:rFonts w:ascii="Arial" w:cs="Arial" w:eastAsia="Arial" w:hAnsi="Arial"/>
          <w:sz w:val="13"/>
          <w:szCs w:val="13"/>
          <w:color w:val="auto"/>
        </w:rPr>
        <w:t>See “2009 Employment Agreement Matters,” “2010 Employment Agreement and Severance Agreement Matters,” “Post Employment Arrangements” and “Executive Compensation — Potential Payments under Termination or Change in Control” for additional information.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2009 Employment Agreement Matters</w:t>
      </w:r>
    </w:p>
    <w:p>
      <w:pPr>
        <w:spacing w:after="0" w:line="103" w:lineRule="exact"/>
        <w:rPr>
          <w:sz w:val="20"/>
          <w:szCs w:val="20"/>
          <w:color w:val="auto"/>
        </w:rPr>
      </w:pPr>
    </w:p>
    <w:p>
      <w:pPr>
        <w:ind w:firstLine="399"/>
        <w:spacing w:after="0" w:line="261" w:lineRule="auto"/>
        <w:rPr>
          <w:sz w:val="20"/>
          <w:szCs w:val="20"/>
          <w:color w:val="auto"/>
        </w:rPr>
      </w:pPr>
      <w:r>
        <w:rPr>
          <w:rFonts w:ascii="Arial" w:cs="Arial" w:eastAsia="Arial" w:hAnsi="Arial"/>
          <w:sz w:val="13"/>
          <w:szCs w:val="13"/>
          <w:color w:val="auto"/>
        </w:rPr>
        <w:t>Because of economic conditions that commenced in the fall of 2008, in April 2009, we amended the employment agreements with Messrs. Essig, Henneman and Carlozzi to provide that, effective for the period commencing on the first day of the first full pay period of the Company on or after April 13, 2009 and ending on December 31, 2009, their 2009 annual base salary would be reduced to their respective 2008 annual base salary level; however, the salary reductions would not affect the calculation of severance payments, awards for 2009 performance or 2010 salary amounts. In addition, the amendments for Messrs. Carlozzi and Henneman provide that the Company will grant each of them for 2008 performance restricted stock equal in value to $180,000 (40% of their 2008 base salary) in recognition that no cash bonuses of equal value were awarded to them for 2008 performance. These grants vested 100% on March 15, 2010. Further, because the Company did not expect to pay cash bonuses for executives for 2009, the amendments for each of Messrs. Essig, Carlozzi and Henneman provided for the opportunity for each of them to earn grants of restricted stock for 2009 performance (instead of cash) equal in value to $650,000 for Mr. Essig (i.e., his 2009 salary before reduction) and $237,500 for each of Messrs. Carlozzi and Henneman (i.e., 50% of their 2009 salary before reduction). These grants vested 100% on December 31, 2010. See “Long-Term Equity-Based Incentives” above.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2010 Employment Agreement and Severance Agreement Matters</w:t>
      </w:r>
    </w:p>
    <w:p>
      <w:pPr>
        <w:spacing w:after="0" w:line="103" w:lineRule="exact"/>
        <w:rPr>
          <w:sz w:val="20"/>
          <w:szCs w:val="20"/>
          <w:color w:val="auto"/>
        </w:rPr>
      </w:pPr>
    </w:p>
    <w:p>
      <w:pPr>
        <w:jc w:val="both"/>
        <w:ind w:right="60" w:firstLine="399"/>
        <w:spacing w:after="0" w:line="274" w:lineRule="auto"/>
        <w:rPr>
          <w:sz w:val="20"/>
          <w:szCs w:val="20"/>
          <w:color w:val="auto"/>
        </w:rPr>
      </w:pPr>
      <w:r>
        <w:rPr>
          <w:rFonts w:ascii="Arial" w:cs="Arial" w:eastAsia="Arial" w:hAnsi="Arial"/>
          <w:sz w:val="13"/>
          <w:szCs w:val="13"/>
          <w:color w:val="auto"/>
        </w:rPr>
        <w:t>In January of 2010, we entered into a new one-year severance agreement with Ms. O’Grady following the expiration of her prior agreement. Ms. O’Grady’s severance agreement provides for a payment of one times base salary if, following a change in control, we terminate her employment other than for cause or she terminates her employment with us for “Good Reason” (as defined in her agreement).</w:t>
      </w:r>
    </w:p>
    <w:p>
      <w:pPr>
        <w:spacing w:after="0" w:line="59" w:lineRule="exact"/>
        <w:rPr>
          <w:sz w:val="20"/>
          <w:szCs w:val="20"/>
          <w:color w:val="auto"/>
        </w:rPr>
      </w:pPr>
    </w:p>
    <w:p>
      <w:pPr>
        <w:jc w:val="both"/>
        <w:ind w:right="120" w:firstLine="399"/>
        <w:spacing w:after="0" w:line="288" w:lineRule="auto"/>
        <w:rPr>
          <w:sz w:val="20"/>
          <w:szCs w:val="20"/>
          <w:color w:val="auto"/>
        </w:rPr>
      </w:pPr>
      <w:r>
        <w:rPr>
          <w:rFonts w:ascii="Arial" w:cs="Arial" w:eastAsia="Arial" w:hAnsi="Arial"/>
          <w:sz w:val="12"/>
          <w:szCs w:val="12"/>
          <w:color w:val="auto"/>
        </w:rPr>
        <w:t>In October 2010, we entered into an employment agreement with Mr. Arduini. The employment agreement provides that he will receive (i) an annual base salary of $600,000 for 2010 and 2011, subject to annual reviews for any increase, but no decrease, (ii) a cash signing bonus of $500,000, (iii) a signing award of fully vested RSUs with a value of $1,500,000,</w:t>
      </w:r>
    </w:p>
    <w:p>
      <w:pPr>
        <w:ind w:right="60" w:firstLine="8"/>
        <w:spacing w:after="0" w:line="283" w:lineRule="auto"/>
        <w:tabs>
          <w:tab w:leader="none" w:pos="226"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bonus for 2011 equal to 90% of his annual base salary, (v) an annual bonus opportunity for 2012 and future years with a target of 90% of base salary, based on achievement of performance objectives determined by the Compensation Committee with a range from 50% of base salary (if threshold performance goals are achieved) to a maximum of 150% of base salary, (vi) reimbursement of weekly round trip coach airfare for commuting prior to permanent relocation, (vii) reimbursement of up to $200,000 in certain relocation expenses (see “Perquisites below”) that do not include a home buy-out, (viii) reimbursement of up to $15,000 in legal fees incurred in connection with the initial negotiation of the employment agreement and (ix) discretionary annual equity awards equal to $1,000,000, allocated 70% in RSUs, which are subject to his continued employment, with annual vesting over three years and 30% in non-qualified stock options with a six-year term. Once vested, the shares underlying the RSU grants will be deferred and delivered to Mr. Arduini within the 30-day period immediately following the six-month anniversary of his separation from service. The unvested RSUs are subject to accelerated vesting upon death or disability or upon a “Change in Control” of the Company (as defined in the agreement). Subject to Mr. Arduini’s continued service with the Company, the options will vest as follows: 25% of the Shares vest on the first anniversary of the option grant date and the remaining shares vest monthly thereafter over the subsequent 36 months. In addition, the options will vest in full upon his death or disability or upon a “Change in Control” of the Company.</w:t>
      </w:r>
    </w:p>
    <w:p>
      <w:pPr>
        <w:spacing w:after="0" w:line="55" w:lineRule="exact"/>
        <w:rPr>
          <w:sz w:val="20"/>
          <w:szCs w:val="20"/>
          <w:color w:val="auto"/>
        </w:rPr>
      </w:pPr>
    </w:p>
    <w:p>
      <w:pPr>
        <w:ind w:right="100" w:firstLine="399"/>
        <w:spacing w:after="0" w:line="288" w:lineRule="auto"/>
        <w:rPr>
          <w:sz w:val="20"/>
          <w:szCs w:val="20"/>
          <w:color w:val="auto"/>
        </w:rPr>
      </w:pPr>
      <w:r>
        <w:rPr>
          <w:rFonts w:ascii="Arial" w:cs="Arial" w:eastAsia="Arial" w:hAnsi="Arial"/>
          <w:sz w:val="12"/>
          <w:szCs w:val="12"/>
          <w:color w:val="auto"/>
        </w:rPr>
        <w:t>If Mr. Arduini’s employment with the Company is terminated by the Company for a reason other than death, “Disability” or “Cause” or Mr. Arduini terminates his employment with the Company for “Good Reason” (each as defined in the employment agreement), the Company will pay to him a lump sum cash severance amount equal to the sum of his annual base salary and target bonus, each as of his last day of active employment. In addition, in general, the Company will pay him monthly cash payments equal to the Company’s cost of COBRA and life insurance premiums for up to one year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39" w:name="page40"/>
    <w:bookmarkEnd w:id="39"/>
    <w:p>
      <w:pPr>
        <w:ind w:right="20"/>
        <w:spacing w:after="0" w:line="291" w:lineRule="auto"/>
        <w:rPr>
          <w:sz w:val="20"/>
          <w:szCs w:val="20"/>
          <w:color w:val="auto"/>
        </w:rPr>
      </w:pPr>
      <w:r>
        <w:rPr>
          <w:rFonts w:ascii="Arial" w:cs="Arial" w:eastAsia="Arial" w:hAnsi="Arial"/>
          <w:sz w:val="13"/>
          <w:szCs w:val="13"/>
          <w:color w:val="auto"/>
        </w:rPr>
        <w:t>the scheduled employment term. The employment agreement with Mr. Arduini does not include any tax gross-up provisions. The above severance benefits are conditioned on Mr. Arduini and the Company executing a mutual release of claims.</w:t>
      </w:r>
    </w:p>
    <w:p>
      <w:pPr>
        <w:spacing w:after="0" w:line="48" w:lineRule="exact"/>
        <w:rPr>
          <w:sz w:val="20"/>
          <w:szCs w:val="20"/>
          <w:color w:val="auto"/>
        </w:rPr>
      </w:pPr>
    </w:p>
    <w:p>
      <w:pPr>
        <w:ind w:right="160" w:firstLine="399"/>
        <w:spacing w:after="0" w:line="336" w:lineRule="auto"/>
        <w:rPr>
          <w:sz w:val="20"/>
          <w:szCs w:val="20"/>
          <w:color w:val="auto"/>
        </w:rPr>
      </w:pPr>
      <w:r>
        <w:rPr>
          <w:rFonts w:ascii="Arial" w:cs="Arial" w:eastAsia="Arial" w:hAnsi="Arial"/>
          <w:sz w:val="12"/>
          <w:szCs w:val="12"/>
          <w:color w:val="auto"/>
        </w:rPr>
        <w:t>In October 2010, we amended the employment agreement with Mr. Henneman, including extending the term thereof through January 4, 2013. In addition, the amendment to his agreement deleted all gross-up provisions and provided for automatic one-year extensions unless either party provides at least six months advance notice of nonrenewal.</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October 2010 amendment to the employment agreement with Mr. Henneman provides that he will receive (i) a base salary of $525,000 for 2010 and $550,000 for 2011 and</w:t>
      </w:r>
    </w:p>
    <w:p>
      <w:pPr>
        <w:spacing w:after="0" w:line="33" w:lineRule="exact"/>
        <w:rPr>
          <w:sz w:val="20"/>
          <w:szCs w:val="20"/>
          <w:color w:val="auto"/>
        </w:rPr>
      </w:pPr>
    </w:p>
    <w:p>
      <w:pPr>
        <w:ind w:firstLine="8"/>
        <w:spacing w:after="0" w:line="286" w:lineRule="auto"/>
        <w:tabs>
          <w:tab w:leader="none" w:pos="197"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restricted stock with a value of $3,000,000 granted on December 15, 2010. His annual bonus opportunity targeted at 50% of base salary remains unchanged. The restricted stock grant, which is subject to his continued service with the Company, will vest in two equal annual installments on the first two anniversaries of the grant date and is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 or (iv) the executive’s death. If the employment agreement terminates as a result of the Company’s nonrenewal of the term, the nonrenewal would be treated the same as a termination without “Cause” and severance and certain benefits would be payable following the end of the term of the agreement. See “2008 Employment Agreement and Severance Agreement Matters” above for a description of the severance amount and benefits.</w:t>
      </w:r>
    </w:p>
    <w:p>
      <w:pPr>
        <w:spacing w:after="0" w:line="54"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Prior to approving the terms of the employment agreement for Mr. Arduini and the amendment to Mr. Henneman’s employment agreement, as well as the December 2010 compensation matters for Mr. Essig (i.e., his 2011 salary and 2010 bonus and annual equity grant), the Committee engaged Towers Watson to provide consulting services in connection with the terms of these agreements and the December 2010 compensation matters for Mr. Essig, including compiling market data on compensation of chief executive officers, chief operating officers and chief financial officers at peer groups approved in advance by the Committee. One group, consisting of similar-sized peers, included Alere Inc. (formerly known as Inverness Medical Innovations, Inc.), American Medical Systems Holdings, Inc., Arthrocare Corporation, CONMED Corporation, Edwards Lifesciences Corp., Haemonetics Corporation, Hill-Rom Holdings, Inc., Hologic, Inc., NuVasive Inc., ResMed, Inc., STERIS Corporation, The Cooper Companies, Inc. and Wright Medical Group, Inc. The second group, consisting of large company peers, included Baxter International Inc., Becton, Dickinson &amp; Co., Boston Scientific Corporation, C.R. Bard, Inc., CareFusion Corporation, Covidien Public Limited Company, Hospira, Inc., Medtronic, Inc., St. Jude Medical, Inc., Stryker Corporation and Zimmer Holdings, Inc. The review included data on larger medical device companies because Integra is a growing company, and our executives may be attractive candidates for these or similar companies.</w:t>
      </w:r>
    </w:p>
    <w:p>
      <w:pPr>
        <w:spacing w:after="0" w:line="58" w:lineRule="exact"/>
        <w:rPr>
          <w:sz w:val="20"/>
          <w:szCs w:val="20"/>
          <w:color w:val="auto"/>
        </w:rPr>
      </w:pPr>
    </w:p>
    <w:p>
      <w:pPr>
        <w:ind w:right="80" w:firstLine="399"/>
        <w:spacing w:after="0" w:line="263" w:lineRule="auto"/>
        <w:rPr>
          <w:sz w:val="20"/>
          <w:szCs w:val="20"/>
          <w:color w:val="auto"/>
        </w:rPr>
      </w:pPr>
      <w:r>
        <w:rPr>
          <w:rFonts w:ascii="Arial" w:cs="Arial" w:eastAsia="Arial" w:hAnsi="Arial"/>
          <w:sz w:val="13"/>
          <w:szCs w:val="13"/>
          <w:color w:val="auto"/>
        </w:rPr>
        <w:t>The Committee used a similar process in reviewing and determining the terms of the employment agreement for Mr. Arduini and the amendment to extend the term of the employment agreement for Mr. Henneman and the December 2010 compensation matters for Mr. Essig as it had used in 2008 when reviewing and determining the terms of the amendments to extend the terms of the employment agreements with Messrs. Essig, Carlozzi and Henneman. Prior to approving the 2010 agreements for Messrs. Arduini and Henneman and the December 2010 compensation matters for Mr. Essig, the Committee reviewed the market data analysis that Towers Watson developed, the proposed size, form and rationale for salaries, bonuses, equity-based awards, tax and accounting considerations, unique circumstances, succession planning considerations and process for developing the terms of the amendments. In the case of Mr. Arduini, the Committee also considered the amount of his compensation at his former employer and the fact that he would be forfeiting a substantial amount of such compensation.</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“Post-Employment Arrangements” below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Post-Employment Arrangements</w:t>
      </w:r>
    </w:p>
    <w:p>
      <w:pPr>
        <w:spacing w:after="0" w:line="103" w:lineRule="exact"/>
        <w:rPr>
          <w:sz w:val="20"/>
          <w:szCs w:val="20"/>
          <w:color w:val="auto"/>
        </w:rPr>
      </w:pPr>
    </w:p>
    <w:p>
      <w:pPr>
        <w:ind w:right="160" w:firstLine="399"/>
        <w:spacing w:after="0" w:line="336" w:lineRule="auto"/>
        <w:rPr>
          <w:sz w:val="20"/>
          <w:szCs w:val="20"/>
          <w:color w:val="auto"/>
        </w:rPr>
      </w:pPr>
      <w:r>
        <w:rPr>
          <w:rFonts w:ascii="Arial" w:cs="Arial" w:eastAsia="Arial" w:hAnsi="Arial"/>
          <w:sz w:val="12"/>
          <w:szCs w:val="12"/>
          <w:color w:val="auto"/>
        </w:rPr>
        <w:t>We have entered into employment agreements with our Chief Executive Officer, our President and Chief Operating Officer and our Executive Vice Presidents. The employment agreements provide for payments if we were to terminate them other than for cause and if the executive were to terminate his employment for good reason, and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0" w:name="page41"/>
    <w:bookmarkEnd w:id="40"/>
    <w:p>
      <w:pPr>
        <w:ind w:right="240"/>
        <w:spacing w:after="0" w:line="291" w:lineRule="auto"/>
        <w:rPr>
          <w:sz w:val="20"/>
          <w:szCs w:val="20"/>
          <w:color w:val="auto"/>
        </w:rPr>
      </w:pPr>
      <w:r>
        <w:rPr>
          <w:rFonts w:ascii="Arial" w:cs="Arial" w:eastAsia="Arial" w:hAnsi="Arial"/>
          <w:sz w:val="13"/>
          <w:szCs w:val="13"/>
          <w:color w:val="auto"/>
        </w:rPr>
        <w:t>provide for additional payments if the executive’s employment is terminated under these circumstances following a change in control. As indicated above, the employment agreement with Mr. Carlozzi expired on January 4, 2011.</w:t>
      </w:r>
    </w:p>
    <w:p>
      <w:pPr>
        <w:spacing w:after="0" w:line="48"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In January of 2008, 2010 and 2011, we entered into a new one-year severance agreement with Ms. O’Grady following the expiration of her prior agreement. Ms. O’Grady’s severance agreement provides for a payment if, following a change in control, we terminate her employment other than for cause or she terminates her employment with us for “good reason” (as defined in her agreement). The only named executive officers who currently have employment agreements that provide for termination payments outside a change in control are our Chief Executive Officer, our President and Chief Operating Officer and our Chief Financial Officer. Only a limited number of other U.S.-based employees are parties to agreements that provide for such payments.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do not have a severance agreement with Mr. Corbin.</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unvested RSUs would vest and be distributed on the date of the change in control. Mr. Essig’s employment agreement also provided for a full gross-up payment to cover excise taxes under Section 280G of the Internal Revenue Code. We had included change-in-control benefits in the employment agreement that we entered into with our Executive Vice Presidents in late 2005 and early 2006, and our Compensation Committee determined that it was appropriate to amend Mr. Essig’s employment agreement to provide similar benefits.</w:t>
      </w:r>
    </w:p>
    <w:p>
      <w:pPr>
        <w:spacing w:after="0" w:line="66" w:lineRule="exact"/>
        <w:rPr>
          <w:sz w:val="20"/>
          <w:szCs w:val="20"/>
          <w:color w:val="auto"/>
        </w:rPr>
      </w:pPr>
    </w:p>
    <w:p>
      <w:pPr>
        <w:jc w:val="both"/>
        <w:ind w:right="240" w:firstLine="399"/>
        <w:spacing w:after="0" w:line="307" w:lineRule="auto"/>
        <w:rPr>
          <w:sz w:val="20"/>
          <w:szCs w:val="20"/>
          <w:color w:val="auto"/>
        </w:rPr>
      </w:pPr>
      <w:r>
        <w:rPr>
          <w:rFonts w:ascii="Arial" w:cs="Arial" w:eastAsia="Arial" w:hAnsi="Arial"/>
          <w:sz w:val="12"/>
          <w:szCs w:val="12"/>
          <w:color w:val="auto"/>
        </w:rPr>
        <w:t>The 2006 amendment provides Mr. Essig with change-in-control benefits that are in addition to the benefits that were provided in the initial agreement. Specifically, if within 18 months following a change in control (i) we terminate Mr. Essig’s employment for a reason other than death, disability or cause, (ii) Mr. Essig terminates his employment for good reason or (iii) we do not extend Mr. Essig’s employment agreement after a change in control, Mr. Essig will be entitled to additional severance benefits.</w:t>
      </w:r>
    </w:p>
    <w:p>
      <w:pPr>
        <w:spacing w:after="0" w:line="41" w:lineRule="exact"/>
        <w:rPr>
          <w:sz w:val="20"/>
          <w:szCs w:val="20"/>
          <w:color w:val="auto"/>
        </w:rPr>
      </w:pPr>
    </w:p>
    <w:p>
      <w:pPr>
        <w:ind w:right="80" w:firstLine="399"/>
        <w:spacing w:after="0" w:line="307"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for compliance with Section 409A of the Code and to update our post-termination insurance benefit provisions. In March 2008, we made similar changes to the employment agreement with Mr. Essig. In January 2008, we entered into a new severance agreement with Ms. O’Grady to make similar changes and to change the cash severance amount for termination because of a change in control to one times base salary.</w:t>
      </w:r>
    </w:p>
    <w:p>
      <w:pPr>
        <w:spacing w:after="0" w:line="41"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In August 2008, we amended the employment agreement with Mr. Essig, including extending the term thereof. In addition, in December 2008, we amended the employment agreements with Messrs. Carlozzi and Henneman, including extending the term thereof. In addition, the amendments to the agreements with Messrs. Carlozzi and Henneman deleted the prior provision for cash severance and certain other benefits upon a nonrenewal of the employment agreements.</w:t>
      </w:r>
    </w:p>
    <w:p>
      <w:pPr>
        <w:spacing w:after="0" w:line="59"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In October 2010, we amended the employment agreement with Mr. Henneman, including extending the term thereof. In addition, the amendment to his agreement eliminated all gross-up provisions, provided for automatic one-year extensions unless either party provides at least six months advance notice of nonrenewal and included a provision for cash severance and certain other benefits upon the termination of the agreement as a result of a nonrenewal by the Company.</w:t>
      </w:r>
    </w:p>
    <w:p>
      <w:pPr>
        <w:spacing w:after="0" w:line="59" w:lineRule="exact"/>
        <w:rPr>
          <w:sz w:val="20"/>
          <w:szCs w:val="20"/>
          <w:color w:val="auto"/>
        </w:rPr>
      </w:pPr>
    </w:p>
    <w:p>
      <w:pPr>
        <w:ind w:right="240" w:firstLine="399"/>
        <w:spacing w:after="0" w:line="291" w:lineRule="auto"/>
        <w:rPr>
          <w:sz w:val="20"/>
          <w:szCs w:val="20"/>
          <w:color w:val="auto"/>
        </w:rPr>
      </w:pPr>
      <w:r>
        <w:rPr>
          <w:rFonts w:ascii="Arial" w:cs="Arial" w:eastAsia="Arial" w:hAnsi="Arial"/>
          <w:sz w:val="13"/>
          <w:szCs w:val="13"/>
          <w:color w:val="auto"/>
        </w:rPr>
        <w:t>In October 2010, we entered into an employment agreement with Mr. Arduini which included a provision for cash severance and certain other benefits upon termination of the agreement for certain reasons.</w:t>
      </w:r>
    </w:p>
    <w:p>
      <w:pPr>
        <w:spacing w:after="0" w:line="48"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Details of the severance provisions are described in “Potential Payments Upon Termination of Change in Control.” See “2008 Employment Agreement and Severance Agreement Matters” and “2010 Employment Agreement and Severance Agreement Matters” above for additional information.</w:t>
      </w:r>
    </w:p>
    <w:p>
      <w:pPr>
        <w:spacing w:after="0" w:line="48" w:lineRule="exact"/>
        <w:rPr>
          <w:sz w:val="20"/>
          <w:szCs w:val="20"/>
          <w:color w:val="auto"/>
        </w:rPr>
      </w:pPr>
    </w:p>
    <w:p>
      <w:pPr>
        <w:ind w:right="60" w:firstLine="399"/>
        <w:spacing w:after="0" w:line="268" w:lineRule="auto"/>
        <w:rPr>
          <w:sz w:val="20"/>
          <w:szCs w:val="20"/>
          <w:color w:val="auto"/>
        </w:rPr>
      </w:pPr>
      <w:r>
        <w:rPr>
          <w:rFonts w:ascii="Arial" w:cs="Arial" w:eastAsia="Arial" w:hAnsi="Arial"/>
          <w:sz w:val="13"/>
          <w:szCs w:val="13"/>
          <w:color w:val="auto"/>
        </w:rPr>
        <w:t>In connection with Mr. Carlozzi’s retirement, the Compensation Committee approved the terms of a consulting agreement between the Company and an entity (the “Consultant”) of which Mr. Carlozzi is the principal, for the period beginning on January 4, 2011 and ending on June 15, 2011. Pursuant to the consulting agreement, the Consultant will perform consulting services for the Company related to special projects involving the Company’s business under the direction of the Company’s Chief Executive Officer for a fee of $600,000 for the full consulting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1" w:name="page42"/>
    <w:bookmarkEnd w:id="41"/>
    <w:p>
      <w:pPr>
        <w:ind w:right="40"/>
        <w:spacing w:after="0" w:line="264" w:lineRule="auto"/>
        <w:rPr>
          <w:sz w:val="20"/>
          <w:szCs w:val="20"/>
          <w:color w:val="auto"/>
        </w:rPr>
      </w:pPr>
      <w:r>
        <w:rPr>
          <w:rFonts w:ascii="Arial" w:cs="Arial" w:eastAsia="Arial" w:hAnsi="Arial"/>
          <w:sz w:val="13"/>
          <w:szCs w:val="13"/>
          <w:color w:val="auto"/>
        </w:rPr>
        <w:t>term, payable $100,000 per month (or for June 2011, for the half month) plus reimbursement of reasonable expenses. The level of consulting services to be provided by the Consultant is equal to 50% of the level of services performed by Mr. Carlozzi prior to his retirement from the Company. The consulting agreement also provides for (i) an assignment to the Company of any intellectual property relating to the Company’s business that the Consultant creates relating to the assignments or projects associated with the work performed under the consulting agreement and (ii) non-competition and non-solicitation covenants for one year following the expiration or termination of the consulting agreement. In the event that the Company terminates the consulting agreement early (other than as a result of a material breach by the Consultant), the Consultant will be paid for the remainder of the consulting fee for the full term of the consulting agreement in a lump sum.</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2010 Named Executive Officer Compensation</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ind w:right="160" w:firstLine="399"/>
        <w:spacing w:after="0" w:line="291" w:lineRule="auto"/>
        <w:rPr>
          <w:sz w:val="20"/>
          <w:szCs w:val="20"/>
          <w:color w:val="auto"/>
        </w:rPr>
      </w:pPr>
      <w:r>
        <w:rPr>
          <w:rFonts w:ascii="Arial" w:cs="Arial" w:eastAsia="Arial" w:hAnsi="Arial"/>
          <w:sz w:val="13"/>
          <w:szCs w:val="13"/>
          <w:color w:val="auto"/>
        </w:rPr>
        <w:t>In (i) December 2009 for Messrs. Essig, Henneman and Carlozzi, (ii) February 2010 for Ms. O’Grady and Mr. Corbin and (iii) October 2010 for Mr. Arduini, the Compensation Committee approved their respective base salaries shown in column (a)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0" w:type="dxa"/>
            <w:vAlign w:val="bottom"/>
            <w:vMerge w:val="restart"/>
          </w:tcPr>
          <w:p>
            <w:pPr>
              <w:jc w:val="right"/>
              <w:ind w:right="357"/>
              <w:spacing w:after="0"/>
              <w:rPr>
                <w:sz w:val="20"/>
                <w:szCs w:val="20"/>
                <w:color w:val="auto"/>
              </w:rPr>
            </w:pPr>
            <w:r>
              <w:rPr>
                <w:rFonts w:ascii="Arial" w:cs="Arial" w:eastAsia="Arial" w:hAnsi="Arial"/>
                <w:sz w:val="11"/>
                <w:szCs w:val="11"/>
                <w:b w:val="1"/>
                <w:bCs w:val="1"/>
                <w:color w:val="auto"/>
              </w:rPr>
              <w:t>2010 Base Salary</w:t>
            </w:r>
          </w:p>
        </w:tc>
        <w:tc>
          <w:tcPr>
            <w:tcW w:w="28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84"/>
              </w:rPr>
              <w:t>Percentage</w:t>
            </w:r>
          </w:p>
        </w:tc>
        <w:tc>
          <w:tcPr>
            <w:tcW w:w="0" w:type="dxa"/>
            <w:vAlign w:val="bottom"/>
          </w:tcPr>
          <w:p>
            <w:pPr>
              <w:spacing w:after="0"/>
              <w:rPr>
                <w:sz w:val="1"/>
                <w:szCs w:val="1"/>
                <w:color w:val="auto"/>
              </w:rPr>
            </w:pPr>
          </w:p>
        </w:tc>
      </w:tr>
      <w:tr>
        <w:trPr>
          <w:trHeight w:val="120"/>
        </w:trPr>
        <w:tc>
          <w:tcPr>
            <w:tcW w:w="6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Increase from 2009</w:t>
            </w:r>
          </w:p>
        </w:tc>
        <w:tc>
          <w:tcPr>
            <w:tcW w:w="0" w:type="dxa"/>
            <w:vAlign w:val="bottom"/>
          </w:tcPr>
          <w:p>
            <w:pPr>
              <w:spacing w:after="0"/>
              <w:rPr>
                <w:sz w:val="1"/>
                <w:szCs w:val="1"/>
                <w:color w:val="auto"/>
              </w:rPr>
            </w:pPr>
          </w:p>
        </w:tc>
      </w:tr>
      <w:tr>
        <w:trPr>
          <w:trHeight w:val="127"/>
        </w:trPr>
        <w:tc>
          <w:tcPr>
            <w:tcW w:w="6520" w:type="dxa"/>
            <w:vAlign w:val="bottom"/>
            <w:gridSpan w:val="3"/>
            <w:vMerge w:val="continue"/>
          </w:tcPr>
          <w:p>
            <w:pPr>
              <w:spacing w:after="0"/>
              <w:rPr>
                <w:sz w:val="11"/>
                <w:szCs w:val="11"/>
                <w:color w:val="auto"/>
              </w:rPr>
            </w:pPr>
          </w:p>
        </w:tc>
        <w:tc>
          <w:tcPr>
            <w:tcW w:w="1600" w:type="dxa"/>
            <w:vAlign w:val="bottom"/>
          </w:tcPr>
          <w:p>
            <w:pPr>
              <w:jc w:val="right"/>
              <w:ind w:right="677"/>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1"/>
                <w:szCs w:val="11"/>
                <w:color w:val="auto"/>
              </w:rPr>
            </w:pPr>
          </w:p>
        </w:tc>
        <w:tc>
          <w:tcPr>
            <w:tcW w:w="1580" w:type="dxa"/>
            <w:vAlign w:val="bottom"/>
          </w:tcPr>
          <w:p>
            <w:pPr>
              <w:ind w:left="720"/>
              <w:spacing w:after="0"/>
              <w:rPr>
                <w:sz w:val="20"/>
                <w:szCs w:val="20"/>
                <w:color w:val="auto"/>
              </w:rPr>
            </w:pPr>
            <w:r>
              <w:rPr>
                <w:rFonts w:ascii="Arial" w:cs="Arial" w:eastAsia="Arial" w:hAnsi="Arial"/>
                <w:sz w:val="11"/>
                <w:szCs w:val="11"/>
                <w:b w:val="1"/>
                <w:bCs w:val="1"/>
                <w:color w:val="auto"/>
              </w:rPr>
              <w:t>(b)</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60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$700,000</w:t>
            </w:r>
          </w:p>
        </w:tc>
        <w:tc>
          <w:tcPr>
            <w:tcW w:w="18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00" w:type="dxa"/>
            <w:vAlign w:val="bottom"/>
            <w:gridSpan w:val="2"/>
          </w:tcPr>
          <w:p>
            <w:pPr>
              <w:spacing w:after="0"/>
              <w:rPr>
                <w:sz w:val="20"/>
                <w:szCs w:val="20"/>
                <w:color w:val="auto"/>
              </w:rPr>
            </w:pPr>
            <w:r>
              <w:rPr>
                <w:rFonts w:ascii="Arial" w:cs="Arial" w:eastAsia="Arial" w:hAnsi="Arial"/>
                <w:sz w:val="13"/>
                <w:szCs w:val="13"/>
                <w:color w:val="auto"/>
              </w:rPr>
              <w:t>Peter J. Arduini</w:t>
            </w:r>
          </w:p>
        </w:tc>
        <w:tc>
          <w:tcPr>
            <w:tcW w:w="1600" w:type="dxa"/>
            <w:vAlign w:val="bottom"/>
          </w:tcPr>
          <w:p>
            <w:pPr>
              <w:jc w:val="right"/>
              <w:ind w:right="517"/>
              <w:spacing w:after="0"/>
              <w:rPr>
                <w:sz w:val="20"/>
                <w:szCs w:val="20"/>
                <w:color w:val="auto"/>
              </w:rPr>
            </w:pPr>
            <w:r>
              <w:rPr>
                <w:rFonts w:ascii="Arial" w:cs="Arial" w:eastAsia="Arial" w:hAnsi="Arial"/>
                <w:sz w:val="13"/>
                <w:szCs w:val="13"/>
                <w:color w:val="auto"/>
              </w:rPr>
              <w:t>$600,000</w:t>
            </w:r>
          </w:p>
        </w:tc>
        <w:tc>
          <w:tcPr>
            <w:tcW w:w="2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160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$500,000</w:t>
            </w:r>
          </w:p>
        </w:tc>
        <w:tc>
          <w:tcPr>
            <w:tcW w:w="18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00" w:type="dxa"/>
            <w:vAlign w:val="bottom"/>
            <w:gridSpan w:val="2"/>
          </w:tcPr>
          <w:p>
            <w:pPr>
              <w:spacing w:after="0"/>
              <w:rPr>
                <w:sz w:val="20"/>
                <w:szCs w:val="20"/>
                <w:color w:val="auto"/>
              </w:rPr>
            </w:pPr>
            <w:r>
              <w:rPr>
                <w:rFonts w:ascii="Arial" w:cs="Arial" w:eastAsia="Arial" w:hAnsi="Arial"/>
                <w:sz w:val="13"/>
                <w:szCs w:val="13"/>
                <w:color w:val="auto"/>
              </w:rPr>
              <w:t>Gerard S. Carlozzi</w:t>
            </w:r>
          </w:p>
        </w:tc>
        <w:tc>
          <w:tcPr>
            <w:tcW w:w="1600" w:type="dxa"/>
            <w:vAlign w:val="bottom"/>
          </w:tcPr>
          <w:p>
            <w:pPr>
              <w:jc w:val="right"/>
              <w:ind w:right="517"/>
              <w:spacing w:after="0"/>
              <w:rPr>
                <w:sz w:val="20"/>
                <w:szCs w:val="20"/>
                <w:color w:val="auto"/>
              </w:rPr>
            </w:pPr>
            <w:r>
              <w:rPr>
                <w:rFonts w:ascii="Arial" w:cs="Arial" w:eastAsia="Arial" w:hAnsi="Arial"/>
                <w:sz w:val="13"/>
                <w:szCs w:val="13"/>
                <w:color w:val="auto"/>
              </w:rPr>
              <w:t>$500,000</w:t>
            </w:r>
          </w:p>
        </w:tc>
        <w:tc>
          <w:tcPr>
            <w:tcW w:w="1860" w:type="dxa"/>
            <w:vAlign w:val="bottom"/>
            <w:gridSpan w:val="2"/>
          </w:tcPr>
          <w:p>
            <w:pPr>
              <w:ind w:left="102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60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$250,000</w:t>
            </w:r>
          </w:p>
        </w:tc>
        <w:tc>
          <w:tcPr>
            <w:tcW w:w="186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1600" w:type="dxa"/>
            <w:vAlign w:val="bottom"/>
          </w:tcPr>
          <w:p>
            <w:pPr>
              <w:jc w:val="right"/>
              <w:ind w:right="517"/>
              <w:spacing w:after="0"/>
              <w:rPr>
                <w:sz w:val="20"/>
                <w:szCs w:val="20"/>
                <w:color w:val="auto"/>
              </w:rPr>
            </w:pPr>
            <w:r>
              <w:rPr>
                <w:rFonts w:ascii="Arial" w:cs="Arial" w:eastAsia="Arial" w:hAnsi="Arial"/>
                <w:sz w:val="13"/>
                <w:szCs w:val="13"/>
                <w:color w:val="auto"/>
              </w:rPr>
              <w:t>$250,000</w:t>
            </w:r>
          </w:p>
        </w:tc>
        <w:tc>
          <w:tcPr>
            <w:tcW w:w="1860" w:type="dxa"/>
            <w:vAlign w:val="bottom"/>
            <w:gridSpan w:val="2"/>
          </w:tcPr>
          <w:p>
            <w:pPr>
              <w:ind w:left="102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120" w:firstLine="399"/>
        <w:spacing w:after="0" w:line="293" w:lineRule="auto"/>
        <w:rPr>
          <w:sz w:val="20"/>
          <w:szCs w:val="20"/>
          <w:color w:val="auto"/>
        </w:rPr>
      </w:pPr>
      <w:r>
        <w:rPr>
          <w:rFonts w:ascii="Arial" w:cs="Arial" w:eastAsia="Arial" w:hAnsi="Arial"/>
          <w:sz w:val="12"/>
          <w:szCs w:val="12"/>
          <w:color w:val="auto"/>
        </w:rPr>
        <w:t>The salary amounts shown in column (a) above for Messrs. Essig, Carlozzi and Henneman were effective January 1, 2010. The salary amount shown in column (a) above for Mr. Arduini was effective November 1, 2010, the date he commenced employment with the Company. The increases for the other named executive officers were effective March 20, 2010. The percentage increases shown in column (b) for Messrs. Essig, Carlozzi and Henneman reflect the increase from the respective executive’s 2009 base salary in effect prior to a temporary salary decrease to 2008 salary levels. The increase in Mr. Essig’s salary from $650,000 to $700,000 was the minimum required under his employment agreement. In addition, the salary increase for each of Messrs. Carlozzi and Henneman was required by their respective employment agreement. See “Elements of Compensation — Base Salaries” above.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Annual Bonus Payments</w:t>
      </w:r>
    </w:p>
    <w:p>
      <w:pPr>
        <w:spacing w:after="0" w:line="101" w:lineRule="exact"/>
        <w:rPr>
          <w:sz w:val="20"/>
          <w:szCs w:val="20"/>
          <w:color w:val="auto"/>
        </w:rPr>
      </w:pPr>
    </w:p>
    <w:p>
      <w:pPr>
        <w:ind w:right="80" w:firstLine="399"/>
        <w:spacing w:after="0" w:line="297" w:lineRule="auto"/>
        <w:rPr>
          <w:sz w:val="20"/>
          <w:szCs w:val="20"/>
          <w:color w:val="auto"/>
        </w:rPr>
      </w:pPr>
      <w:r>
        <w:rPr>
          <w:rFonts w:ascii="Arial" w:cs="Arial" w:eastAsia="Arial" w:hAnsi="Arial"/>
          <w:sz w:val="12"/>
          <w:szCs w:val="12"/>
          <w:color w:val="auto"/>
        </w:rPr>
        <w:t>Mr. Essig’s employment agreement provides that he shall be eligible for a cash bonus that shall not be less than 100% of his base salary. Prior to 2006, the Committee determined not to award Mr. Essig a cash bonus because of our limited cash flow. For 2008 and 2009, the Committee determined not to award a cash bonus to Mr. Essig because of economic conditions. For 2010, the Committee determined to pay him a bonus equal to $700,038 (approximately equal to the target amount), based on Company and individual performance. The Committee determined to pay the bonus partly in cash ($300,000) and partly in RSUs (with a value of $400,038) with annual vesting over three years.</w:t>
      </w:r>
    </w:p>
    <w:p>
      <w:pPr>
        <w:spacing w:after="0" w:line="48" w:lineRule="exact"/>
        <w:rPr>
          <w:sz w:val="20"/>
          <w:szCs w:val="20"/>
          <w:color w:val="auto"/>
        </w:rPr>
      </w:pPr>
    </w:p>
    <w:p>
      <w:pPr>
        <w:ind w:right="140" w:firstLine="399"/>
        <w:spacing w:after="0" w:line="274" w:lineRule="auto"/>
        <w:rPr>
          <w:sz w:val="20"/>
          <w:szCs w:val="20"/>
          <w:color w:val="auto"/>
        </w:rPr>
      </w:pPr>
      <w:r>
        <w:rPr>
          <w:rFonts w:ascii="Arial" w:cs="Arial" w:eastAsia="Arial" w:hAnsi="Arial"/>
          <w:sz w:val="13"/>
          <w:szCs w:val="13"/>
          <w:color w:val="auto"/>
        </w:rPr>
        <w:t>A target bonus of 50% of base salary for 2010 is provided in the employment agreements to which Mr. Carlozzi and Mr. Henneman are parties. For 2010, the Committee determined to pay each of them a cash bonus equal to $250,000, the target amount, based on Company and individual performance. Because of economic conditions that commenced in the fall of 2008, the Compensation Committee determined not to pay cash bonuses to these executives for 2008 or 2009.</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additional information, see “Annual Review of Compensation” above.</w:t>
      </w:r>
    </w:p>
    <w:p>
      <w:pPr>
        <w:spacing w:after="0" w:line="101" w:lineRule="exact"/>
        <w:rPr>
          <w:sz w:val="20"/>
          <w:szCs w:val="20"/>
          <w:color w:val="auto"/>
        </w:rPr>
      </w:pPr>
    </w:p>
    <w:p>
      <w:pPr>
        <w:ind w:right="100" w:firstLine="399"/>
        <w:spacing w:after="0" w:line="291" w:lineRule="auto"/>
        <w:rPr>
          <w:sz w:val="20"/>
          <w:szCs w:val="20"/>
          <w:color w:val="auto"/>
        </w:rPr>
      </w:pPr>
      <w:r>
        <w:rPr>
          <w:rFonts w:ascii="Arial" w:cs="Arial" w:eastAsia="Arial" w:hAnsi="Arial"/>
          <w:sz w:val="13"/>
          <w:szCs w:val="13"/>
          <w:color w:val="auto"/>
        </w:rPr>
        <w:t>Mr. Arduini, whom we hired in November 2010, was not eligible for a bonus for 2010 performance. The Company paid him a cash signing bonus of $500,000, as provided in his employment agreement. See “2010 Employment Agreement and Severance Agreement Matters.”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2" w:name="page43"/>
    <w:bookmarkEnd w:id="42"/>
    <w:p>
      <w:pPr>
        <w:ind w:left="200"/>
        <w:spacing w:after="0"/>
        <w:rPr>
          <w:sz w:val="20"/>
          <w:szCs w:val="20"/>
          <w:color w:val="auto"/>
        </w:rPr>
      </w:pPr>
      <w:r>
        <w:rPr>
          <w:rFonts w:ascii="Arial" w:cs="Arial" w:eastAsia="Arial" w:hAnsi="Arial"/>
          <w:sz w:val="13"/>
          <w:szCs w:val="13"/>
          <w:b w:val="1"/>
          <w:bCs w:val="1"/>
          <w:i w:val="1"/>
          <w:iCs w:val="1"/>
          <w:color w:val="auto"/>
        </w:rPr>
        <w:t>Discretionary Bonuses</w:t>
      </w:r>
    </w:p>
    <w:p>
      <w:pPr>
        <w:spacing w:after="0" w:line="101" w:lineRule="exact"/>
        <w:rPr>
          <w:sz w:val="20"/>
          <w:szCs w:val="20"/>
          <w:color w:val="auto"/>
        </w:rPr>
      </w:pPr>
    </w:p>
    <w:p>
      <w:pPr>
        <w:ind w:right="420" w:firstLine="399"/>
        <w:spacing w:after="0" w:line="291" w:lineRule="auto"/>
        <w:rPr>
          <w:sz w:val="20"/>
          <w:szCs w:val="20"/>
          <w:color w:val="auto"/>
        </w:rPr>
      </w:pPr>
      <w:r>
        <w:rPr>
          <w:rFonts w:ascii="Arial" w:cs="Arial" w:eastAsia="Arial" w:hAnsi="Arial"/>
          <w:sz w:val="13"/>
          <w:szCs w:val="13"/>
          <w:color w:val="auto"/>
        </w:rPr>
        <w:t>The Compensation Committee determined to pay discretionary cash bonuses for 2010 to Mr. Corbin and Ms. O’Grady based on Company and individual performance. See “Annual Review of Compensation” and “Annual Cash Incentives” above.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Equity Awards</w:t>
      </w:r>
    </w:p>
    <w:p>
      <w:pPr>
        <w:spacing w:after="0" w:line="101" w:lineRule="exact"/>
        <w:rPr>
          <w:sz w:val="20"/>
          <w:szCs w:val="20"/>
          <w:color w:val="auto"/>
        </w:rPr>
      </w:pPr>
    </w:p>
    <w:p>
      <w:pPr>
        <w:ind w:right="140" w:firstLine="399"/>
        <w:spacing w:after="0" w:line="274" w:lineRule="auto"/>
        <w:rPr>
          <w:sz w:val="20"/>
          <w:szCs w:val="20"/>
          <w:color w:val="auto"/>
        </w:rPr>
      </w:pPr>
      <w:r>
        <w:rPr>
          <w:rFonts w:ascii="Arial" w:cs="Arial" w:eastAsia="Arial" w:hAnsi="Arial"/>
          <w:sz w:val="13"/>
          <w:szCs w:val="13"/>
          <w:color w:val="auto"/>
        </w:rPr>
        <w:t>In July 2008, we granted to Mr. Henneman ten-year non-qualified stock options to acquire 50,000 shares of our common stock in connection with his appointment as Chief Financial Officer. The grant vested with respect to 25% of the shares on December 31, 2008 and vests thereafter with respect to 1/36 of the remaining shares on the first business day of each following month.</w:t>
      </w:r>
    </w:p>
    <w:p>
      <w:pPr>
        <w:spacing w:after="0" w:line="59"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In August 2008, we granted to Mr. Essig 375,000 fully vested RSUs in connection with the August 2008 amendment to his employment agreement, which extended the term of his employment agreement through December 2011. The underlying shares will be deferred and delivered to Mr. Essig within the 30-day period immediately following the six-month anniversary of his separation from service from the Company. In addition, in August 2008, we granted to Mr. Essig ten-year non-qualified stock options to purchase 125,000 shares of our common stock in connection with the extension of the term of his employment agreement. The options vest with respect to 25% of the shares on the first anniversary of the date of grant and thereafter with respect to 1/36 of the remaining shares on the first business day of each following month.</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Mr. Essig’s employment agreement, as amended in August 2008, provides that we shall award him an annual equity-based award in the form of RSUs or performance stock</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ranging from 75,000 to 100,000 shares of our common stock. In December 2008, December 2009 and December 2010, we granted 100,000 RSUs to Mr. Essig. In December 2010, we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also granted to Mr. Essig 8,362 RSUs as part of his bonus for 2010. See “Annual Bonus Payments” above.” The awards vest in three annual equal installments on the first, second and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third anniversaries of the grant date. The underlying shares will be deferred and delivered to Mr. Essig within the 30-day period immediately following the six-month anniversary of his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separation from service. In addition, in December 2009, we granted 18,336 shares of restricted stock (representing 100% of his 2009 salary before the temporary salary reduction) to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Mr. Essig for his 2009 performance pursuant to the terms of the April 2009 amendment to his employment agreement. These shares vested fully on December 31, 2010. In determining to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grant the maximum amount for these equity-based awards, the Committee considered Mr. Essig’s performance for the applicable year, the extent of the Company’s achievement of</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objectives for such year, the Company’s long-term performance, the Committee’s determination not to grant him a cash bonus for the applicable year, the amount of his salary increase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and other factors. See “Annual Review of Compensation” above.</w:t>
      </w:r>
    </w:p>
    <w:p>
      <w:pPr>
        <w:spacing w:after="0" w:line="90"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In November 2010, we granted to Mr. Arduini 34,868 fully vested RSUs (with a value at the time of grant equal to $1,500,021) in connection with his employment agreement. The underlying shares (less 738 shares withheld for employment taxes at the time of the grant) are deferred and will be delivered to Mr. Arduini within the 30-day period immediately following the six-month anniversary of his separation from service. See “2010 Employment Agreement and Severance Agreement Matters” above.</w:t>
      </w:r>
    </w:p>
    <w:p>
      <w:pPr>
        <w:spacing w:after="0" w:line="59"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color w:val="auto"/>
        </w:rPr>
        <w:t>Pursuant to the terms of their employment agreements, as amended in December 2008 and April 2009, in December 2008 and April 2009, we granted 5,031 RSUs (representing 40% of their 2008 base salary) and 7,813 shares of restricted stock (representing 40% of their 2008 base salary), respectively, to each of Messrs. Henneman and Carlozzi for their 2008 performance. In addition, in December 2009 and April 2010, we granted 6,700 shares and 5,465 shares of restricted stock (with a value at the time of grant equal to 50% of their 2009 salary before the temporary salary reduction) to each of Mr. Henneman and Mr. Carlozzi, respectively, for their 2009 performance pursuant to the terms of the April 2009 amendment to their employment agreement. These shares vested fully on December 31, 2010. These amounts reflect the Committee’s intent to maintain their overall compensation package consistent with that of prior years and takes into consideration the lack of a cash bonus for 2008 and 2009. See “Annual Review of Compensation” above. Because no cash bonuses were paid to Messrs. Henneman and Carlozzi for 2008 and 2009, as described above, the Committee did not follow its prior practice of paying them half of their bonus in cash and half in equity-based compensation. The Committee made this change because of then-current economic conditions. In December 2008, we granted each of them 83,846 RSUs in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3" w:name="page44"/>
    <w:bookmarkEnd w:id="43"/>
    <w:p>
      <w:pPr>
        <w:ind w:right="120"/>
        <w:spacing w:after="0" w:line="307" w:lineRule="auto"/>
        <w:rPr>
          <w:sz w:val="20"/>
          <w:szCs w:val="20"/>
          <w:color w:val="auto"/>
        </w:rPr>
      </w:pPr>
      <w:r>
        <w:rPr>
          <w:rFonts w:ascii="Arial" w:cs="Arial" w:eastAsia="Arial" w:hAnsi="Arial"/>
          <w:sz w:val="12"/>
          <w:szCs w:val="12"/>
          <w:color w:val="auto"/>
        </w:rPr>
        <w:t>connection with the extension of the term of their employment agreements until January 4, 2011. The December 2008 restricted stock unit awards vests in two equal installments on the first and second anniversaries of the respective grant date. The shares underlying these restricted stock unit awards will be deferred and delivered to them within the 30-day period immediately following the six-month anniversary of their respective separation from service from the Company. The April 2009 restricted stock grants vested fully on March 15, 2010.</w:t>
      </w:r>
    </w:p>
    <w:p>
      <w:pPr>
        <w:spacing w:after="0" w:line="41" w:lineRule="exact"/>
        <w:rPr>
          <w:sz w:val="20"/>
          <w:szCs w:val="20"/>
          <w:color w:val="auto"/>
        </w:rPr>
      </w:pPr>
    </w:p>
    <w:p>
      <w:pPr>
        <w:ind w:right="180" w:firstLine="399"/>
        <w:spacing w:after="0" w:line="291" w:lineRule="auto"/>
        <w:rPr>
          <w:sz w:val="20"/>
          <w:szCs w:val="20"/>
          <w:color w:val="auto"/>
        </w:rPr>
      </w:pPr>
      <w:r>
        <w:rPr>
          <w:rFonts w:ascii="Arial" w:cs="Arial" w:eastAsia="Arial" w:hAnsi="Arial"/>
          <w:sz w:val="13"/>
          <w:szCs w:val="13"/>
          <w:color w:val="auto"/>
        </w:rPr>
        <w:t>In December 2010, we granted to Mr Henneman 62,710 shares of restricted stock (with a value at the time of grant equal to $3,000,046) in connection with the extension of his employment agreement. The grant will vest in two annual equal installments on each of the first and second anniversaries of the grant date.</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April 2011, we granted restricted stock having a grant date value equal to $100,035 to Ms. O’Grady and restricted stock having a grant date value equal to $100,035 to</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Mr. Corbin for their respective 2010 performance. These amounts reflect the Committee’s intent to maintain their overall compensation package consistent with that of prior years and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takes into consideration the amount of a discretionary cash bonus paid to them for 2010. See “Annual Review of Compensation” above. Because these grants were made in 2011, they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will be shown in the Summary Compensation Table for 2011 in our 2012 proxy statement. The grants will vest 100% on the third anniversary of the grant date.</w:t>
      </w:r>
    </w:p>
    <w:p>
      <w:pPr>
        <w:spacing w:after="0" w:line="90"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In April 2010, we granted restricted stock having a grant date value equal to $58,671 to Ms. O’Grady and restricted stock having a grant date value equal to $61,018 to Mr. Corbin for their respective 2009 performance. These amounts reflect the Committee’s intent to maintain their overall compensation package consistent with that of prior years and takes into consideration the amount of a discretionary cash bonus paid to them for 2009. See “Annual Review of Compensation” above.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April 2009, we granted restricted stock having a grant date value equal to $146,657 to Ms. O’Grady and restricted stock having a grant date value equal to $150,168 to</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Mr. Corbin for their 2008 performance. These amounts reflect the Committee’s intent to maintain their overall compensation package consistent with that of prior years and takes into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consideration the lack of a cash bonus for 2008. See “Annual Review of Compensation” above. The amount of these restricted stock awards was higher than in 2008 and we provided for</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annual vesting over three years instead of three-year cliff vesting because we took into account the decision not to pay a cash bonus for 2008</w:t>
      </w:r>
    </w:p>
    <w:p>
      <w:pPr>
        <w:spacing w:after="0" w:line="9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In April 2008, we granted restricted stock having a grant date value equal to $100,000 to each of Ms. O’Grady and Mr. Corbin for their respective 2007 performance. We granted performance stock having a grant date value equal to $168,000 to each of Mr. Carlozzi and Mr. Henneman pursuant to their employment agreement and for their 2007 performance. See “Annual Review of Compensation” above. The performance goal of the performance stock was that our sales in any calendar year during the performance period of January 1, 2008 and ending December 31, 2010, shall be greater than consolidated sales in calendar year 2007. These named executive officers received the shares of common stock underlying the performance stock promptly following December 31, 2010, since the performance goal has been met. Because these grants were made in 2008, they are shown in the Summary Compensation Table for 2008.</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Program Matters Effective in 2010</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2003 Equity Incentive Plan</w:t>
      </w:r>
    </w:p>
    <w:p>
      <w:pPr>
        <w:spacing w:after="0" w:line="101"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In May 2010, we adopted the Second Amended and Restated 2003 Equity Incentive Plan, which our stockholders approved. These amendments increased the amount of common stock that may be issued or awarded under the plan by 1,750,000 shares. This change was intended to provide us with additional shares under the plan for the grant of stock-based awards to our executives and other employees, thereby linking their compensation to the value of our stock and providing a mix of compensation elements in their overall pay packages. This practice has served the Company well in the past by providing an incentive to executive officers, thereby helping the Company grow and the share price to increase over time. The amendments also made other technical changes to the plan. For addition detail, see the “Executive Summary” above.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44" w:name="page45"/>
    <w:bookmarkEnd w:id="44"/>
    <w:p>
      <w:pPr>
        <w:ind w:left="200"/>
        <w:spacing w:after="0"/>
        <w:rPr>
          <w:sz w:val="20"/>
          <w:szCs w:val="20"/>
          <w:color w:val="auto"/>
        </w:rPr>
      </w:pPr>
      <w:r>
        <w:rPr>
          <w:rFonts w:ascii="Arial" w:cs="Arial" w:eastAsia="Arial" w:hAnsi="Arial"/>
          <w:sz w:val="13"/>
          <w:szCs w:val="13"/>
          <w:b w:val="1"/>
          <w:bCs w:val="1"/>
          <w:i w:val="1"/>
          <w:iCs w:val="1"/>
          <w:color w:val="auto"/>
        </w:rPr>
        <w:t>Discretionary Cash Bonus Program</w:t>
      </w:r>
    </w:p>
    <w:p>
      <w:pPr>
        <w:spacing w:after="0" w:line="101" w:lineRule="exact"/>
        <w:rPr>
          <w:sz w:val="20"/>
          <w:szCs w:val="20"/>
          <w:color w:val="auto"/>
        </w:rPr>
      </w:pPr>
    </w:p>
    <w:p>
      <w:pPr>
        <w:ind w:right="40" w:firstLine="399"/>
        <w:spacing w:after="0" w:line="336" w:lineRule="auto"/>
        <w:rPr>
          <w:sz w:val="20"/>
          <w:szCs w:val="20"/>
          <w:color w:val="auto"/>
        </w:rPr>
      </w:pPr>
      <w:r>
        <w:rPr>
          <w:rFonts w:ascii="Arial" w:cs="Arial" w:eastAsia="Arial" w:hAnsi="Arial"/>
          <w:sz w:val="12"/>
          <w:szCs w:val="12"/>
          <w:color w:val="auto"/>
        </w:rPr>
        <w:t>In light of the uncertainty in the economic recovery and in order to provide flexibility in terms of amounts and form of awards, the cash bonus awards for 2010 for Mr. Corbin and Ms. O’Grady were, and any cash bonus awards for 2011 for each of them will be, discretionary based on Company and individual performance and not based on a strict formula.</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Ownership Guidelines for Executive Officers</w:t>
      </w:r>
    </w:p>
    <w:p>
      <w:pPr>
        <w:spacing w:after="0" w:line="103" w:lineRule="exact"/>
        <w:rPr>
          <w:sz w:val="20"/>
          <w:szCs w:val="20"/>
          <w:color w:val="auto"/>
        </w:rPr>
      </w:pPr>
    </w:p>
    <w:p>
      <w:pPr>
        <w:ind w:right="20" w:firstLine="399"/>
        <w:spacing w:after="0" w:line="262" w:lineRule="auto"/>
        <w:rPr>
          <w:sz w:val="20"/>
          <w:szCs w:val="20"/>
          <w:color w:val="auto"/>
        </w:rPr>
      </w:pPr>
      <w:r>
        <w:rPr>
          <w:rFonts w:ascii="Arial" w:cs="Arial" w:eastAsia="Arial" w:hAnsi="Arial"/>
          <w:sz w:val="13"/>
          <w:szCs w:val="13"/>
          <w:color w:val="auto"/>
        </w:rPr>
        <w:t>Our executive officers must meet the stock ownership guidelines that the Board of Directors has established in order to align their interests more closely with those of our stockholders. The Nominating and Corporate Governance Committee oversees compliance with these guidelines and periodically reviews them. The Chief Executive Officer is required to hold common stock with a value equal to two times his or her annual base salary. All other executive officers, including the other named executive officers, are required to own shares with an aggregate value equal to the executive’s base salary. Vested shares of restricted stock and vested RSUs, as well as unvested shares of restricted stock and unvested RSUs that are not performance-based, may be included to determine whether the required ownership interest has been met. Executive officers have five years from the later of February 23, 2006 and the date of their election or appointment as executive officers to attain this ownership threshold. All executive officers meet the stock ownership guidelines. We have approved procedures by which every executive officer must obtain clearance prior to selling any shares of our common stock, in part to ensure no officer falls out of compliance with the stock ownership guidelines.</w:t>
      </w:r>
    </w:p>
    <w:p>
      <w:pPr>
        <w:spacing w:after="0" w:line="67" w:lineRule="exact"/>
        <w:rPr>
          <w:sz w:val="20"/>
          <w:szCs w:val="20"/>
          <w:color w:val="auto"/>
        </w:rPr>
      </w:pPr>
    </w:p>
    <w:p>
      <w:pPr>
        <w:jc w:val="both"/>
        <w:ind w:right="400" w:firstLine="399"/>
        <w:spacing w:after="0" w:line="274" w:lineRule="auto"/>
        <w:rPr>
          <w:sz w:val="20"/>
          <w:szCs w:val="20"/>
          <w:color w:val="auto"/>
        </w:rPr>
      </w:pPr>
      <w:r>
        <w:rPr>
          <w:rFonts w:ascii="Arial" w:cs="Arial" w:eastAsia="Arial" w:hAnsi="Arial"/>
          <w:sz w:val="13"/>
          <w:szCs w:val="13"/>
          <w:color w:val="auto"/>
        </w:rPr>
        <w:t>In addition, our policies prohibit our employees from selling our stock “short” or otherwise speculating that the value of our stock will decline through the use of derivative securities. Such derivative transactions include writing “uncovered” call options or the purchase of put options. Buying our securities on margin is also prohibited. In addition, our policies also prohibit the frequent buying and selling of our stock to capture short-term profits.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Considerations</w:t>
      </w:r>
    </w:p>
    <w:p>
      <w:pPr>
        <w:spacing w:after="0" w:line="103"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Section 162(m) of the Internal Revenue Code limits the deductibility of compensation paid to certain executive officers to $1,000,000 per year unless the compensation qualifies as performance-based. The Compensation Committee’s policy is to take into account Section 162(m) in establishing compensation of our executives. The deductibility of some types of compensation payments can depend upon the timing of the vesting or 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the amount that is deductible under Section 162(m) of the Code. Nevertheless, the Committee determined to pay Mr. Essig’s bonus for 2010 partly in cash and partly in RSUs in order to preserve the deduction for the full bonus amount. (See “Annual Bonus Payments” above.) Similarly, the employment agreement with Mr. Arduini provides that the Committee may determine to pay his bonus for 2011 and future years partly in cash and partly in fully vested RSUs in order to preserve the Company’s deduction for the bonus.</w:t>
      </w:r>
    </w:p>
    <w:p>
      <w:pPr>
        <w:spacing w:after="0" w:line="67" w:lineRule="exact"/>
        <w:rPr>
          <w:sz w:val="20"/>
          <w:szCs w:val="20"/>
          <w:color w:val="auto"/>
        </w:rPr>
      </w:pPr>
    </w:p>
    <w:p>
      <w:pPr>
        <w:ind w:right="60" w:firstLine="399"/>
        <w:spacing w:after="0" w:line="290" w:lineRule="auto"/>
        <w:rPr>
          <w:sz w:val="20"/>
          <w:szCs w:val="20"/>
          <w:color w:val="auto"/>
        </w:rPr>
      </w:pPr>
      <w:r>
        <w:rPr>
          <w:rFonts w:ascii="Arial" w:cs="Arial" w:eastAsia="Arial" w:hAnsi="Arial"/>
          <w:sz w:val="12"/>
          <w:szCs w:val="12"/>
          <w:color w:val="auto"/>
        </w:rPr>
        <w:t>In 2006 and 2007, we reviewed the effect that Section 409A to the Internal Revenue Code (relating to treatment of nonqualified deferred compensation) could have on existing arrangements with our executive officers. Following our review in 2006, we entered into amendments to the agreements governing the restricted stock unit grants made in 2000 and 2004 to Mr. Essig in an attempt to be in compliance with the requirements of Section 409A of the Code. Following the issuance of further guidance from the Internal Revenue Service, our review in 2007 resulted in our entering into amendments to certain employment agreements and equity award agreements with Messrs. Essig, Carlozzi and Henneman in order to comply with the Section 409A requirements. In addition, the severance agreements entered into with Ms. O’Grady in January 2008, 2010 and 2011 reflect certain minor changes made to comply with these requirements. Further, our employment agreement with Mr. Arduini is intended to comply with these requirements.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5" w:name="page46"/>
    <w:bookmarkEnd w:id="45"/>
    <w:p>
      <w:pPr>
        <w:jc w:val="center"/>
        <w:ind w:right="-440"/>
        <w:spacing w:after="0"/>
        <w:rPr>
          <w:sz w:val="20"/>
          <w:szCs w:val="20"/>
          <w:color w:val="auto"/>
        </w:rPr>
      </w:pPr>
      <w:r>
        <w:rPr>
          <w:rFonts w:ascii="Arial" w:cs="Arial" w:eastAsia="Arial" w:hAnsi="Arial"/>
          <w:sz w:val="13"/>
          <w:szCs w:val="13"/>
          <w:b w:val="1"/>
          <w:bCs w:val="1"/>
          <w:color w:val="auto"/>
        </w:rPr>
        <w:t>COMPENSATION COMMITTEE REPORT</w:t>
      </w:r>
    </w:p>
    <w:p>
      <w:pPr>
        <w:spacing w:after="0" w:line="103" w:lineRule="exact"/>
        <w:rPr>
          <w:sz w:val="20"/>
          <w:szCs w:val="20"/>
          <w:color w:val="auto"/>
        </w:rPr>
      </w:pPr>
    </w:p>
    <w:p>
      <w:pPr>
        <w:ind w:right="179" w:firstLine="399"/>
        <w:spacing w:after="0" w:line="336" w:lineRule="auto"/>
        <w:rPr>
          <w:sz w:val="20"/>
          <w:szCs w:val="20"/>
          <w:color w:val="auto"/>
        </w:rPr>
      </w:pPr>
      <w:r>
        <w:rPr>
          <w:rFonts w:ascii="Arial" w:cs="Arial" w:eastAsia="Arial" w:hAnsi="Arial"/>
          <w:sz w:val="12"/>
          <w:szCs w:val="12"/>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w:t>
      </w:r>
    </w:p>
    <w:p>
      <w:pPr>
        <w:spacing w:after="0" w:line="26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The Compensation Committee of the</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Board of Directors</w:t>
      </w:r>
    </w:p>
    <w:p>
      <w:pPr>
        <w:spacing w:after="0" w:line="33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KEITH BRADLEY (CHAIR)</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THOMAS J. BALTIMORE, JR.</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NEAL MOSZKOWSKI</w:t>
      </w: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559"/>
          </w:cols>
          <w:pgMar w:left="900" w:top="758"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3"/>
          <w:szCs w:val="13"/>
          <w:b w:val="1"/>
          <w:bCs w:val="1"/>
          <w:color w:val="auto"/>
        </w:rPr>
        <w:t>COMPENSATION OF EXECUTIVE OFFICERS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Summary Compensation Table</w:t>
      </w:r>
    </w:p>
    <w:p>
      <w:pPr>
        <w:spacing w:after="0" w:line="90" w:lineRule="exact"/>
        <w:rPr>
          <w:sz w:val="20"/>
          <w:szCs w:val="20"/>
          <w:color w:val="auto"/>
        </w:rPr>
      </w:pPr>
    </w:p>
    <w:p>
      <w:pPr>
        <w:ind w:right="480" w:firstLine="399"/>
        <w:spacing w:after="0" w:line="291" w:lineRule="auto"/>
        <w:rPr>
          <w:sz w:val="20"/>
          <w:szCs w:val="20"/>
          <w:color w:val="auto"/>
        </w:rPr>
      </w:pPr>
      <w:r>
        <w:rPr>
          <w:rFonts w:ascii="Arial" w:cs="Arial" w:eastAsia="Arial" w:hAnsi="Arial"/>
          <w:sz w:val="13"/>
          <w:szCs w:val="13"/>
          <w:color w:val="auto"/>
        </w:rPr>
        <w:t>The following table sets forth information regarding compensation paid to our Chief Executive Officer, our Chief Financial Officer and each of our four other most highly compensated executive officers, including a former executive officer, based on total compensation earned during 2010.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6"/>
              </w:rPr>
              <w:t>Change in</w:t>
            </w: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5"/>
              </w:rPr>
              <w:t>Pension</w:t>
            </w: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Value and</w:t>
            </w: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Nonqualified</w:t>
            </w: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Deferred</w:t>
            </w: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233"/>
              <w:spacing w:after="0" w:line="101" w:lineRule="exact"/>
              <w:rPr>
                <w:sz w:val="20"/>
                <w:szCs w:val="20"/>
                <w:color w:val="auto"/>
              </w:rPr>
            </w:pPr>
            <w:r>
              <w:rPr>
                <w:rFonts w:ascii="Arial" w:cs="Arial" w:eastAsia="Arial" w:hAnsi="Arial"/>
                <w:sz w:val="9"/>
                <w:szCs w:val="9"/>
                <w:b w:val="1"/>
                <w:bCs w:val="1"/>
                <w:color w:val="auto"/>
              </w:rPr>
              <w:t>Stock</w:t>
            </w:r>
          </w:p>
        </w:tc>
        <w:tc>
          <w:tcPr>
            <w:tcW w:w="80" w:type="dxa"/>
            <w:vAlign w:val="bottom"/>
          </w:tcPr>
          <w:p>
            <w:pPr>
              <w:spacing w:after="0"/>
              <w:rPr>
                <w:sz w:val="8"/>
                <w:szCs w:val="8"/>
                <w:color w:val="auto"/>
              </w:rPr>
            </w:pPr>
          </w:p>
        </w:tc>
        <w:tc>
          <w:tcPr>
            <w:tcW w:w="680" w:type="dxa"/>
            <w:vAlign w:val="bottom"/>
          </w:tcPr>
          <w:p>
            <w:pPr>
              <w:jc w:val="right"/>
              <w:ind w:right="153"/>
              <w:spacing w:after="0" w:line="101"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1080" w:type="dxa"/>
            <w:vAlign w:val="bottom"/>
          </w:tcPr>
          <w:p>
            <w:pPr>
              <w:jc w:val="right"/>
              <w:ind w:right="313"/>
              <w:spacing w:after="0" w:line="101" w:lineRule="exact"/>
              <w:rPr>
                <w:sz w:val="20"/>
                <w:szCs w:val="20"/>
                <w:color w:val="auto"/>
              </w:rPr>
            </w:pPr>
            <w:r>
              <w:rPr>
                <w:rFonts w:ascii="Arial" w:cs="Arial" w:eastAsia="Arial" w:hAnsi="Arial"/>
                <w:sz w:val="9"/>
                <w:szCs w:val="9"/>
                <w:b w:val="1"/>
                <w:bCs w:val="1"/>
                <w:color w:val="auto"/>
              </w:rPr>
              <w:t>All 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73"/>
              <w:spacing w:after="0" w:line="101" w:lineRule="exact"/>
              <w:rPr>
                <w:sz w:val="20"/>
                <w:szCs w:val="20"/>
                <w:color w:val="auto"/>
              </w:rPr>
            </w:pPr>
            <w:r>
              <w:rPr>
                <w:rFonts w:ascii="Arial" w:cs="Arial" w:eastAsia="Arial" w:hAnsi="Arial"/>
                <w:sz w:val="9"/>
                <w:szCs w:val="9"/>
                <w:b w:val="1"/>
                <w:bCs w:val="1"/>
                <w:color w:val="auto"/>
              </w:rPr>
              <w:t>Salary</w:t>
            </w:r>
          </w:p>
        </w:tc>
        <w:tc>
          <w:tcPr>
            <w:tcW w:w="80" w:type="dxa"/>
            <w:vAlign w:val="bottom"/>
          </w:tcPr>
          <w:p>
            <w:pPr>
              <w:spacing w:after="0"/>
              <w:rPr>
                <w:sz w:val="8"/>
                <w:szCs w:val="8"/>
                <w:color w:val="auto"/>
              </w:rPr>
            </w:pPr>
          </w:p>
        </w:tc>
        <w:tc>
          <w:tcPr>
            <w:tcW w:w="500" w:type="dxa"/>
            <w:vAlign w:val="bottom"/>
          </w:tcPr>
          <w:p>
            <w:pPr>
              <w:jc w:val="right"/>
              <w:ind w:right="93"/>
              <w:spacing w:after="0" w:line="101" w:lineRule="exact"/>
              <w:rPr>
                <w:sz w:val="20"/>
                <w:szCs w:val="20"/>
                <w:color w:val="auto"/>
              </w:rPr>
            </w:pPr>
            <w:r>
              <w:rPr>
                <w:rFonts w:ascii="Arial" w:cs="Arial" w:eastAsia="Arial" w:hAnsi="Arial"/>
                <w:sz w:val="9"/>
                <w:szCs w:val="9"/>
                <w:b w:val="1"/>
                <w:bCs w:val="1"/>
                <w:color w:val="auto"/>
              </w:rPr>
              <w:t>Bonus</w:t>
            </w:r>
          </w:p>
        </w:tc>
        <w:tc>
          <w:tcPr>
            <w:tcW w:w="80" w:type="dxa"/>
            <w:vAlign w:val="bottom"/>
          </w:tcPr>
          <w:p>
            <w:pPr>
              <w:spacing w:after="0"/>
              <w:rPr>
                <w:sz w:val="8"/>
                <w:szCs w:val="8"/>
                <w:color w:val="auto"/>
              </w:rPr>
            </w:pPr>
          </w:p>
        </w:tc>
        <w:tc>
          <w:tcPr>
            <w:tcW w:w="7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Awards(1)</w:t>
            </w: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Awards(2)</w:t>
            </w:r>
          </w:p>
        </w:tc>
        <w:tc>
          <w:tcPr>
            <w:tcW w:w="8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Compensation(3)</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8"/>
              </w:rPr>
              <w:t>Earnings</w:t>
            </w:r>
          </w:p>
        </w:tc>
        <w:tc>
          <w:tcPr>
            <w:tcW w:w="80" w:type="dxa"/>
            <w:vAlign w:val="bottom"/>
          </w:tcPr>
          <w:p>
            <w:pPr>
              <w:spacing w:after="0"/>
              <w:rPr>
                <w:sz w:val="8"/>
                <w:szCs w:val="8"/>
                <w:color w:val="auto"/>
              </w:rPr>
            </w:pPr>
          </w:p>
        </w:tc>
        <w:tc>
          <w:tcPr>
            <w:tcW w:w="10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Compensation(4)</w:t>
            </w:r>
          </w:p>
        </w:tc>
        <w:tc>
          <w:tcPr>
            <w:tcW w:w="80" w:type="dxa"/>
            <w:vAlign w:val="bottom"/>
          </w:tcPr>
          <w:p>
            <w:pPr>
              <w:spacing w:after="0"/>
              <w:rPr>
                <w:sz w:val="8"/>
                <w:szCs w:val="8"/>
                <w:color w:val="auto"/>
              </w:rPr>
            </w:pPr>
          </w:p>
        </w:tc>
        <w:tc>
          <w:tcPr>
            <w:tcW w:w="7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0"/>
        </w:trPr>
        <w:tc>
          <w:tcPr>
            <w:tcW w:w="27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8"/>
                <w:szCs w:val="8"/>
                <w:color w:val="auto"/>
              </w:rPr>
            </w:pPr>
          </w:p>
        </w:tc>
        <w:tc>
          <w:tcPr>
            <w:tcW w:w="3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Year</w:t>
            </w:r>
          </w:p>
        </w:tc>
        <w:tc>
          <w:tcPr>
            <w:tcW w:w="560" w:type="dxa"/>
            <w:vAlign w:val="bottom"/>
            <w:gridSpan w:val="2"/>
          </w:tcPr>
          <w:p>
            <w:pPr>
              <w:jc w:val="right"/>
              <w:ind w:right="133"/>
              <w:spacing w:after="0" w:line="101" w:lineRule="exact"/>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right"/>
              <w:ind w:right="153"/>
              <w:spacing w:after="0" w:line="101" w:lineRule="exact"/>
              <w:rPr>
                <w:sz w:val="20"/>
                <w:szCs w:val="20"/>
                <w:color w:val="auto"/>
              </w:rPr>
            </w:pPr>
            <w:r>
              <w:rPr>
                <w:rFonts w:ascii="Arial" w:cs="Arial" w:eastAsia="Arial" w:hAnsi="Arial"/>
                <w:sz w:val="9"/>
                <w:szCs w:val="9"/>
                <w:b w:val="1"/>
                <w:bCs w:val="1"/>
                <w:color w:val="auto"/>
              </w:rPr>
              <w:t>($)</w:t>
            </w:r>
          </w:p>
        </w:tc>
        <w:tc>
          <w:tcPr>
            <w:tcW w:w="840" w:type="dxa"/>
            <w:vAlign w:val="bottom"/>
            <w:gridSpan w:val="2"/>
          </w:tcPr>
          <w:p>
            <w:pPr>
              <w:jc w:val="right"/>
              <w:ind w:right="273"/>
              <w:spacing w:after="0" w:line="101" w:lineRule="exact"/>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right"/>
              <w:ind w:right="233"/>
              <w:spacing w:after="0" w:line="101" w:lineRule="exact"/>
              <w:rPr>
                <w:sz w:val="20"/>
                <w:szCs w:val="20"/>
                <w:color w:val="auto"/>
              </w:rPr>
            </w:pPr>
            <w:r>
              <w:rPr>
                <w:rFonts w:ascii="Arial" w:cs="Arial" w:eastAsia="Arial" w:hAnsi="Arial"/>
                <w:sz w:val="9"/>
                <w:szCs w:val="9"/>
                <w:b w:val="1"/>
                <w:bCs w:val="1"/>
                <w:color w:val="auto"/>
              </w:rPr>
              <w:t>($)</w:t>
            </w:r>
          </w:p>
        </w:tc>
        <w:tc>
          <w:tcPr>
            <w:tcW w:w="1280" w:type="dxa"/>
            <w:vAlign w:val="bottom"/>
            <w:gridSpan w:val="2"/>
          </w:tcPr>
          <w:p>
            <w:pPr>
              <w:jc w:val="right"/>
              <w:ind w:right="513"/>
              <w:spacing w:after="0" w:line="101" w:lineRule="exact"/>
              <w:rPr>
                <w:sz w:val="20"/>
                <w:szCs w:val="20"/>
                <w:color w:val="auto"/>
              </w:rPr>
            </w:pPr>
            <w:r>
              <w:rPr>
                <w:rFonts w:ascii="Arial" w:cs="Arial" w:eastAsia="Arial" w:hAnsi="Arial"/>
                <w:sz w:val="9"/>
                <w:szCs w:val="9"/>
                <w:b w:val="1"/>
                <w:bCs w:val="1"/>
                <w:color w:val="auto"/>
              </w:rPr>
              <w:t>($)</w:t>
            </w:r>
          </w:p>
        </w:tc>
        <w:tc>
          <w:tcPr>
            <w:tcW w:w="880" w:type="dxa"/>
            <w:vAlign w:val="bottom"/>
            <w:gridSpan w:val="2"/>
          </w:tcPr>
          <w:p>
            <w:pPr>
              <w:jc w:val="right"/>
              <w:ind w:right="313"/>
              <w:spacing w:after="0" w:line="101" w:lineRule="exact"/>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right"/>
              <w:ind w:right="433"/>
              <w:spacing w:after="0" w:line="101" w:lineRule="exact"/>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center"/>
              <w:ind w:left="33"/>
              <w:spacing w:after="0" w:line="101"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rPr>
                <w:sz w:val="20"/>
                <w:szCs w:val="20"/>
                <w:color w:val="auto"/>
              </w:rPr>
            </w:pPr>
            <w:r>
              <w:rPr>
                <w:rFonts w:ascii="Arial" w:cs="Arial" w:eastAsia="Arial" w:hAnsi="Arial"/>
                <w:sz w:val="9"/>
                <w:szCs w:val="9"/>
                <w:b w:val="1"/>
                <w:bCs w:val="1"/>
                <w:color w:val="auto"/>
              </w:rPr>
              <w:t>(a)</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(b)</w:t>
            </w:r>
          </w:p>
        </w:tc>
        <w:tc>
          <w:tcPr>
            <w:tcW w:w="80" w:type="dxa"/>
            <w:vAlign w:val="bottom"/>
          </w:tcPr>
          <w:p>
            <w:pPr>
              <w:spacing w:after="0"/>
              <w:rPr>
                <w:sz w:val="10"/>
                <w:szCs w:val="10"/>
                <w:color w:val="auto"/>
              </w:rPr>
            </w:pPr>
          </w:p>
        </w:tc>
        <w:tc>
          <w:tcPr>
            <w:tcW w:w="48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rPr>
              <w:t>(c)</w:t>
            </w:r>
          </w:p>
        </w:tc>
        <w:tc>
          <w:tcPr>
            <w:tcW w:w="80" w:type="dxa"/>
            <w:vAlign w:val="bottom"/>
          </w:tcPr>
          <w:p>
            <w:pPr>
              <w:spacing w:after="0"/>
              <w:rPr>
                <w:sz w:val="10"/>
                <w:szCs w:val="10"/>
                <w:color w:val="auto"/>
              </w:rPr>
            </w:pPr>
          </w:p>
        </w:tc>
        <w:tc>
          <w:tcPr>
            <w:tcW w:w="50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b w:val="1"/>
                <w:bCs w:val="1"/>
                <w:color w:val="auto"/>
              </w:rPr>
              <w:t>(d)</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9"/>
                <w:szCs w:val="9"/>
                <w:b w:val="1"/>
                <w:bCs w:val="1"/>
                <w:color w:val="auto"/>
              </w:rPr>
              <w:t>(e)</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(g)</w:t>
            </w:r>
          </w:p>
        </w:tc>
        <w:tc>
          <w:tcPr>
            <w:tcW w:w="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(h)</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(i)</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6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698,462</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73"/>
              <w:spacing w:after="0" w:line="89"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89" w:lineRule="exact"/>
              <w:rPr>
                <w:sz w:val="20"/>
                <w:szCs w:val="20"/>
                <w:color w:val="auto"/>
              </w:rPr>
            </w:pPr>
            <w:r>
              <w:rPr>
                <w:rFonts w:ascii="Arial" w:cs="Arial" w:eastAsia="Arial" w:hAnsi="Arial"/>
                <w:sz w:val="9"/>
                <w:szCs w:val="9"/>
                <w:color w:val="auto"/>
              </w:rPr>
              <w:t>5,184,038</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1280" w:type="dxa"/>
            <w:vAlign w:val="bottom"/>
            <w:gridSpan w:val="2"/>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300,000</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2,942</w:t>
            </w:r>
          </w:p>
        </w:tc>
        <w:tc>
          <w:tcPr>
            <w:tcW w:w="800" w:type="dxa"/>
            <w:vAlign w:val="bottom"/>
            <w:gridSpan w:val="2"/>
            <w:shd w:val="clear" w:color="auto" w:fill="CCEEFF"/>
          </w:tcPr>
          <w:p>
            <w:pPr>
              <w:jc w:val="right"/>
              <w:ind w:right="93"/>
              <w:spacing w:after="0" w:line="89" w:lineRule="exact"/>
              <w:rPr>
                <w:sz w:val="20"/>
                <w:szCs w:val="20"/>
                <w:color w:val="auto"/>
              </w:rPr>
            </w:pPr>
            <w:r>
              <w:rPr>
                <w:rFonts w:ascii="Arial" w:cs="Arial" w:eastAsia="Arial" w:hAnsi="Arial"/>
                <w:sz w:val="9"/>
                <w:szCs w:val="9"/>
                <w:color w:val="auto"/>
              </w:rPr>
              <w:t>6,185,442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Chief Executive</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2009</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614,808</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4,195,011</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3,648</w:t>
            </w:r>
          </w:p>
        </w:tc>
        <w:tc>
          <w:tcPr>
            <w:tcW w:w="80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4,813,467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9"/>
                <w:szCs w:val="9"/>
                <w:color w:val="auto"/>
              </w:rPr>
              <w:t>Officer(5)</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600,000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9"/>
                <w:szCs w:val="9"/>
                <w:color w:val="auto"/>
              </w:rPr>
              <w:t>21,540,500</w:t>
            </w:r>
          </w:p>
        </w:tc>
        <w:tc>
          <w:tcPr>
            <w:tcW w:w="76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2,359,913</w:t>
            </w: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3,875</w:t>
            </w:r>
          </w:p>
        </w:tc>
        <w:tc>
          <w:tcPr>
            <w:tcW w:w="800" w:type="dxa"/>
            <w:vAlign w:val="bottom"/>
            <w:gridSpan w:val="2"/>
            <w:shd w:val="clear" w:color="auto" w:fill="CCEEFF"/>
          </w:tcPr>
          <w:p>
            <w:pPr>
              <w:jc w:val="right"/>
              <w:ind w:right="93"/>
              <w:spacing w:after="0"/>
              <w:rPr>
                <w:sz w:val="20"/>
                <w:szCs w:val="20"/>
                <w:color w:val="auto"/>
              </w:rPr>
            </w:pPr>
            <w:r>
              <w:rPr>
                <w:rFonts w:ascii="Arial" w:cs="Arial" w:eastAsia="Arial" w:hAnsi="Arial"/>
                <w:sz w:val="9"/>
                <w:szCs w:val="9"/>
                <w:color w:val="auto"/>
              </w:rPr>
              <w:t>24,504,288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line="89" w:lineRule="exact"/>
              <w:rPr>
                <w:sz w:val="20"/>
                <w:szCs w:val="20"/>
                <w:color w:val="auto"/>
              </w:rPr>
            </w:pPr>
            <w:r>
              <w:rPr>
                <w:rFonts w:ascii="Arial" w:cs="Arial" w:eastAsia="Arial" w:hAnsi="Arial"/>
                <w:sz w:val="9"/>
                <w:szCs w:val="9"/>
                <w:color w:val="auto"/>
              </w:rPr>
              <w:t>Peter Arduini</w:t>
            </w:r>
          </w:p>
        </w:tc>
        <w:tc>
          <w:tcPr>
            <w:tcW w:w="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tcPr>
          <w:p>
            <w:pPr>
              <w:jc w:val="right"/>
              <w:ind w:right="33"/>
              <w:spacing w:after="0" w:line="89" w:lineRule="exact"/>
              <w:rPr>
                <w:sz w:val="20"/>
                <w:szCs w:val="20"/>
                <w:color w:val="auto"/>
              </w:rPr>
            </w:pPr>
            <w:r>
              <w:rPr>
                <w:rFonts w:ascii="Arial" w:cs="Arial" w:eastAsia="Arial" w:hAnsi="Arial"/>
                <w:sz w:val="9"/>
                <w:szCs w:val="9"/>
                <w:color w:val="auto"/>
              </w:rPr>
              <w:t>92,308</w:t>
            </w:r>
          </w:p>
        </w:tc>
        <w:tc>
          <w:tcPr>
            <w:tcW w:w="580" w:type="dxa"/>
            <w:vAlign w:val="bottom"/>
            <w:gridSpan w:val="2"/>
          </w:tcPr>
          <w:p>
            <w:pPr>
              <w:jc w:val="right"/>
              <w:spacing w:after="0" w:line="89" w:lineRule="exact"/>
              <w:rPr>
                <w:sz w:val="20"/>
                <w:szCs w:val="20"/>
                <w:color w:val="auto"/>
              </w:rPr>
            </w:pPr>
            <w:r>
              <w:rPr>
                <w:rFonts w:ascii="Arial" w:cs="Arial" w:eastAsia="Arial" w:hAnsi="Arial"/>
                <w:sz w:val="9"/>
                <w:szCs w:val="9"/>
                <w:color w:val="auto"/>
              </w:rPr>
              <w:t>500,000(7)</w:t>
            </w:r>
          </w:p>
        </w:tc>
        <w:tc>
          <w:tcPr>
            <w:tcW w:w="840" w:type="dxa"/>
            <w:vAlign w:val="bottom"/>
            <w:gridSpan w:val="2"/>
          </w:tcPr>
          <w:p>
            <w:pPr>
              <w:jc w:val="right"/>
              <w:ind w:right="153"/>
              <w:spacing w:after="0" w:line="89" w:lineRule="exact"/>
              <w:rPr>
                <w:sz w:val="20"/>
                <w:szCs w:val="20"/>
                <w:color w:val="auto"/>
              </w:rPr>
            </w:pPr>
            <w:r>
              <w:rPr>
                <w:rFonts w:ascii="Arial" w:cs="Arial" w:eastAsia="Arial" w:hAnsi="Arial"/>
                <w:sz w:val="9"/>
                <w:szCs w:val="9"/>
                <w:color w:val="auto"/>
              </w:rPr>
              <w:t>1,500,021</w:t>
            </w:r>
          </w:p>
        </w:tc>
        <w:tc>
          <w:tcPr>
            <w:tcW w:w="80" w:type="dxa"/>
            <w:vAlign w:val="bottom"/>
          </w:tcPr>
          <w:p>
            <w:pPr>
              <w:spacing w:after="0"/>
              <w:rPr>
                <w:sz w:val="7"/>
                <w:szCs w:val="7"/>
                <w:color w:val="auto"/>
              </w:rPr>
            </w:pPr>
          </w:p>
        </w:tc>
        <w:tc>
          <w:tcPr>
            <w:tcW w:w="680" w:type="dxa"/>
            <w:vAlign w:val="bottom"/>
          </w:tcPr>
          <w:p>
            <w:pPr>
              <w:jc w:val="right"/>
              <w:ind w:right="1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0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080" w:type="dxa"/>
            <w:vAlign w:val="bottom"/>
          </w:tcPr>
          <w:p>
            <w:pPr>
              <w:jc w:val="right"/>
              <w:ind w:right="39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93"/>
              <w:spacing w:after="0" w:line="89" w:lineRule="exact"/>
              <w:rPr>
                <w:sz w:val="20"/>
                <w:szCs w:val="20"/>
                <w:color w:val="auto"/>
              </w:rPr>
            </w:pPr>
            <w:r>
              <w:rPr>
                <w:rFonts w:ascii="Arial" w:cs="Arial" w:eastAsia="Arial" w:hAnsi="Arial"/>
                <w:sz w:val="9"/>
                <w:szCs w:val="9"/>
                <w:color w:val="auto"/>
              </w:rPr>
              <w:t>2,092,329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ind w:left="80"/>
              <w:spacing w:after="0" w:line="101" w:lineRule="exact"/>
              <w:rPr>
                <w:sz w:val="20"/>
                <w:szCs w:val="20"/>
                <w:color w:val="auto"/>
              </w:rPr>
            </w:pPr>
            <w:r>
              <w:rPr>
                <w:rFonts w:ascii="Arial" w:cs="Arial" w:eastAsia="Arial" w:hAnsi="Arial"/>
                <w:sz w:val="9"/>
                <w:szCs w:val="9"/>
                <w:color w:val="auto"/>
              </w:rPr>
              <w:t>President and Chief</w:t>
            </w:r>
          </w:p>
        </w:tc>
        <w:tc>
          <w:tcPr>
            <w:tcW w:w="42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89"/>
              </w:rPr>
              <w:t>2009</w:t>
            </w:r>
          </w:p>
        </w:tc>
        <w:tc>
          <w:tcPr>
            <w:tcW w:w="80" w:type="dxa"/>
            <w:vAlign w:val="bottom"/>
          </w:tcPr>
          <w:p>
            <w:pPr>
              <w:spacing w:after="0"/>
              <w:rPr>
                <w:sz w:val="8"/>
                <w:szCs w:val="8"/>
                <w:color w:val="auto"/>
              </w:rPr>
            </w:pPr>
          </w:p>
        </w:tc>
        <w:tc>
          <w:tcPr>
            <w:tcW w:w="480" w:type="dxa"/>
            <w:vAlign w:val="bottom"/>
          </w:tcPr>
          <w:p>
            <w:pPr>
              <w:jc w:val="right"/>
              <w:ind w:right="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tcPr>
          <w:p>
            <w:pPr>
              <w:jc w:val="right"/>
              <w:ind w:right="7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60" w:type="dxa"/>
            <w:vAlign w:val="bottom"/>
          </w:tcPr>
          <w:p>
            <w:pPr>
              <w:jc w:val="right"/>
              <w:ind w:right="15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80" w:type="dxa"/>
            <w:vAlign w:val="bottom"/>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80" w:type="dxa"/>
            <w:vAlign w:val="bottom"/>
          </w:tcPr>
          <w:p>
            <w:pPr>
              <w:jc w:val="right"/>
              <w:ind w:right="39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tcPr>
          <w:p>
            <w:pPr>
              <w:jc w:val="right"/>
              <w:ind w:right="9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tcPr>
          <w:p>
            <w:pPr>
              <w:ind w:left="80"/>
              <w:spacing w:after="0"/>
              <w:rPr>
                <w:sz w:val="20"/>
                <w:szCs w:val="20"/>
                <w:color w:val="auto"/>
              </w:rPr>
            </w:pPr>
            <w:r>
              <w:rPr>
                <w:rFonts w:ascii="Arial" w:cs="Arial" w:eastAsia="Arial" w:hAnsi="Arial"/>
                <w:sz w:val="9"/>
                <w:szCs w:val="9"/>
                <w:color w:val="auto"/>
              </w:rPr>
              <w:t>Operating Officer(6)</w:t>
            </w:r>
          </w:p>
        </w:tc>
        <w:tc>
          <w:tcPr>
            <w:tcW w:w="420" w:type="dxa"/>
            <w:vAlign w:val="bottom"/>
            <w:gridSpan w:val="2"/>
          </w:tcPr>
          <w:p>
            <w:pPr>
              <w:jc w:val="center"/>
              <w:ind w:left="33"/>
              <w:spacing w:after="0"/>
              <w:rPr>
                <w:sz w:val="20"/>
                <w:szCs w:val="20"/>
                <w:color w:val="auto"/>
              </w:rPr>
            </w:pPr>
            <w:r>
              <w:rPr>
                <w:rFonts w:ascii="Arial" w:cs="Arial" w:eastAsia="Arial" w:hAnsi="Arial"/>
                <w:sz w:val="9"/>
                <w:szCs w:val="9"/>
                <w:color w:val="auto"/>
                <w:w w:val="89"/>
              </w:rPr>
              <w:t>2008</w:t>
            </w:r>
          </w:p>
        </w:tc>
        <w:tc>
          <w:tcPr>
            <w:tcW w:w="80" w:type="dxa"/>
            <w:vAlign w:val="bottom"/>
          </w:tcPr>
          <w:p>
            <w:pPr>
              <w:spacing w:after="0"/>
              <w:rPr>
                <w:sz w:val="9"/>
                <w:szCs w:val="9"/>
                <w:color w:val="auto"/>
              </w:rPr>
            </w:pPr>
          </w:p>
        </w:tc>
        <w:tc>
          <w:tcPr>
            <w:tcW w:w="4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tcPr>
          <w:p>
            <w:pPr>
              <w:jc w:val="right"/>
              <w:ind w:right="7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Pr>
          <w:p>
            <w:pPr>
              <w:jc w:val="right"/>
              <w:ind w:right="15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80" w:type="dxa"/>
            <w:vAlign w:val="bottom"/>
          </w:tcPr>
          <w:p>
            <w:pPr>
              <w:jc w:val="right"/>
              <w:ind w:right="1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John B. Henneman, III</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499,231</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73"/>
              <w:spacing w:after="0" w:line="89"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89" w:lineRule="exact"/>
              <w:rPr>
                <w:sz w:val="20"/>
                <w:szCs w:val="20"/>
                <w:color w:val="auto"/>
              </w:rPr>
            </w:pPr>
            <w:r>
              <w:rPr>
                <w:rFonts w:ascii="Arial" w:cs="Arial" w:eastAsia="Arial" w:hAnsi="Arial"/>
                <w:sz w:val="9"/>
                <w:szCs w:val="9"/>
                <w:color w:val="auto"/>
              </w:rPr>
              <w:t>3,000,046</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1280" w:type="dxa"/>
            <w:vAlign w:val="bottom"/>
            <w:gridSpan w:val="2"/>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250,000</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2,865</w:t>
            </w:r>
          </w:p>
        </w:tc>
        <w:tc>
          <w:tcPr>
            <w:tcW w:w="800" w:type="dxa"/>
            <w:vAlign w:val="bottom"/>
            <w:gridSpan w:val="2"/>
            <w:shd w:val="clear" w:color="auto" w:fill="CCEEFF"/>
          </w:tcPr>
          <w:p>
            <w:pPr>
              <w:jc w:val="right"/>
              <w:ind w:right="93"/>
              <w:spacing w:after="0" w:line="89" w:lineRule="exact"/>
              <w:rPr>
                <w:sz w:val="20"/>
                <w:szCs w:val="20"/>
                <w:color w:val="auto"/>
              </w:rPr>
            </w:pPr>
            <w:r>
              <w:rPr>
                <w:rFonts w:ascii="Arial" w:cs="Arial" w:eastAsia="Arial" w:hAnsi="Arial"/>
                <w:sz w:val="9"/>
                <w:szCs w:val="9"/>
                <w:color w:val="auto"/>
              </w:rPr>
              <w:t>3,752,142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2009</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457,404</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417,527</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3,648</w:t>
            </w:r>
          </w:p>
        </w:tc>
        <w:tc>
          <w:tcPr>
            <w:tcW w:w="80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878,579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9"/>
                <w:szCs w:val="9"/>
                <w:color w:val="auto"/>
              </w:rPr>
              <w:t>Finance and Administration, and Chief Financial Officer(8)</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444,808</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3,348,020(9)</w:t>
            </w:r>
          </w:p>
        </w:tc>
        <w:tc>
          <w:tcPr>
            <w:tcW w:w="76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870,420</w:t>
            </w: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3,875</w:t>
            </w:r>
          </w:p>
        </w:tc>
        <w:tc>
          <w:tcPr>
            <w:tcW w:w="800" w:type="dxa"/>
            <w:vAlign w:val="bottom"/>
            <w:gridSpan w:val="2"/>
            <w:shd w:val="clear" w:color="auto" w:fill="CCEEFF"/>
          </w:tcPr>
          <w:p>
            <w:pPr>
              <w:jc w:val="right"/>
              <w:ind w:right="93"/>
              <w:spacing w:after="0"/>
              <w:rPr>
                <w:sz w:val="20"/>
                <w:szCs w:val="20"/>
                <w:color w:val="auto"/>
              </w:rPr>
            </w:pPr>
            <w:r>
              <w:rPr>
                <w:rFonts w:ascii="Arial" w:cs="Arial" w:eastAsia="Arial" w:hAnsi="Arial"/>
                <w:sz w:val="9"/>
                <w:szCs w:val="9"/>
                <w:color w:val="auto"/>
              </w:rPr>
              <w:t>4,667,123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line="89" w:lineRule="exact"/>
              <w:rPr>
                <w:sz w:val="20"/>
                <w:szCs w:val="20"/>
                <w:color w:val="auto"/>
              </w:rPr>
            </w:pPr>
            <w:r>
              <w:rPr>
                <w:rFonts w:ascii="Arial" w:cs="Arial" w:eastAsia="Arial" w:hAnsi="Arial"/>
                <w:sz w:val="9"/>
                <w:szCs w:val="9"/>
                <w:color w:val="auto"/>
              </w:rPr>
              <w:t>Gerard S. Carlozzi</w:t>
            </w:r>
          </w:p>
        </w:tc>
        <w:tc>
          <w:tcPr>
            <w:tcW w:w="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tcPr>
          <w:p>
            <w:pPr>
              <w:jc w:val="right"/>
              <w:ind w:right="33"/>
              <w:spacing w:after="0" w:line="89" w:lineRule="exact"/>
              <w:rPr>
                <w:sz w:val="20"/>
                <w:szCs w:val="20"/>
                <w:color w:val="auto"/>
              </w:rPr>
            </w:pPr>
            <w:r>
              <w:rPr>
                <w:rFonts w:ascii="Arial" w:cs="Arial" w:eastAsia="Arial" w:hAnsi="Arial"/>
                <w:sz w:val="9"/>
                <w:szCs w:val="9"/>
                <w:color w:val="auto"/>
              </w:rPr>
              <w:t>499,231</w:t>
            </w:r>
          </w:p>
        </w:tc>
        <w:tc>
          <w:tcPr>
            <w:tcW w:w="80" w:type="dxa"/>
            <w:vAlign w:val="bottom"/>
          </w:tcPr>
          <w:p>
            <w:pPr>
              <w:spacing w:after="0"/>
              <w:rPr>
                <w:sz w:val="7"/>
                <w:szCs w:val="7"/>
                <w:color w:val="auto"/>
              </w:rPr>
            </w:pPr>
          </w:p>
        </w:tc>
        <w:tc>
          <w:tcPr>
            <w:tcW w:w="500" w:type="dxa"/>
            <w:vAlign w:val="bottom"/>
          </w:tcPr>
          <w:p>
            <w:pPr>
              <w:jc w:val="right"/>
              <w:ind w:right="73"/>
              <w:spacing w:after="0" w:line="89" w:lineRule="exact"/>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153"/>
              <w:spacing w:after="0" w:line="89" w:lineRule="exact"/>
              <w:rPr>
                <w:sz w:val="20"/>
                <w:szCs w:val="20"/>
                <w:color w:val="auto"/>
              </w:rPr>
            </w:pPr>
            <w:r>
              <w:rPr>
                <w:rFonts w:ascii="Arial" w:cs="Arial" w:eastAsia="Arial" w:hAnsi="Arial"/>
                <w:sz w:val="9"/>
                <w:szCs w:val="9"/>
                <w:color w:val="auto"/>
              </w:rPr>
              <w:t>237,509</w:t>
            </w:r>
          </w:p>
        </w:tc>
        <w:tc>
          <w:tcPr>
            <w:tcW w:w="80" w:type="dxa"/>
            <w:vAlign w:val="bottom"/>
          </w:tcPr>
          <w:p>
            <w:pPr>
              <w:spacing w:after="0"/>
              <w:rPr>
                <w:sz w:val="7"/>
                <w:szCs w:val="7"/>
                <w:color w:val="auto"/>
              </w:rPr>
            </w:pPr>
          </w:p>
        </w:tc>
        <w:tc>
          <w:tcPr>
            <w:tcW w:w="680" w:type="dxa"/>
            <w:vAlign w:val="bottom"/>
          </w:tcPr>
          <w:p>
            <w:pPr>
              <w:jc w:val="right"/>
              <w:ind w:right="113"/>
              <w:spacing w:after="0" w:line="89" w:lineRule="exact"/>
              <w:rPr>
                <w:sz w:val="20"/>
                <w:szCs w:val="20"/>
                <w:color w:val="auto"/>
              </w:rPr>
            </w:pPr>
            <w:r>
              <w:rPr>
                <w:rFonts w:ascii="Arial" w:cs="Arial" w:eastAsia="Arial" w:hAnsi="Arial"/>
                <w:sz w:val="9"/>
                <w:szCs w:val="9"/>
                <w:color w:val="auto"/>
              </w:rPr>
              <w:t>—</w:t>
            </w:r>
          </w:p>
        </w:tc>
        <w:tc>
          <w:tcPr>
            <w:tcW w:w="1280" w:type="dxa"/>
            <w:vAlign w:val="bottom"/>
            <w:gridSpan w:val="2"/>
          </w:tcPr>
          <w:p>
            <w:pPr>
              <w:jc w:val="right"/>
              <w:ind w:right="413"/>
              <w:spacing w:after="0" w:line="89" w:lineRule="exact"/>
              <w:rPr>
                <w:sz w:val="20"/>
                <w:szCs w:val="20"/>
                <w:color w:val="auto"/>
              </w:rPr>
            </w:pPr>
            <w:r>
              <w:rPr>
                <w:rFonts w:ascii="Arial" w:cs="Arial" w:eastAsia="Arial" w:hAnsi="Arial"/>
                <w:sz w:val="9"/>
                <w:szCs w:val="9"/>
                <w:color w:val="auto"/>
              </w:rPr>
              <w:t>250,000</w:t>
            </w:r>
          </w:p>
        </w:tc>
        <w:tc>
          <w:tcPr>
            <w:tcW w:w="80" w:type="dxa"/>
            <w:vAlign w:val="bottom"/>
          </w:tcPr>
          <w:p>
            <w:pPr>
              <w:spacing w:after="0"/>
              <w:rPr>
                <w:sz w:val="7"/>
                <w:szCs w:val="7"/>
                <w:color w:val="auto"/>
              </w:rPr>
            </w:pPr>
          </w:p>
        </w:tc>
        <w:tc>
          <w:tcPr>
            <w:tcW w:w="80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080" w:type="dxa"/>
            <w:vAlign w:val="bottom"/>
          </w:tcPr>
          <w:p>
            <w:pPr>
              <w:jc w:val="right"/>
              <w:ind w:right="39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93"/>
              <w:spacing w:after="0" w:line="89" w:lineRule="exact"/>
              <w:rPr>
                <w:sz w:val="20"/>
                <w:szCs w:val="20"/>
                <w:color w:val="auto"/>
              </w:rPr>
            </w:pPr>
            <w:r>
              <w:rPr>
                <w:rFonts w:ascii="Arial" w:cs="Arial" w:eastAsia="Arial" w:hAnsi="Arial"/>
                <w:sz w:val="9"/>
                <w:szCs w:val="9"/>
                <w:color w:val="auto"/>
              </w:rPr>
              <w:t>986,740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ind w:left="80"/>
              <w:spacing w:after="0" w:line="101" w:lineRule="exact"/>
              <w:rPr>
                <w:sz w:val="20"/>
                <w:szCs w:val="20"/>
                <w:color w:val="auto"/>
              </w:rPr>
            </w:pPr>
            <w:r>
              <w:rPr>
                <w:rFonts w:ascii="Arial" w:cs="Arial" w:eastAsia="Arial" w:hAnsi="Arial"/>
                <w:sz w:val="9"/>
                <w:szCs w:val="9"/>
                <w:color w:val="auto"/>
              </w:rPr>
              <w:t>Former Executive Vice</w:t>
            </w:r>
          </w:p>
        </w:tc>
        <w:tc>
          <w:tcPr>
            <w:tcW w:w="42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89"/>
              </w:rPr>
              <w:t>2009</w:t>
            </w:r>
          </w:p>
        </w:tc>
        <w:tc>
          <w:tcPr>
            <w:tcW w:w="560" w:type="dxa"/>
            <w:vAlign w:val="bottom"/>
            <w:gridSpan w:val="2"/>
          </w:tcPr>
          <w:p>
            <w:pPr>
              <w:jc w:val="right"/>
              <w:ind w:right="33"/>
              <w:spacing w:after="0" w:line="101" w:lineRule="exact"/>
              <w:rPr>
                <w:sz w:val="20"/>
                <w:szCs w:val="20"/>
                <w:color w:val="auto"/>
              </w:rPr>
            </w:pPr>
            <w:r>
              <w:rPr>
                <w:rFonts w:ascii="Arial" w:cs="Arial" w:eastAsia="Arial" w:hAnsi="Arial"/>
                <w:sz w:val="9"/>
                <w:szCs w:val="9"/>
                <w:color w:val="auto"/>
              </w:rPr>
              <w:t>457,404</w:t>
            </w:r>
          </w:p>
        </w:tc>
        <w:tc>
          <w:tcPr>
            <w:tcW w:w="80" w:type="dxa"/>
            <w:vAlign w:val="bottom"/>
          </w:tcPr>
          <w:p>
            <w:pPr>
              <w:spacing w:after="0"/>
              <w:rPr>
                <w:sz w:val="8"/>
                <w:szCs w:val="8"/>
                <w:color w:val="auto"/>
              </w:rPr>
            </w:pPr>
          </w:p>
        </w:tc>
        <w:tc>
          <w:tcPr>
            <w:tcW w:w="500" w:type="dxa"/>
            <w:vAlign w:val="bottom"/>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180,012</w:t>
            </w:r>
          </w:p>
        </w:tc>
        <w:tc>
          <w:tcPr>
            <w:tcW w:w="80" w:type="dxa"/>
            <w:vAlign w:val="bottom"/>
          </w:tcPr>
          <w:p>
            <w:pPr>
              <w:spacing w:after="0"/>
              <w:rPr>
                <w:sz w:val="8"/>
                <w:szCs w:val="8"/>
                <w:color w:val="auto"/>
              </w:rPr>
            </w:pPr>
          </w:p>
        </w:tc>
        <w:tc>
          <w:tcPr>
            <w:tcW w:w="680" w:type="dxa"/>
            <w:vAlign w:val="bottom"/>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80" w:type="dxa"/>
            <w:vAlign w:val="bottom"/>
          </w:tcPr>
          <w:p>
            <w:pPr>
              <w:jc w:val="right"/>
              <w:ind w:right="393"/>
              <w:spacing w:after="0" w:line="101"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93"/>
              <w:spacing w:after="0" w:line="101" w:lineRule="exact"/>
              <w:rPr>
                <w:sz w:val="20"/>
                <w:szCs w:val="20"/>
                <w:color w:val="auto"/>
              </w:rPr>
            </w:pPr>
            <w:r>
              <w:rPr>
                <w:rFonts w:ascii="Arial" w:cs="Arial" w:eastAsia="Arial" w:hAnsi="Arial"/>
                <w:sz w:val="9"/>
                <w:szCs w:val="9"/>
                <w:color w:val="auto"/>
              </w:rPr>
              <w:t>637,416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tcPr>
          <w:p>
            <w:pPr>
              <w:ind w:left="80"/>
              <w:spacing w:after="0"/>
              <w:rPr>
                <w:sz w:val="20"/>
                <w:szCs w:val="20"/>
                <w:color w:val="auto"/>
              </w:rPr>
            </w:pPr>
            <w:r>
              <w:rPr>
                <w:rFonts w:ascii="Arial" w:cs="Arial" w:eastAsia="Arial" w:hAnsi="Arial"/>
                <w:sz w:val="9"/>
                <w:szCs w:val="9"/>
                <w:color w:val="auto"/>
              </w:rPr>
              <w:t>President and Chief Operating Officer(10)</w:t>
            </w:r>
          </w:p>
        </w:tc>
        <w:tc>
          <w:tcPr>
            <w:tcW w:w="420" w:type="dxa"/>
            <w:vAlign w:val="bottom"/>
            <w:gridSpan w:val="2"/>
          </w:tcPr>
          <w:p>
            <w:pPr>
              <w:jc w:val="center"/>
              <w:ind w:left="33"/>
              <w:spacing w:after="0"/>
              <w:rPr>
                <w:sz w:val="20"/>
                <w:szCs w:val="20"/>
                <w:color w:val="auto"/>
              </w:rPr>
            </w:pPr>
            <w:r>
              <w:rPr>
                <w:rFonts w:ascii="Arial" w:cs="Arial" w:eastAsia="Arial" w:hAnsi="Arial"/>
                <w:sz w:val="9"/>
                <w:szCs w:val="9"/>
                <w:color w:val="auto"/>
                <w:w w:val="89"/>
              </w:rPr>
              <w:t>2008</w:t>
            </w:r>
          </w:p>
        </w:tc>
        <w:tc>
          <w:tcPr>
            <w:tcW w:w="560" w:type="dxa"/>
            <w:vAlign w:val="bottom"/>
            <w:gridSpan w:val="2"/>
          </w:tcPr>
          <w:p>
            <w:pPr>
              <w:jc w:val="right"/>
              <w:ind w:right="33"/>
              <w:spacing w:after="0"/>
              <w:rPr>
                <w:sz w:val="20"/>
                <w:szCs w:val="20"/>
                <w:color w:val="auto"/>
              </w:rPr>
            </w:pPr>
            <w:r>
              <w:rPr>
                <w:rFonts w:ascii="Arial" w:cs="Arial" w:eastAsia="Arial" w:hAnsi="Arial"/>
                <w:sz w:val="9"/>
                <w:szCs w:val="9"/>
                <w:color w:val="auto"/>
              </w:rPr>
              <w:t>444,808</w:t>
            </w:r>
          </w:p>
        </w:tc>
        <w:tc>
          <w:tcPr>
            <w:tcW w:w="80" w:type="dxa"/>
            <w:vAlign w:val="bottom"/>
          </w:tcPr>
          <w:p>
            <w:pPr>
              <w:spacing w:after="0"/>
              <w:rPr>
                <w:sz w:val="9"/>
                <w:szCs w:val="9"/>
                <w:color w:val="auto"/>
              </w:rPr>
            </w:pPr>
          </w:p>
        </w:tc>
        <w:tc>
          <w:tcPr>
            <w:tcW w:w="500" w:type="dxa"/>
            <w:vAlign w:val="bottom"/>
          </w:tcPr>
          <w:p>
            <w:pPr>
              <w:jc w:val="right"/>
              <w:ind w:right="73"/>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33"/>
              <w:spacing w:after="0"/>
              <w:rPr>
                <w:sz w:val="20"/>
                <w:szCs w:val="20"/>
                <w:color w:val="auto"/>
              </w:rPr>
            </w:pPr>
            <w:r>
              <w:rPr>
                <w:rFonts w:ascii="Arial" w:cs="Arial" w:eastAsia="Arial" w:hAnsi="Arial"/>
                <w:sz w:val="9"/>
                <w:szCs w:val="9"/>
                <w:color w:val="auto"/>
              </w:rPr>
              <w:t>3,348,020(9)</w:t>
            </w:r>
          </w:p>
        </w:tc>
        <w:tc>
          <w:tcPr>
            <w:tcW w:w="80" w:type="dxa"/>
            <w:vAlign w:val="bottom"/>
          </w:tcPr>
          <w:p>
            <w:pPr>
              <w:spacing w:after="0"/>
              <w:rPr>
                <w:sz w:val="9"/>
                <w:szCs w:val="9"/>
                <w:color w:val="auto"/>
              </w:rPr>
            </w:pPr>
          </w:p>
        </w:tc>
        <w:tc>
          <w:tcPr>
            <w:tcW w:w="680" w:type="dxa"/>
            <w:vAlign w:val="bottom"/>
          </w:tcPr>
          <w:p>
            <w:pPr>
              <w:jc w:val="right"/>
              <w:ind w:right="1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93"/>
              <w:spacing w:after="0"/>
              <w:rPr>
                <w:sz w:val="20"/>
                <w:szCs w:val="20"/>
                <w:color w:val="auto"/>
              </w:rPr>
            </w:pPr>
            <w:r>
              <w:rPr>
                <w:rFonts w:ascii="Arial" w:cs="Arial" w:eastAsia="Arial" w:hAnsi="Arial"/>
                <w:sz w:val="9"/>
                <w:szCs w:val="9"/>
                <w:color w:val="auto"/>
              </w:rPr>
              <w:t>3,792,828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Judith E. O’Grady</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248,708</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spacing w:after="0" w:line="89" w:lineRule="exact"/>
              <w:rPr>
                <w:sz w:val="20"/>
                <w:szCs w:val="20"/>
                <w:color w:val="auto"/>
              </w:rPr>
            </w:pPr>
            <w:r>
              <w:rPr>
                <w:rFonts w:ascii="Arial" w:cs="Arial" w:eastAsia="Arial" w:hAnsi="Arial"/>
                <w:sz w:val="9"/>
                <w:szCs w:val="9"/>
                <w:color w:val="auto"/>
              </w:rPr>
              <w:t>58,671(11)</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1280" w:type="dxa"/>
            <w:vAlign w:val="bottom"/>
            <w:gridSpan w:val="2"/>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63,750</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3,850</w:t>
            </w:r>
          </w:p>
        </w:tc>
        <w:tc>
          <w:tcPr>
            <w:tcW w:w="800" w:type="dxa"/>
            <w:vAlign w:val="bottom"/>
            <w:gridSpan w:val="2"/>
            <w:shd w:val="clear" w:color="auto" w:fill="CCEEFF"/>
          </w:tcPr>
          <w:p>
            <w:pPr>
              <w:jc w:val="right"/>
              <w:ind w:right="93"/>
              <w:spacing w:after="0" w:line="89" w:lineRule="exact"/>
              <w:rPr>
                <w:sz w:val="20"/>
                <w:szCs w:val="20"/>
                <w:color w:val="auto"/>
              </w:rPr>
            </w:pPr>
            <w:r>
              <w:rPr>
                <w:rFonts w:ascii="Arial" w:cs="Arial" w:eastAsia="Arial" w:hAnsi="Arial"/>
                <w:sz w:val="9"/>
                <w:szCs w:val="9"/>
                <w:color w:val="auto"/>
              </w:rPr>
              <w:t>374,979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Senior Vice President,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2009</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244,400</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146,657</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128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87,984</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3,648</w:t>
            </w:r>
          </w:p>
        </w:tc>
        <w:tc>
          <w:tcPr>
            <w:tcW w:w="80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482,689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w w:val="95"/>
              </w:rPr>
              <w:t>Regulatory Affairs and Quality Systems, and Corporate Compliance</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242,773</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100,016</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6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0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346,664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9"/>
                <w:szCs w:val="9"/>
                <w:color w:val="auto"/>
              </w:rPr>
              <w:t>Officer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line="89" w:lineRule="exact"/>
              <w:rPr>
                <w:sz w:val="20"/>
                <w:szCs w:val="20"/>
                <w:color w:val="auto"/>
              </w:rPr>
            </w:pPr>
            <w:r>
              <w:rPr>
                <w:rFonts w:ascii="Arial" w:cs="Arial" w:eastAsia="Arial" w:hAnsi="Arial"/>
                <w:sz w:val="9"/>
                <w:szCs w:val="9"/>
                <w:color w:val="auto"/>
              </w:rPr>
              <w:t>Jerry E. Corbin</w:t>
            </w:r>
          </w:p>
        </w:tc>
        <w:tc>
          <w:tcPr>
            <w:tcW w:w="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9"/>
                <w:szCs w:val="9"/>
                <w:color w:val="auto"/>
                <w:w w:val="89"/>
              </w:rPr>
              <w:t>2010</w:t>
            </w:r>
          </w:p>
        </w:tc>
        <w:tc>
          <w:tcPr>
            <w:tcW w:w="560" w:type="dxa"/>
            <w:vAlign w:val="bottom"/>
            <w:gridSpan w:val="2"/>
          </w:tcPr>
          <w:p>
            <w:pPr>
              <w:jc w:val="right"/>
              <w:ind w:right="33"/>
              <w:spacing w:after="0" w:line="89" w:lineRule="exact"/>
              <w:rPr>
                <w:sz w:val="20"/>
                <w:szCs w:val="20"/>
                <w:color w:val="auto"/>
              </w:rPr>
            </w:pPr>
            <w:r>
              <w:rPr>
                <w:rFonts w:ascii="Arial" w:cs="Arial" w:eastAsia="Arial" w:hAnsi="Arial"/>
                <w:sz w:val="9"/>
                <w:szCs w:val="9"/>
                <w:color w:val="auto"/>
              </w:rPr>
              <w:t>245,615</w:t>
            </w:r>
          </w:p>
        </w:tc>
        <w:tc>
          <w:tcPr>
            <w:tcW w:w="80" w:type="dxa"/>
            <w:vAlign w:val="bottom"/>
          </w:tcPr>
          <w:p>
            <w:pPr>
              <w:spacing w:after="0"/>
              <w:rPr>
                <w:sz w:val="7"/>
                <w:szCs w:val="7"/>
                <w:color w:val="auto"/>
              </w:rPr>
            </w:pPr>
          </w:p>
        </w:tc>
        <w:tc>
          <w:tcPr>
            <w:tcW w:w="500" w:type="dxa"/>
            <w:vAlign w:val="bottom"/>
          </w:tcPr>
          <w:p>
            <w:pPr>
              <w:jc w:val="right"/>
              <w:ind w:right="73"/>
              <w:spacing w:after="0" w:line="89" w:lineRule="exact"/>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line="89" w:lineRule="exact"/>
              <w:rPr>
                <w:sz w:val="20"/>
                <w:szCs w:val="20"/>
                <w:color w:val="auto"/>
              </w:rPr>
            </w:pPr>
            <w:r>
              <w:rPr>
                <w:rFonts w:ascii="Arial" w:cs="Arial" w:eastAsia="Arial" w:hAnsi="Arial"/>
                <w:sz w:val="9"/>
                <w:szCs w:val="9"/>
                <w:color w:val="auto"/>
              </w:rPr>
              <w:t>61,018(11)</w:t>
            </w:r>
          </w:p>
        </w:tc>
        <w:tc>
          <w:tcPr>
            <w:tcW w:w="80" w:type="dxa"/>
            <w:vAlign w:val="bottom"/>
          </w:tcPr>
          <w:p>
            <w:pPr>
              <w:spacing w:after="0"/>
              <w:rPr>
                <w:sz w:val="7"/>
                <w:szCs w:val="7"/>
                <w:color w:val="auto"/>
              </w:rPr>
            </w:pPr>
          </w:p>
        </w:tc>
        <w:tc>
          <w:tcPr>
            <w:tcW w:w="680" w:type="dxa"/>
            <w:vAlign w:val="bottom"/>
          </w:tcPr>
          <w:p>
            <w:pPr>
              <w:jc w:val="right"/>
              <w:ind w:right="113"/>
              <w:spacing w:after="0" w:line="89" w:lineRule="exact"/>
              <w:rPr>
                <w:sz w:val="20"/>
                <w:szCs w:val="20"/>
                <w:color w:val="auto"/>
              </w:rPr>
            </w:pPr>
            <w:r>
              <w:rPr>
                <w:rFonts w:ascii="Arial" w:cs="Arial" w:eastAsia="Arial" w:hAnsi="Arial"/>
                <w:sz w:val="9"/>
                <w:szCs w:val="9"/>
                <w:color w:val="auto"/>
              </w:rPr>
              <w:t>—</w:t>
            </w:r>
          </w:p>
        </w:tc>
        <w:tc>
          <w:tcPr>
            <w:tcW w:w="1280" w:type="dxa"/>
            <w:vAlign w:val="bottom"/>
            <w:gridSpan w:val="2"/>
          </w:tcPr>
          <w:p>
            <w:pPr>
              <w:jc w:val="right"/>
              <w:ind w:right="413"/>
              <w:spacing w:after="0" w:line="89" w:lineRule="exact"/>
              <w:rPr>
                <w:sz w:val="20"/>
                <w:szCs w:val="20"/>
                <w:color w:val="auto"/>
              </w:rPr>
            </w:pPr>
            <w:r>
              <w:rPr>
                <w:rFonts w:ascii="Arial" w:cs="Arial" w:eastAsia="Arial" w:hAnsi="Arial"/>
                <w:sz w:val="9"/>
                <w:szCs w:val="9"/>
                <w:color w:val="auto"/>
              </w:rPr>
              <w:t>63,750</w:t>
            </w:r>
          </w:p>
        </w:tc>
        <w:tc>
          <w:tcPr>
            <w:tcW w:w="80" w:type="dxa"/>
            <w:vAlign w:val="bottom"/>
          </w:tcPr>
          <w:p>
            <w:pPr>
              <w:spacing w:after="0"/>
              <w:rPr>
                <w:sz w:val="7"/>
                <w:szCs w:val="7"/>
                <w:color w:val="auto"/>
              </w:rPr>
            </w:pPr>
          </w:p>
        </w:tc>
        <w:tc>
          <w:tcPr>
            <w:tcW w:w="80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60" w:type="dxa"/>
            <w:vAlign w:val="bottom"/>
            <w:gridSpan w:val="2"/>
          </w:tcPr>
          <w:p>
            <w:pPr>
              <w:jc w:val="right"/>
              <w:ind w:right="393"/>
              <w:spacing w:after="0" w:line="89" w:lineRule="exact"/>
              <w:rPr>
                <w:sz w:val="20"/>
                <w:szCs w:val="20"/>
                <w:color w:val="auto"/>
              </w:rPr>
            </w:pPr>
            <w:r>
              <w:rPr>
                <w:rFonts w:ascii="Arial" w:cs="Arial" w:eastAsia="Arial" w:hAnsi="Arial"/>
                <w:sz w:val="9"/>
                <w:szCs w:val="9"/>
                <w:color w:val="auto"/>
              </w:rPr>
              <w:t>4,125</w:t>
            </w:r>
          </w:p>
        </w:tc>
        <w:tc>
          <w:tcPr>
            <w:tcW w:w="800" w:type="dxa"/>
            <w:vAlign w:val="bottom"/>
            <w:gridSpan w:val="2"/>
          </w:tcPr>
          <w:p>
            <w:pPr>
              <w:jc w:val="right"/>
              <w:ind w:right="93"/>
              <w:spacing w:after="0" w:line="89" w:lineRule="exact"/>
              <w:rPr>
                <w:sz w:val="20"/>
                <w:szCs w:val="20"/>
                <w:color w:val="auto"/>
              </w:rPr>
            </w:pPr>
            <w:r>
              <w:rPr>
                <w:rFonts w:ascii="Arial" w:cs="Arial" w:eastAsia="Arial" w:hAnsi="Arial"/>
                <w:sz w:val="9"/>
                <w:szCs w:val="9"/>
                <w:color w:val="auto"/>
              </w:rPr>
              <w:t>374,508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ind w:left="80"/>
              <w:spacing w:after="0" w:line="101" w:lineRule="exact"/>
              <w:rPr>
                <w:sz w:val="20"/>
                <w:szCs w:val="20"/>
                <w:color w:val="auto"/>
              </w:rPr>
            </w:pPr>
            <w:r>
              <w:rPr>
                <w:rFonts w:ascii="Arial" w:cs="Arial" w:eastAsia="Arial" w:hAnsi="Arial"/>
                <w:sz w:val="9"/>
                <w:szCs w:val="9"/>
                <w:color w:val="auto"/>
              </w:rPr>
              <w:t>Vice President,</w:t>
            </w:r>
          </w:p>
        </w:tc>
        <w:tc>
          <w:tcPr>
            <w:tcW w:w="42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89"/>
              </w:rPr>
              <w:t>2009</w:t>
            </w:r>
          </w:p>
        </w:tc>
        <w:tc>
          <w:tcPr>
            <w:tcW w:w="560" w:type="dxa"/>
            <w:vAlign w:val="bottom"/>
            <w:gridSpan w:val="2"/>
          </w:tcPr>
          <w:p>
            <w:pPr>
              <w:jc w:val="right"/>
              <w:ind w:right="33"/>
              <w:spacing w:after="0" w:line="101" w:lineRule="exact"/>
              <w:rPr>
                <w:sz w:val="20"/>
                <w:szCs w:val="20"/>
                <w:color w:val="auto"/>
              </w:rPr>
            </w:pPr>
            <w:r>
              <w:rPr>
                <w:rFonts w:ascii="Arial" w:cs="Arial" w:eastAsia="Arial" w:hAnsi="Arial"/>
                <w:sz w:val="9"/>
                <w:szCs w:val="9"/>
                <w:color w:val="auto"/>
              </w:rPr>
              <w:t>231,000</w:t>
            </w:r>
          </w:p>
        </w:tc>
        <w:tc>
          <w:tcPr>
            <w:tcW w:w="80" w:type="dxa"/>
            <w:vAlign w:val="bottom"/>
          </w:tcPr>
          <w:p>
            <w:pPr>
              <w:spacing w:after="0"/>
              <w:rPr>
                <w:sz w:val="8"/>
                <w:szCs w:val="8"/>
                <w:color w:val="auto"/>
              </w:rPr>
            </w:pPr>
          </w:p>
        </w:tc>
        <w:tc>
          <w:tcPr>
            <w:tcW w:w="500" w:type="dxa"/>
            <w:vAlign w:val="bottom"/>
          </w:tcPr>
          <w:p>
            <w:pPr>
              <w:jc w:val="right"/>
              <w:ind w:right="73"/>
              <w:spacing w:after="0" w:line="101" w:lineRule="exact"/>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150,168</w:t>
            </w:r>
          </w:p>
        </w:tc>
        <w:tc>
          <w:tcPr>
            <w:tcW w:w="80" w:type="dxa"/>
            <w:vAlign w:val="bottom"/>
          </w:tcPr>
          <w:p>
            <w:pPr>
              <w:spacing w:after="0"/>
              <w:rPr>
                <w:sz w:val="8"/>
                <w:szCs w:val="8"/>
                <w:color w:val="auto"/>
              </w:rPr>
            </w:pPr>
          </w:p>
        </w:tc>
        <w:tc>
          <w:tcPr>
            <w:tcW w:w="680" w:type="dxa"/>
            <w:vAlign w:val="bottom"/>
          </w:tcPr>
          <w:p>
            <w:pPr>
              <w:jc w:val="right"/>
              <w:ind w:right="113"/>
              <w:spacing w:after="0" w:line="101" w:lineRule="exact"/>
              <w:rPr>
                <w:sz w:val="20"/>
                <w:szCs w:val="20"/>
                <w:color w:val="auto"/>
              </w:rPr>
            </w:pPr>
            <w:r>
              <w:rPr>
                <w:rFonts w:ascii="Arial" w:cs="Arial" w:eastAsia="Arial" w:hAnsi="Arial"/>
                <w:sz w:val="9"/>
                <w:szCs w:val="9"/>
                <w:color w:val="auto"/>
              </w:rPr>
              <w:t>—</w:t>
            </w:r>
          </w:p>
        </w:tc>
        <w:tc>
          <w:tcPr>
            <w:tcW w:w="1280" w:type="dxa"/>
            <w:vAlign w:val="bottom"/>
            <w:gridSpan w:val="2"/>
          </w:tcPr>
          <w:p>
            <w:pPr>
              <w:jc w:val="right"/>
              <w:ind w:right="413"/>
              <w:spacing w:after="0" w:line="101" w:lineRule="exact"/>
              <w:rPr>
                <w:sz w:val="20"/>
                <w:szCs w:val="20"/>
                <w:color w:val="auto"/>
              </w:rPr>
            </w:pPr>
            <w:r>
              <w:rPr>
                <w:rFonts w:ascii="Arial" w:cs="Arial" w:eastAsia="Arial" w:hAnsi="Arial"/>
                <w:sz w:val="9"/>
                <w:szCs w:val="9"/>
                <w:color w:val="auto"/>
              </w:rPr>
              <w:t>91,476</w:t>
            </w:r>
          </w:p>
        </w:tc>
        <w:tc>
          <w:tcPr>
            <w:tcW w:w="80" w:type="dxa"/>
            <w:vAlign w:val="bottom"/>
          </w:tcPr>
          <w:p>
            <w:pPr>
              <w:spacing w:after="0"/>
              <w:rPr>
                <w:sz w:val="8"/>
                <w:szCs w:val="8"/>
                <w:color w:val="auto"/>
              </w:rPr>
            </w:pPr>
          </w:p>
        </w:tc>
        <w:tc>
          <w:tcPr>
            <w:tcW w:w="80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60" w:type="dxa"/>
            <w:vAlign w:val="bottom"/>
            <w:gridSpan w:val="2"/>
          </w:tcPr>
          <w:p>
            <w:pPr>
              <w:jc w:val="right"/>
              <w:ind w:right="393"/>
              <w:spacing w:after="0" w:line="101" w:lineRule="exact"/>
              <w:rPr>
                <w:sz w:val="20"/>
                <w:szCs w:val="20"/>
                <w:color w:val="auto"/>
              </w:rPr>
            </w:pPr>
            <w:r>
              <w:rPr>
                <w:rFonts w:ascii="Arial" w:cs="Arial" w:eastAsia="Arial" w:hAnsi="Arial"/>
                <w:sz w:val="9"/>
                <w:szCs w:val="9"/>
                <w:color w:val="auto"/>
              </w:rPr>
              <w:t>3,648</w:t>
            </w:r>
          </w:p>
        </w:tc>
        <w:tc>
          <w:tcPr>
            <w:tcW w:w="800" w:type="dxa"/>
            <w:vAlign w:val="bottom"/>
            <w:gridSpan w:val="2"/>
          </w:tcPr>
          <w:p>
            <w:pPr>
              <w:jc w:val="right"/>
              <w:ind w:right="93"/>
              <w:spacing w:after="0" w:line="101" w:lineRule="exact"/>
              <w:rPr>
                <w:sz w:val="20"/>
                <w:szCs w:val="20"/>
                <w:color w:val="auto"/>
              </w:rPr>
            </w:pPr>
            <w:r>
              <w:rPr>
                <w:rFonts w:ascii="Arial" w:cs="Arial" w:eastAsia="Arial" w:hAnsi="Arial"/>
                <w:sz w:val="9"/>
                <w:szCs w:val="9"/>
                <w:color w:val="auto"/>
              </w:rPr>
              <w:t>476,292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ind w:left="80"/>
              <w:spacing w:after="0"/>
              <w:rPr>
                <w:sz w:val="20"/>
                <w:szCs w:val="20"/>
                <w:color w:val="auto"/>
              </w:rPr>
            </w:pPr>
            <w:r>
              <w:rPr>
                <w:rFonts w:ascii="Arial" w:cs="Arial" w:eastAsia="Arial" w:hAnsi="Arial"/>
                <w:sz w:val="9"/>
                <w:szCs w:val="9"/>
                <w:color w:val="auto"/>
              </w:rPr>
              <w:t>Corporate Controller and Principal Accounting Officer</w:t>
            </w:r>
          </w:p>
        </w:tc>
        <w:tc>
          <w:tcPr>
            <w:tcW w:w="420" w:type="dxa"/>
            <w:vAlign w:val="bottom"/>
            <w:gridSpan w:val="2"/>
          </w:tcPr>
          <w:p>
            <w:pPr>
              <w:jc w:val="center"/>
              <w:ind w:left="33"/>
              <w:spacing w:after="0"/>
              <w:rPr>
                <w:sz w:val="20"/>
                <w:szCs w:val="20"/>
                <w:color w:val="auto"/>
              </w:rPr>
            </w:pPr>
            <w:r>
              <w:rPr>
                <w:rFonts w:ascii="Arial" w:cs="Arial" w:eastAsia="Arial" w:hAnsi="Arial"/>
                <w:sz w:val="9"/>
                <w:szCs w:val="9"/>
                <w:color w:val="auto"/>
                <w:w w:val="89"/>
              </w:rPr>
              <w:t>2008</w:t>
            </w:r>
          </w:p>
        </w:tc>
        <w:tc>
          <w:tcPr>
            <w:tcW w:w="560" w:type="dxa"/>
            <w:vAlign w:val="bottom"/>
            <w:gridSpan w:val="2"/>
          </w:tcPr>
          <w:p>
            <w:pPr>
              <w:jc w:val="right"/>
              <w:ind w:right="33"/>
              <w:spacing w:after="0"/>
              <w:rPr>
                <w:sz w:val="20"/>
                <w:szCs w:val="20"/>
                <w:color w:val="auto"/>
              </w:rPr>
            </w:pPr>
            <w:r>
              <w:rPr>
                <w:rFonts w:ascii="Arial" w:cs="Arial" w:eastAsia="Arial" w:hAnsi="Arial"/>
                <w:sz w:val="9"/>
                <w:szCs w:val="9"/>
                <w:color w:val="auto"/>
              </w:rPr>
              <w:t>227,365</w:t>
            </w:r>
          </w:p>
        </w:tc>
        <w:tc>
          <w:tcPr>
            <w:tcW w:w="8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153"/>
              <w:spacing w:after="0"/>
              <w:rPr>
                <w:sz w:val="20"/>
                <w:szCs w:val="20"/>
                <w:color w:val="auto"/>
              </w:rPr>
            </w:pPr>
            <w:r>
              <w:rPr>
                <w:rFonts w:ascii="Arial" w:cs="Arial" w:eastAsia="Arial" w:hAnsi="Arial"/>
                <w:sz w:val="9"/>
                <w:szCs w:val="9"/>
                <w:color w:val="auto"/>
              </w:rPr>
              <w:t>100,016</w:t>
            </w:r>
          </w:p>
        </w:tc>
        <w:tc>
          <w:tcPr>
            <w:tcW w:w="80" w:type="dxa"/>
            <w:vAlign w:val="bottom"/>
          </w:tcPr>
          <w:p>
            <w:pPr>
              <w:spacing w:after="0"/>
              <w:rPr>
                <w:sz w:val="10"/>
                <w:szCs w:val="10"/>
                <w:color w:val="auto"/>
              </w:rPr>
            </w:pPr>
          </w:p>
        </w:tc>
        <w:tc>
          <w:tcPr>
            <w:tcW w:w="680" w:type="dxa"/>
            <w:vAlign w:val="bottom"/>
          </w:tcPr>
          <w:p>
            <w:pPr>
              <w:jc w:val="right"/>
              <w:ind w:right="1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20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1160" w:type="dxa"/>
            <w:vAlign w:val="bottom"/>
            <w:gridSpan w:val="2"/>
          </w:tcPr>
          <w:p>
            <w:pPr>
              <w:jc w:val="right"/>
              <w:ind w:right="393"/>
              <w:spacing w:after="0"/>
              <w:rPr>
                <w:sz w:val="20"/>
                <w:szCs w:val="20"/>
                <w:color w:val="auto"/>
              </w:rPr>
            </w:pPr>
            <w:r>
              <w:rPr>
                <w:rFonts w:ascii="Arial" w:cs="Arial" w:eastAsia="Arial" w:hAnsi="Arial"/>
                <w:sz w:val="9"/>
                <w:szCs w:val="9"/>
                <w:color w:val="auto"/>
              </w:rPr>
              <w:t>3,875</w:t>
            </w:r>
          </w:p>
        </w:tc>
        <w:tc>
          <w:tcPr>
            <w:tcW w:w="800" w:type="dxa"/>
            <w:vAlign w:val="bottom"/>
            <w:gridSpan w:val="2"/>
          </w:tcPr>
          <w:p>
            <w:pPr>
              <w:jc w:val="right"/>
              <w:ind w:right="93"/>
              <w:spacing w:after="0"/>
              <w:rPr>
                <w:sz w:val="20"/>
                <w:szCs w:val="20"/>
                <w:color w:val="auto"/>
              </w:rPr>
            </w:pPr>
            <w:r>
              <w:rPr>
                <w:rFonts w:ascii="Arial" w:cs="Arial" w:eastAsia="Arial" w:hAnsi="Arial"/>
                <w:sz w:val="9"/>
                <w:szCs w:val="9"/>
                <w:color w:val="auto"/>
              </w:rPr>
              <w:t>331,256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58420</wp:posOffset>
            </wp:positionV>
            <wp:extent cx="82042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2" w:lineRule="exact"/>
        <w:rPr>
          <w:sz w:val="20"/>
          <w:szCs w:val="20"/>
          <w:color w:val="auto"/>
        </w:rPr>
      </w:pPr>
    </w:p>
    <w:p>
      <w:pPr>
        <w:ind w:left="400" w:right="180" w:hanging="247"/>
        <w:spacing w:after="0" w:line="289"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closing price of the Company’s common stock on the grant date.</w:t>
      </w:r>
    </w:p>
    <w:p>
      <w:pPr>
        <w:ind w:left="400" w:right="200" w:hanging="247"/>
        <w:spacing w:after="0" w:line="274"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2010.</w:t>
      </w:r>
    </w:p>
    <w:p>
      <w:pPr>
        <w:spacing w:after="0" w:line="8" w:lineRule="exact"/>
        <w:rPr>
          <w:rFonts w:ascii="Arial" w:cs="Arial" w:eastAsia="Arial" w:hAnsi="Arial"/>
          <w:sz w:val="13"/>
          <w:szCs w:val="13"/>
          <w:color w:val="auto"/>
        </w:rPr>
      </w:pPr>
    </w:p>
    <w:p>
      <w:pPr>
        <w:ind w:left="400" w:right="440" w:hanging="247"/>
        <w:spacing w:after="0" w:line="289"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in column (g) reflect cash awards earned as a discretionary bonus or pursuant to employment agreements. See “— Compensation Discussion and Analysis — Elements of Compensation — Annual Cash Incentives” for more information.</w:t>
      </w:r>
    </w:p>
    <w:p>
      <w:pPr>
        <w:ind w:left="400" w:right="160" w:hanging="247"/>
        <w:spacing w:after="0" w:line="289"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in this column consist of matching contributions made by the Company under the Company’s 401(k) plan. The aggregate amount of perquisites and other personal benefits for each named executive officer was less than $10,000.</w:t>
      </w:r>
    </w:p>
    <w:p>
      <w:pPr>
        <w:ind w:left="400" w:hanging="247"/>
        <w:spacing w:after="0"/>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Essig, our Chief Executive Officer, also served as President until November 1, 2010.</w:t>
      </w:r>
    </w:p>
    <w:p>
      <w:pPr>
        <w:spacing w:after="0" w:line="50" w:lineRule="exact"/>
        <w:rPr>
          <w:rFonts w:ascii="Arial" w:cs="Arial" w:eastAsia="Arial" w:hAnsi="Arial"/>
          <w:sz w:val="13"/>
          <w:szCs w:val="13"/>
          <w:color w:val="auto"/>
        </w:rPr>
      </w:pPr>
    </w:p>
    <w:p>
      <w:pPr>
        <w:ind w:left="400" w:hanging="247"/>
        <w:spacing w:after="0"/>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Arduini was appointed President and Chief Operating Officer, effective as of November 1, 2010.</w:t>
      </w:r>
    </w:p>
    <w:p>
      <w:pPr>
        <w:spacing w:after="0" w:line="50" w:lineRule="exact"/>
        <w:rPr>
          <w:rFonts w:ascii="Arial" w:cs="Arial" w:eastAsia="Arial" w:hAnsi="Arial"/>
          <w:sz w:val="13"/>
          <w:szCs w:val="13"/>
          <w:color w:val="auto"/>
        </w:rPr>
      </w:pPr>
    </w:p>
    <w:p>
      <w:pPr>
        <w:ind w:left="400" w:hanging="247"/>
        <w:spacing w:after="0"/>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paid Mr. Arduini this amount as a hiring bonus pursuant to the terms of his employment agreement.</w:t>
      </w:r>
    </w:p>
    <w:p>
      <w:pPr>
        <w:spacing w:after="0" w:line="50" w:lineRule="exact"/>
        <w:rPr>
          <w:rFonts w:ascii="Arial" w:cs="Arial" w:eastAsia="Arial" w:hAnsi="Arial"/>
          <w:sz w:val="13"/>
          <w:szCs w:val="13"/>
          <w:color w:val="auto"/>
        </w:rPr>
      </w:pPr>
    </w:p>
    <w:p>
      <w:pPr>
        <w:ind w:left="400" w:hanging="247"/>
        <w:spacing w:after="0"/>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Henneman was appointed Chief Financial Officer on May 13, 2008.</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47" w:name="page48"/>
    <w:bookmarkEnd w:id="47"/>
    <w:p>
      <w:pPr>
        <w:ind w:left="400" w:hanging="247"/>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grant date fair value of the performance stock award component of these awards assumes that the performance conditions will be fully met.</w:t>
      </w:r>
    </w:p>
    <w:p>
      <w:pPr>
        <w:spacing w:after="0" w:line="50" w:lineRule="exact"/>
        <w:rPr>
          <w:rFonts w:ascii="Arial" w:cs="Arial" w:eastAsia="Arial" w:hAnsi="Arial"/>
          <w:sz w:val="13"/>
          <w:szCs w:val="13"/>
          <w:color w:val="auto"/>
        </w:rPr>
      </w:pPr>
    </w:p>
    <w:p>
      <w:pPr>
        <w:ind w:left="400" w:hanging="314"/>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Mr. Carlozzi served as Chief Operating Officer until November 1, 2010 and as Executive Vice President until his retirement on January 4, 2011.</w:t>
      </w:r>
    </w:p>
    <w:p>
      <w:pPr>
        <w:spacing w:after="0" w:line="50" w:lineRule="exact"/>
        <w:rPr>
          <w:rFonts w:ascii="Arial" w:cs="Arial" w:eastAsia="Arial" w:hAnsi="Arial"/>
          <w:sz w:val="13"/>
          <w:szCs w:val="13"/>
          <w:color w:val="auto"/>
        </w:rPr>
      </w:pPr>
    </w:p>
    <w:p>
      <w:pPr>
        <w:ind w:left="400" w:right="520" w:hanging="309"/>
        <w:spacing w:after="0" w:line="291"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executive’s April 2011 restricted stock grant for 2010 performance is not reflected in the table because it was granted in 2011. See “— Compensation Discussion and Analysis — Elements of Compensation — Annual Cash Incentives”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Grants Of Plan-Based Awards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information on annual incentive opportunities and equity awards granted under the Company’s 2003 Equity Incentive Plan.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rPr>
              <w:t>All Other</w:t>
            </w:r>
          </w:p>
        </w:tc>
        <w:tc>
          <w:tcPr>
            <w:tcW w:w="180" w:type="dxa"/>
            <w:vAlign w:val="bottom"/>
          </w:tcPr>
          <w:p>
            <w:pPr>
              <w:spacing w:after="0"/>
              <w:rPr>
                <w:sz w:val="7"/>
                <w:szCs w:val="7"/>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All Other</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Grant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2"/>
              </w:rPr>
              <w:t>Stock</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Option</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Date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Awards:</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Awards:</w:t>
            </w:r>
          </w:p>
        </w:tc>
        <w:tc>
          <w:tcPr>
            <w:tcW w:w="540" w:type="dxa"/>
            <w:vAlign w:val="bottom"/>
            <w:gridSpan w:val="3"/>
          </w:tcPr>
          <w:p>
            <w:pPr>
              <w:ind w:left="180"/>
              <w:spacing w:after="0" w:line="91" w:lineRule="exact"/>
              <w:rPr>
                <w:sz w:val="20"/>
                <w:szCs w:val="20"/>
                <w:color w:val="auto"/>
              </w:rPr>
            </w:pPr>
            <w:r>
              <w:rPr>
                <w:rFonts w:ascii="Arial" w:cs="Arial" w:eastAsia="Arial" w:hAnsi="Arial"/>
                <w:sz w:val="8"/>
                <w:szCs w:val="8"/>
                <w:b w:val="1"/>
                <w:bCs w:val="1"/>
                <w:color w:val="auto"/>
              </w:rPr>
              <w:t>Exercise</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5"/>
              </w:rPr>
              <w:t>Fair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80" w:type="dxa"/>
            <w:vAlign w:val="bottom"/>
          </w:tcPr>
          <w:p>
            <w:pPr>
              <w:spacing w:after="0"/>
              <w:rPr>
                <w:sz w:val="7"/>
                <w:szCs w:val="7"/>
                <w:color w:val="auto"/>
              </w:rPr>
            </w:pPr>
          </w:p>
        </w:tc>
        <w:tc>
          <w:tcPr>
            <w:tcW w:w="1420" w:type="dxa"/>
            <w:vAlign w:val="bottom"/>
            <w:gridSpan w:val="7"/>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Number of</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Number of</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88"/>
              </w:rPr>
              <w:t>or Base</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9"/>
              </w:rPr>
              <w:t>Value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3"/>
          </w:tcPr>
          <w:p>
            <w:pPr>
              <w:jc w:val="center"/>
              <w:spacing w:after="0" w:line="91" w:lineRule="exact"/>
              <w:rPr>
                <w:sz w:val="20"/>
                <w:szCs w:val="20"/>
                <w:color w:val="auto"/>
              </w:rPr>
            </w:pPr>
            <w:r>
              <w:rPr>
                <w:rFonts w:ascii="Arial" w:cs="Arial" w:eastAsia="Arial" w:hAnsi="Arial"/>
                <w:sz w:val="8"/>
                <w:szCs w:val="8"/>
                <w:b w:val="1"/>
                <w:bCs w:val="1"/>
                <w:color w:val="auto"/>
                <w:w w:val="94"/>
              </w:rPr>
              <w:t>Under Non-Equity</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2"/>
              </w:rPr>
              <w:t>Under Equity</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2"/>
              </w:rPr>
              <w:t>Shares of</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Securities</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88"/>
              </w:rPr>
              <w:t>Price of</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Stock and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5"/>
              </w:rPr>
              <w:t>Date of</w:t>
            </w: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90"/>
              </w:rPr>
              <w:t>Incentive Plan Awards(1)</w:t>
            </w:r>
          </w:p>
        </w:tc>
        <w:tc>
          <w:tcPr>
            <w:tcW w:w="80" w:type="dxa"/>
            <w:vAlign w:val="bottom"/>
          </w:tcPr>
          <w:p>
            <w:pPr>
              <w:spacing w:after="0"/>
              <w:rPr>
                <w:sz w:val="8"/>
                <w:szCs w:val="8"/>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8"/>
                <w:szCs w:val="8"/>
                <w:b w:val="1"/>
                <w:bCs w:val="1"/>
                <w:color w:val="auto"/>
                <w:w w:val="90"/>
              </w:rPr>
              <w:t>Incentive Plan Awards(1)</w:t>
            </w:r>
          </w:p>
        </w:tc>
        <w:tc>
          <w:tcPr>
            <w:tcW w:w="1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93"/>
              </w:rPr>
              <w:t>Stock or</w:t>
            </w:r>
          </w:p>
        </w:tc>
        <w:tc>
          <w:tcPr>
            <w:tcW w:w="18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90"/>
              </w:rPr>
              <w:t>Underlying</w:t>
            </w:r>
          </w:p>
        </w:tc>
        <w:tc>
          <w:tcPr>
            <w:tcW w:w="180" w:type="dxa"/>
            <w:vAlign w:val="bottom"/>
          </w:tcPr>
          <w:p>
            <w:pPr>
              <w:spacing w:after="0"/>
              <w:rPr>
                <w:sz w:val="8"/>
                <w:szCs w:val="8"/>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2"/>
              </w:rPr>
              <w:t>Option</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Grant</w:t>
            </w:r>
          </w:p>
        </w:tc>
        <w:tc>
          <w:tcPr>
            <w:tcW w:w="100" w:type="dxa"/>
            <w:vAlign w:val="bottom"/>
          </w:tcPr>
          <w:p>
            <w:pPr>
              <w:spacing w:after="0"/>
              <w:rPr>
                <w:sz w:val="6"/>
                <w:szCs w:val="6"/>
                <w:color w:val="auto"/>
              </w:rPr>
            </w:pPr>
          </w:p>
        </w:tc>
        <w:tc>
          <w:tcPr>
            <w:tcW w:w="880" w:type="dxa"/>
            <w:vAlign w:val="bottom"/>
            <w:gridSpan w:val="2"/>
          </w:tcPr>
          <w:p>
            <w:pPr>
              <w:jc w:val="center"/>
              <w:ind w:right="100"/>
              <w:spacing w:after="0" w:line="71" w:lineRule="exact"/>
              <w:rPr>
                <w:sz w:val="20"/>
                <w:szCs w:val="20"/>
                <w:color w:val="auto"/>
              </w:rPr>
            </w:pPr>
            <w:r>
              <w:rPr>
                <w:rFonts w:ascii="Arial" w:cs="Arial" w:eastAsia="Arial" w:hAnsi="Arial"/>
                <w:sz w:val="8"/>
                <w:szCs w:val="8"/>
                <w:b w:val="1"/>
                <w:bCs w:val="1"/>
                <w:color w:val="auto"/>
                <w:w w:val="88"/>
              </w:rPr>
              <w:t>Comp.</w:t>
            </w:r>
          </w:p>
        </w:tc>
        <w:tc>
          <w:tcPr>
            <w:tcW w:w="4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Threshold</w:t>
            </w:r>
          </w:p>
        </w:tc>
        <w:tc>
          <w:tcPr>
            <w:tcW w:w="80" w:type="dxa"/>
            <w:vAlign w:val="bottom"/>
          </w:tcPr>
          <w:p>
            <w:pPr>
              <w:spacing w:after="0"/>
              <w:rPr>
                <w:sz w:val="6"/>
                <w:szCs w:val="6"/>
                <w:color w:val="auto"/>
              </w:rPr>
            </w:pPr>
          </w:p>
        </w:tc>
        <w:tc>
          <w:tcPr>
            <w:tcW w:w="58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89"/>
              </w:rPr>
              <w:t>Target</w:t>
            </w:r>
          </w:p>
        </w:tc>
        <w:tc>
          <w:tcPr>
            <w:tcW w:w="50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7"/>
              </w:rPr>
              <w:t>Maximum</w:t>
            </w:r>
          </w:p>
        </w:tc>
        <w:tc>
          <w:tcPr>
            <w:tcW w:w="80" w:type="dxa"/>
            <w:vAlign w:val="bottom"/>
          </w:tcPr>
          <w:p>
            <w:pPr>
              <w:spacing w:after="0"/>
              <w:rPr>
                <w:sz w:val="6"/>
                <w:szCs w:val="6"/>
                <w:color w:val="auto"/>
              </w:rPr>
            </w:pPr>
          </w:p>
        </w:tc>
        <w:tc>
          <w:tcPr>
            <w:tcW w:w="4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Threshold</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gridSpan w:val="3"/>
          </w:tcPr>
          <w:p>
            <w:pPr>
              <w:jc w:val="center"/>
              <w:ind w:right="140"/>
              <w:spacing w:after="0" w:line="71" w:lineRule="exact"/>
              <w:rPr>
                <w:sz w:val="20"/>
                <w:szCs w:val="20"/>
                <w:color w:val="auto"/>
              </w:rPr>
            </w:pPr>
            <w:r>
              <w:rPr>
                <w:rFonts w:ascii="Arial" w:cs="Arial" w:eastAsia="Arial" w:hAnsi="Arial"/>
                <w:sz w:val="8"/>
                <w:szCs w:val="8"/>
                <w:b w:val="1"/>
                <w:bCs w:val="1"/>
                <w:color w:val="auto"/>
                <w:w w:val="89"/>
              </w:rPr>
              <w:t>Target</w:t>
            </w:r>
          </w:p>
        </w:tc>
        <w:tc>
          <w:tcPr>
            <w:tcW w:w="4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7"/>
              </w:rPr>
              <w:t>Maximum</w:t>
            </w:r>
          </w:p>
        </w:tc>
        <w:tc>
          <w:tcPr>
            <w:tcW w:w="100" w:type="dxa"/>
            <w:vAlign w:val="bottom"/>
          </w:tcPr>
          <w:p>
            <w:pPr>
              <w:spacing w:after="0"/>
              <w:rPr>
                <w:sz w:val="6"/>
                <w:szCs w:val="6"/>
                <w:color w:val="auto"/>
              </w:rPr>
            </w:pPr>
          </w:p>
        </w:tc>
        <w:tc>
          <w:tcPr>
            <w:tcW w:w="6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7"/>
              </w:rPr>
              <w:t>Units(2)</w:t>
            </w:r>
          </w:p>
        </w:tc>
        <w:tc>
          <w:tcPr>
            <w:tcW w:w="180" w:type="dxa"/>
            <w:vAlign w:val="bottom"/>
          </w:tcPr>
          <w:p>
            <w:pPr>
              <w:spacing w:after="0"/>
              <w:rPr>
                <w:sz w:val="6"/>
                <w:szCs w:val="6"/>
                <w:color w:val="auto"/>
              </w:rPr>
            </w:pPr>
          </w:p>
        </w:tc>
        <w:tc>
          <w:tcPr>
            <w:tcW w:w="4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5"/>
              </w:rPr>
              <w:t>Options</w:t>
            </w:r>
          </w:p>
        </w:tc>
        <w:tc>
          <w:tcPr>
            <w:tcW w:w="180" w:type="dxa"/>
            <w:vAlign w:val="bottom"/>
          </w:tcPr>
          <w:p>
            <w:pPr>
              <w:spacing w:after="0"/>
              <w:rPr>
                <w:sz w:val="6"/>
                <w:szCs w:val="6"/>
                <w:color w:val="auto"/>
              </w:rPr>
            </w:pPr>
          </w:p>
        </w:tc>
        <w:tc>
          <w:tcPr>
            <w:tcW w:w="360" w:type="dxa"/>
            <w:vAlign w:val="bottom"/>
            <w:gridSpan w:val="2"/>
          </w:tcPr>
          <w:p>
            <w:pPr>
              <w:jc w:val="center"/>
              <w:ind w:right="100"/>
              <w:spacing w:after="0" w:line="71" w:lineRule="exact"/>
              <w:rPr>
                <w:sz w:val="20"/>
                <w:szCs w:val="20"/>
                <w:color w:val="auto"/>
              </w:rPr>
            </w:pPr>
            <w:r>
              <w:rPr>
                <w:rFonts w:ascii="Arial" w:cs="Arial" w:eastAsia="Arial" w:hAnsi="Arial"/>
                <w:sz w:val="8"/>
                <w:szCs w:val="8"/>
                <w:b w:val="1"/>
                <w:bCs w:val="1"/>
                <w:color w:val="auto"/>
                <w:w w:val="89"/>
              </w:rPr>
              <w:t>Awards</w:t>
            </w:r>
          </w:p>
        </w:tc>
        <w:tc>
          <w:tcPr>
            <w:tcW w:w="7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Awards(3)</w:t>
            </w:r>
          </w:p>
        </w:tc>
        <w:tc>
          <w:tcPr>
            <w:tcW w:w="0" w:type="dxa"/>
            <w:vAlign w:val="bottom"/>
          </w:tcPr>
          <w:p>
            <w:pPr>
              <w:spacing w:after="0"/>
              <w:rPr>
                <w:sz w:val="1"/>
                <w:szCs w:val="1"/>
                <w:color w:val="auto"/>
              </w:rPr>
            </w:pPr>
          </w:p>
        </w:tc>
      </w:tr>
      <w:tr>
        <w:trPr>
          <w:trHeight w:val="90"/>
        </w:trPr>
        <w:tc>
          <w:tcPr>
            <w:tcW w:w="2360" w:type="dxa"/>
            <w:vAlign w:val="bottom"/>
            <w:gridSpan w:val="2"/>
          </w:tcPr>
          <w:p>
            <w:pPr>
              <w:spacing w:after="0" w:line="91" w:lineRule="exact"/>
              <w:rPr>
                <w:sz w:val="20"/>
                <w:szCs w:val="20"/>
                <w:color w:val="auto"/>
              </w:rPr>
            </w:pPr>
            <w:r>
              <w:rPr>
                <w:rFonts w:ascii="Arial" w:cs="Arial" w:eastAsia="Arial" w:hAnsi="Arial"/>
                <w:sz w:val="8"/>
                <w:szCs w:val="8"/>
                <w:b w:val="1"/>
                <w:bCs w:val="1"/>
                <w:color w:val="auto"/>
              </w:rPr>
              <w:t>Name</w:t>
            </w:r>
          </w:p>
        </w:tc>
        <w:tc>
          <w:tcPr>
            <w:tcW w:w="80" w:type="dxa"/>
            <w:vAlign w:val="bottom"/>
          </w:tcPr>
          <w:p>
            <w:pPr>
              <w:spacing w:after="0"/>
              <w:rPr>
                <w:sz w:val="7"/>
                <w:szCs w:val="7"/>
                <w:color w:val="auto"/>
              </w:rPr>
            </w:pPr>
          </w:p>
        </w:tc>
        <w:tc>
          <w:tcPr>
            <w:tcW w:w="70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Date</w:t>
            </w:r>
          </w:p>
        </w:tc>
        <w:tc>
          <w:tcPr>
            <w:tcW w:w="100" w:type="dxa"/>
            <w:vAlign w:val="bottom"/>
          </w:tcPr>
          <w:p>
            <w:pPr>
              <w:spacing w:after="0"/>
              <w:rPr>
                <w:sz w:val="7"/>
                <w:szCs w:val="7"/>
                <w:color w:val="auto"/>
              </w:rPr>
            </w:pPr>
          </w:p>
        </w:tc>
        <w:tc>
          <w:tcPr>
            <w:tcW w:w="88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91"/>
              </w:rPr>
              <w:t>Committee</w:t>
            </w: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rPr>
              <w:t>($)</w:t>
            </w:r>
          </w:p>
        </w:tc>
        <w:tc>
          <w:tcPr>
            <w:tcW w:w="580" w:type="dxa"/>
            <w:vAlign w:val="bottom"/>
            <w:gridSpan w:val="2"/>
          </w:tcPr>
          <w:p>
            <w:pPr>
              <w:jc w:val="center"/>
              <w:ind w:left="36"/>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500" w:type="dxa"/>
            <w:vAlign w:val="bottom"/>
          </w:tcPr>
          <w:p>
            <w:pPr>
              <w:jc w:val="center"/>
              <w:spacing w:after="0" w:line="91" w:lineRule="exact"/>
              <w:rPr>
                <w:sz w:val="20"/>
                <w:szCs w:val="20"/>
                <w:color w:val="auto"/>
              </w:rPr>
            </w:pPr>
            <w:r>
              <w:rPr>
                <w:rFonts w:ascii="Arial" w:cs="Arial" w:eastAsia="Arial" w:hAnsi="Arial"/>
                <w:sz w:val="8"/>
                <w:szCs w:val="8"/>
                <w:b w:val="1"/>
                <w:bCs w:val="1"/>
                <w:color w:val="auto"/>
              </w:rPr>
              <w:t>($)</w:t>
            </w:r>
          </w:p>
        </w:tc>
        <w:tc>
          <w:tcPr>
            <w:tcW w:w="520" w:type="dxa"/>
            <w:vAlign w:val="bottom"/>
            <w:gridSpan w:val="2"/>
          </w:tcPr>
          <w:p>
            <w:pPr>
              <w:jc w:val="center"/>
              <w:ind w:left="80"/>
              <w:spacing w:after="0" w:line="91" w:lineRule="exact"/>
              <w:rPr>
                <w:sz w:val="20"/>
                <w:szCs w:val="20"/>
                <w:color w:val="auto"/>
              </w:rPr>
            </w:pPr>
            <w:r>
              <w:rPr>
                <w:rFonts w:ascii="Arial" w:cs="Arial" w:eastAsia="Arial" w:hAnsi="Arial"/>
                <w:sz w:val="8"/>
                <w:szCs w:val="8"/>
                <w:b w:val="1"/>
                <w:bCs w:val="1"/>
                <w:color w:val="auto"/>
                <w:w w:val="81"/>
              </w:rPr>
              <w:t>(#)</w:t>
            </w:r>
          </w:p>
        </w:tc>
        <w:tc>
          <w:tcPr>
            <w:tcW w:w="420" w:type="dxa"/>
            <w:vAlign w:val="bottom"/>
            <w:gridSpan w:val="3"/>
          </w:tcPr>
          <w:p>
            <w:pPr>
              <w:jc w:val="center"/>
              <w:ind w:left="80"/>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1"/>
              </w:rPr>
              <w:t>(#)</w:t>
            </w:r>
          </w:p>
        </w:tc>
        <w:tc>
          <w:tcPr>
            <w:tcW w:w="780" w:type="dxa"/>
            <w:vAlign w:val="bottom"/>
            <w:gridSpan w:val="2"/>
          </w:tcPr>
          <w:p>
            <w:pPr>
              <w:jc w:val="right"/>
              <w:ind w:right="258"/>
              <w:spacing w:after="0" w:line="91" w:lineRule="exact"/>
              <w:rPr>
                <w:sz w:val="20"/>
                <w:szCs w:val="20"/>
                <w:color w:val="auto"/>
              </w:rPr>
            </w:pPr>
            <w:r>
              <w:rPr>
                <w:rFonts w:ascii="Arial" w:cs="Arial" w:eastAsia="Arial" w:hAnsi="Arial"/>
                <w:sz w:val="8"/>
                <w:szCs w:val="8"/>
                <w:b w:val="1"/>
                <w:bCs w:val="1"/>
                <w:color w:val="auto"/>
              </w:rPr>
              <w:t>(#)</w:t>
            </w:r>
          </w:p>
        </w:tc>
        <w:tc>
          <w:tcPr>
            <w:tcW w:w="660" w:type="dxa"/>
            <w:vAlign w:val="bottom"/>
            <w:gridSpan w:val="2"/>
          </w:tcPr>
          <w:p>
            <w:pPr>
              <w:jc w:val="center"/>
              <w:ind w:left="120"/>
              <w:spacing w:after="0" w:line="91" w:lineRule="exact"/>
              <w:rPr>
                <w:sz w:val="20"/>
                <w:szCs w:val="20"/>
                <w:color w:val="auto"/>
              </w:rPr>
            </w:pPr>
            <w:r>
              <w:rPr>
                <w:rFonts w:ascii="Arial" w:cs="Arial" w:eastAsia="Arial" w:hAnsi="Arial"/>
                <w:sz w:val="8"/>
                <w:szCs w:val="8"/>
                <w:b w:val="1"/>
                <w:bCs w:val="1"/>
                <w:color w:val="auto"/>
              </w:rPr>
              <w:t>(#)</w:t>
            </w:r>
          </w:p>
        </w:tc>
        <w:tc>
          <w:tcPr>
            <w:tcW w:w="180" w:type="dxa"/>
            <w:vAlign w:val="bottom"/>
          </w:tcPr>
          <w:p>
            <w:pPr>
              <w:spacing w:after="0"/>
              <w:rPr>
                <w:sz w:val="7"/>
                <w:szCs w:val="7"/>
                <w:color w:val="auto"/>
              </w:rPr>
            </w:pPr>
          </w:p>
        </w:tc>
        <w:tc>
          <w:tcPr>
            <w:tcW w:w="360" w:type="dxa"/>
            <w:vAlign w:val="bottom"/>
            <w:gridSpan w:val="2"/>
          </w:tcPr>
          <w:p>
            <w:pPr>
              <w:jc w:val="center"/>
              <w:ind w:right="80"/>
              <w:spacing w:after="0" w:line="91" w:lineRule="exact"/>
              <w:rPr>
                <w:sz w:val="20"/>
                <w:szCs w:val="20"/>
                <w:color w:val="auto"/>
              </w:rPr>
            </w:pPr>
            <w:r>
              <w:rPr>
                <w:rFonts w:ascii="Arial" w:cs="Arial" w:eastAsia="Arial" w:hAnsi="Arial"/>
                <w:sz w:val="8"/>
                <w:szCs w:val="8"/>
                <w:b w:val="1"/>
                <w:bCs w:val="1"/>
                <w:color w:val="auto"/>
                <w:w w:val="89"/>
              </w:rPr>
              <w:t>($/Sh)</w:t>
            </w:r>
          </w:p>
        </w:tc>
        <w:tc>
          <w:tcPr>
            <w:tcW w:w="740" w:type="dxa"/>
            <w:vAlign w:val="bottom"/>
          </w:tcPr>
          <w:p>
            <w:pPr>
              <w:jc w:val="right"/>
              <w:ind w:right="277"/>
              <w:spacing w:after="0" w:line="91"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09"/>
        </w:trPr>
        <w:tc>
          <w:tcPr>
            <w:tcW w:w="2360" w:type="dxa"/>
            <w:vAlign w:val="bottom"/>
            <w:gridSpan w:val="2"/>
          </w:tcPr>
          <w:p>
            <w:pPr>
              <w:spacing w:after="0"/>
              <w:rPr>
                <w:sz w:val="20"/>
                <w:szCs w:val="20"/>
                <w:color w:val="auto"/>
              </w:rPr>
            </w:pPr>
            <w:r>
              <w:rPr>
                <w:rFonts w:ascii="Arial" w:cs="Arial" w:eastAsia="Arial" w:hAnsi="Arial"/>
                <w:sz w:val="8"/>
                <w:szCs w:val="8"/>
                <w:b w:val="1"/>
                <w:bCs w:val="1"/>
                <w:color w:val="auto"/>
              </w:rPr>
              <w:t>(a)</w:t>
            </w: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7"/>
              </w:rPr>
              <w:t>(b)</w:t>
            </w:r>
          </w:p>
        </w:tc>
        <w:tc>
          <w:tcPr>
            <w:tcW w:w="100" w:type="dxa"/>
            <w:vAlign w:val="bottom"/>
          </w:tcPr>
          <w:p>
            <w:pPr>
              <w:spacing w:after="0"/>
              <w:rPr>
                <w:sz w:val="9"/>
                <w:szCs w:val="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Action</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81"/>
              </w:rPr>
              <w:t>(c)</w:t>
            </w:r>
          </w:p>
        </w:tc>
        <w:tc>
          <w:tcPr>
            <w:tcW w:w="80" w:type="dxa"/>
            <w:vAlign w:val="bottom"/>
          </w:tcPr>
          <w:p>
            <w:pPr>
              <w:spacing w:after="0"/>
              <w:rPr>
                <w:sz w:val="9"/>
                <w:szCs w:val="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7"/>
              </w:rPr>
              <w:t>(d)</w:t>
            </w:r>
          </w:p>
        </w:tc>
        <w:tc>
          <w:tcPr>
            <w:tcW w:w="500" w:type="dxa"/>
            <w:vAlign w:val="bottom"/>
          </w:tcPr>
          <w:p>
            <w:pPr>
              <w:jc w:val="center"/>
              <w:spacing w:after="0"/>
              <w:rPr>
                <w:sz w:val="20"/>
                <w:szCs w:val="20"/>
                <w:color w:val="auto"/>
              </w:rPr>
            </w:pPr>
            <w:r>
              <w:rPr>
                <w:rFonts w:ascii="Arial" w:cs="Arial" w:eastAsia="Arial" w:hAnsi="Arial"/>
                <w:sz w:val="8"/>
                <w:szCs w:val="8"/>
                <w:b w:val="1"/>
                <w:bCs w:val="1"/>
                <w:color w:val="auto"/>
              </w:rPr>
              <w:t>(e)</w:t>
            </w:r>
          </w:p>
        </w:tc>
        <w:tc>
          <w:tcPr>
            <w:tcW w:w="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8"/>
                <w:szCs w:val="8"/>
                <w:b w:val="1"/>
                <w:bCs w:val="1"/>
                <w:color w:val="auto"/>
                <w:w w:val="99"/>
              </w:rPr>
              <w:t>(f)</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w w:val="97"/>
              </w:rPr>
              <w:t>(g)</w:t>
            </w:r>
          </w:p>
        </w:tc>
        <w:tc>
          <w:tcPr>
            <w:tcW w:w="440" w:type="dxa"/>
            <w:vAlign w:val="bottom"/>
          </w:tcPr>
          <w:p>
            <w:pPr>
              <w:jc w:val="center"/>
              <w:spacing w:after="0"/>
              <w:rPr>
                <w:sz w:val="20"/>
                <w:szCs w:val="20"/>
                <w:color w:val="auto"/>
              </w:rPr>
            </w:pPr>
            <w:r>
              <w:rPr>
                <w:rFonts w:ascii="Arial" w:cs="Arial" w:eastAsia="Arial" w:hAnsi="Arial"/>
                <w:sz w:val="8"/>
                <w:szCs w:val="8"/>
                <w:b w:val="1"/>
                <w:bCs w:val="1"/>
                <w:color w:val="auto"/>
                <w:w w:val="77"/>
              </w:rPr>
              <w:t>(h)</w:t>
            </w:r>
          </w:p>
        </w:tc>
        <w:tc>
          <w:tcPr>
            <w:tcW w:w="10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78"/>
              </w:rPr>
              <w:t>(i)</w:t>
            </w:r>
          </w:p>
        </w:tc>
        <w:tc>
          <w:tcPr>
            <w:tcW w:w="1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(j)</w:t>
            </w:r>
          </w:p>
        </w:tc>
        <w:tc>
          <w:tcPr>
            <w:tcW w:w="180" w:type="dxa"/>
            <w:vAlign w:val="bottom"/>
          </w:tcPr>
          <w:p>
            <w:pPr>
              <w:spacing w:after="0"/>
              <w:rPr>
                <w:sz w:val="9"/>
                <w:szCs w:val="9"/>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(k)</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34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7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12/15/10</w:t>
            </w:r>
          </w:p>
        </w:tc>
        <w:tc>
          <w:tcPr>
            <w:tcW w:w="8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12/15/2010</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89" w:lineRule="exact"/>
              <w:rPr>
                <w:sz w:val="20"/>
                <w:szCs w:val="20"/>
                <w:color w:val="auto"/>
              </w:rPr>
            </w:pPr>
            <w:r>
              <w:rPr>
                <w:rFonts w:ascii="Arial" w:cs="Arial" w:eastAsia="Arial" w:hAnsi="Arial"/>
                <w:sz w:val="9"/>
                <w:szCs w:val="9"/>
                <w:color w:val="auto"/>
              </w:rPr>
              <w:t>108,362(4)</w:t>
            </w: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7"/>
              <w:spacing w:after="0" w:line="89" w:lineRule="exact"/>
              <w:rPr>
                <w:sz w:val="20"/>
                <w:szCs w:val="20"/>
                <w:color w:val="auto"/>
              </w:rPr>
            </w:pPr>
            <w:r>
              <w:rPr>
                <w:rFonts w:ascii="Arial" w:cs="Arial" w:eastAsia="Arial" w:hAnsi="Arial"/>
                <w:sz w:val="9"/>
                <w:szCs w:val="9"/>
                <w:color w:val="auto"/>
              </w:rPr>
              <w:t>5,184,038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1/4/10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7/21/2004</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rPr>
              <w:t>700,000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tcPr>
          <w:p>
            <w:pPr>
              <w:spacing w:after="0" w:line="101" w:lineRule="exact"/>
              <w:rPr>
                <w:sz w:val="20"/>
                <w:szCs w:val="20"/>
                <w:color w:val="auto"/>
              </w:rPr>
            </w:pPr>
            <w:r>
              <w:rPr>
                <w:rFonts w:ascii="Arial" w:cs="Arial" w:eastAsia="Arial" w:hAnsi="Arial"/>
                <w:sz w:val="9"/>
                <w:szCs w:val="9"/>
                <w:color w:val="auto"/>
              </w:rPr>
              <w:t>Peter J. Arduini</w:t>
            </w:r>
          </w:p>
        </w:tc>
        <w:tc>
          <w:tcPr>
            <w:tcW w:w="7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11/1/10</w:t>
            </w:r>
          </w:p>
        </w:tc>
        <w:tc>
          <w:tcPr>
            <w:tcW w:w="8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10/12/2010</w:t>
            </w:r>
          </w:p>
        </w:tc>
        <w:tc>
          <w:tcPr>
            <w:tcW w:w="10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line="101" w:lineRule="exact"/>
              <w:rPr>
                <w:sz w:val="20"/>
                <w:szCs w:val="20"/>
                <w:color w:val="auto"/>
              </w:rPr>
            </w:pPr>
            <w:r>
              <w:rPr>
                <w:rFonts w:ascii="Arial" w:cs="Arial" w:eastAsia="Arial" w:hAnsi="Arial"/>
                <w:sz w:val="9"/>
                <w:szCs w:val="9"/>
                <w:color w:val="auto"/>
              </w:rPr>
              <w:t>34,868(5)</w:t>
            </w:r>
          </w:p>
        </w:tc>
        <w:tc>
          <w:tcPr>
            <w:tcW w:w="1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60" w:type="dxa"/>
            <w:vAlign w:val="bottom"/>
            <w:gridSpan w:val="2"/>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37"/>
              <w:spacing w:after="0" w:line="101" w:lineRule="exact"/>
              <w:rPr>
                <w:sz w:val="20"/>
                <w:szCs w:val="20"/>
                <w:color w:val="auto"/>
              </w:rPr>
            </w:pPr>
            <w:r>
              <w:rPr>
                <w:rFonts w:ascii="Arial" w:cs="Arial" w:eastAsia="Arial" w:hAnsi="Arial"/>
                <w:sz w:val="9"/>
                <w:szCs w:val="9"/>
                <w:color w:val="auto"/>
              </w:rPr>
              <w:t>1,500,021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4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John B. Henneman, III</w:t>
            </w:r>
          </w:p>
        </w:tc>
        <w:tc>
          <w:tcPr>
            <w:tcW w:w="7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12/15/10</w:t>
            </w:r>
          </w:p>
        </w:tc>
        <w:tc>
          <w:tcPr>
            <w:tcW w:w="8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10/12/2010</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89" w:lineRule="exact"/>
              <w:rPr>
                <w:sz w:val="20"/>
                <w:szCs w:val="20"/>
                <w:color w:val="auto"/>
              </w:rPr>
            </w:pPr>
            <w:r>
              <w:rPr>
                <w:rFonts w:ascii="Arial" w:cs="Arial" w:eastAsia="Arial" w:hAnsi="Arial"/>
                <w:sz w:val="9"/>
                <w:szCs w:val="9"/>
                <w:color w:val="auto"/>
              </w:rPr>
              <w:t>62,710(6)</w:t>
            </w: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7"/>
              <w:spacing w:after="0" w:line="89" w:lineRule="exact"/>
              <w:rPr>
                <w:sz w:val="20"/>
                <w:szCs w:val="20"/>
                <w:color w:val="auto"/>
              </w:rPr>
            </w:pPr>
            <w:r>
              <w:rPr>
                <w:rFonts w:ascii="Arial" w:cs="Arial" w:eastAsia="Arial" w:hAnsi="Arial"/>
                <w:sz w:val="9"/>
                <w:szCs w:val="9"/>
                <w:color w:val="auto"/>
              </w:rPr>
              <w:t>3,000,046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1/4/10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12/18/2008</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rPr>
              <w:t>250,000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40" w:type="dxa"/>
            <w:vAlign w:val="bottom"/>
          </w:tcPr>
          <w:p>
            <w:pPr>
              <w:spacing w:after="0" w:line="89" w:lineRule="exact"/>
              <w:rPr>
                <w:sz w:val="20"/>
                <w:szCs w:val="20"/>
                <w:color w:val="auto"/>
              </w:rPr>
            </w:pPr>
            <w:r>
              <w:rPr>
                <w:rFonts w:ascii="Arial" w:cs="Arial" w:eastAsia="Arial" w:hAnsi="Arial"/>
                <w:sz w:val="9"/>
                <w:szCs w:val="9"/>
                <w:color w:val="auto"/>
              </w:rPr>
              <w:t>Gerard S. Carlozzi</w:t>
            </w:r>
          </w:p>
        </w:tc>
        <w:tc>
          <w:tcPr>
            <w:tcW w:w="780" w:type="dxa"/>
            <w:vAlign w:val="bottom"/>
            <w:gridSpan w:val="2"/>
          </w:tcPr>
          <w:p>
            <w:pPr>
              <w:jc w:val="right"/>
              <w:ind w:right="140"/>
              <w:spacing w:after="0" w:line="89" w:lineRule="exact"/>
              <w:rPr>
                <w:sz w:val="20"/>
                <w:szCs w:val="20"/>
                <w:color w:val="auto"/>
              </w:rPr>
            </w:pPr>
            <w:r>
              <w:rPr>
                <w:rFonts w:ascii="Arial" w:cs="Arial" w:eastAsia="Arial" w:hAnsi="Arial"/>
                <w:sz w:val="9"/>
                <w:szCs w:val="9"/>
                <w:color w:val="auto"/>
              </w:rPr>
              <w:t>4/1/2010</w:t>
            </w:r>
          </w:p>
        </w:tc>
        <w:tc>
          <w:tcPr>
            <w:tcW w:w="880" w:type="dxa"/>
            <w:vAlign w:val="bottom"/>
            <w:gridSpan w:val="2"/>
          </w:tcPr>
          <w:p>
            <w:pPr>
              <w:jc w:val="right"/>
              <w:ind w:right="140"/>
              <w:spacing w:after="0" w:line="89" w:lineRule="exact"/>
              <w:rPr>
                <w:sz w:val="20"/>
                <w:szCs w:val="20"/>
                <w:color w:val="auto"/>
              </w:rPr>
            </w:pPr>
            <w:r>
              <w:rPr>
                <w:rFonts w:ascii="Arial" w:cs="Arial" w:eastAsia="Arial" w:hAnsi="Arial"/>
                <w:sz w:val="9"/>
                <w:szCs w:val="9"/>
                <w:color w:val="auto"/>
              </w:rPr>
              <w:t>12/17/2009</w:t>
            </w:r>
          </w:p>
        </w:tc>
        <w:tc>
          <w:tcPr>
            <w:tcW w:w="10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3"/>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line="89" w:lineRule="exact"/>
              <w:rPr>
                <w:sz w:val="20"/>
                <w:szCs w:val="20"/>
                <w:color w:val="auto"/>
              </w:rPr>
            </w:pPr>
            <w:r>
              <w:rPr>
                <w:rFonts w:ascii="Arial" w:cs="Arial" w:eastAsia="Arial" w:hAnsi="Arial"/>
                <w:sz w:val="9"/>
                <w:szCs w:val="9"/>
                <w:color w:val="auto"/>
              </w:rPr>
              <w:t>5,465(7)</w:t>
            </w:r>
          </w:p>
        </w:tc>
        <w:tc>
          <w:tcPr>
            <w:tcW w:w="18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37"/>
              <w:spacing w:after="0" w:line="89" w:lineRule="exact"/>
              <w:rPr>
                <w:sz w:val="20"/>
                <w:szCs w:val="20"/>
                <w:color w:val="auto"/>
              </w:rPr>
            </w:pPr>
            <w:r>
              <w:rPr>
                <w:rFonts w:ascii="Arial" w:cs="Arial" w:eastAsia="Arial" w:hAnsi="Arial"/>
                <w:sz w:val="9"/>
                <w:szCs w:val="9"/>
                <w:color w:val="auto"/>
              </w:rPr>
              <w:t>237,509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1/4/10</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12/18/2008</w:t>
            </w:r>
          </w:p>
        </w:tc>
        <w:tc>
          <w:tcPr>
            <w:tcW w:w="10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tcPr>
          <w:p>
            <w:pPr>
              <w:jc w:val="right"/>
              <w:ind w:right="55"/>
              <w:spacing w:after="0"/>
              <w:rPr>
                <w:sz w:val="20"/>
                <w:szCs w:val="20"/>
                <w:color w:val="auto"/>
              </w:rPr>
            </w:pPr>
            <w:r>
              <w:rPr>
                <w:rFonts w:ascii="Arial" w:cs="Arial" w:eastAsia="Arial" w:hAnsi="Arial"/>
                <w:sz w:val="9"/>
                <w:szCs w:val="9"/>
                <w:color w:val="auto"/>
              </w:rPr>
              <w:t>250,000</w:t>
            </w:r>
          </w:p>
        </w:tc>
        <w:tc>
          <w:tcPr>
            <w:tcW w:w="8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9"/>
                <w:szCs w:val="9"/>
                <w:color w:val="auto"/>
              </w:rPr>
            </w:pPr>
          </w:p>
        </w:tc>
        <w:tc>
          <w:tcPr>
            <w:tcW w:w="680" w:type="dxa"/>
            <w:vAlign w:val="bottom"/>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Judith E. O’Grady</w:t>
            </w:r>
          </w:p>
        </w:tc>
        <w:tc>
          <w:tcPr>
            <w:tcW w:w="7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4/1/2010</w:t>
            </w: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2/24/2010</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3"/>
            <w:shd w:val="clear" w:color="auto" w:fill="CCEEFF"/>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101" w:lineRule="exact"/>
              <w:rPr>
                <w:sz w:val="20"/>
                <w:szCs w:val="20"/>
                <w:color w:val="auto"/>
              </w:rPr>
            </w:pPr>
            <w:r>
              <w:rPr>
                <w:rFonts w:ascii="Arial" w:cs="Arial" w:eastAsia="Arial" w:hAnsi="Arial"/>
                <w:sz w:val="9"/>
                <w:szCs w:val="9"/>
                <w:color w:val="auto"/>
              </w:rPr>
              <w:t>1,350(8)</w:t>
            </w: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7"/>
              <w:spacing w:after="0" w:line="101" w:lineRule="exact"/>
              <w:rPr>
                <w:sz w:val="20"/>
                <w:szCs w:val="20"/>
                <w:color w:val="auto"/>
              </w:rPr>
            </w:pPr>
            <w:r>
              <w:rPr>
                <w:rFonts w:ascii="Arial" w:cs="Arial" w:eastAsia="Arial" w:hAnsi="Arial"/>
                <w:sz w:val="9"/>
                <w:szCs w:val="9"/>
                <w:color w:val="auto"/>
              </w:rPr>
              <w:t>58,671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20"/>
                <w:szCs w:val="20"/>
                <w:color w:val="auto"/>
              </w:rPr>
            </w:pPr>
            <w:r>
              <w:rPr>
                <w:rFonts w:ascii="Arial" w:cs="Arial" w:eastAsia="Arial" w:hAnsi="Arial"/>
                <w:sz w:val="9"/>
                <w:szCs w:val="9"/>
                <w:color w:val="auto"/>
              </w:rPr>
              <w:t>Jerry E. Corbin</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4/1/2010</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2/24/2010</w:t>
            </w: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10"/>
                <w:szCs w:val="1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5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rPr>
                <w:sz w:val="20"/>
                <w:szCs w:val="20"/>
                <w:color w:val="auto"/>
              </w:rPr>
            </w:pPr>
            <w:r>
              <w:rPr>
                <w:rFonts w:ascii="Arial" w:cs="Arial" w:eastAsia="Arial" w:hAnsi="Arial"/>
                <w:sz w:val="9"/>
                <w:szCs w:val="9"/>
                <w:color w:val="auto"/>
              </w:rPr>
              <w:t>1,404(8)</w:t>
            </w: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37"/>
              <w:spacing w:after="0"/>
              <w:rPr>
                <w:sz w:val="20"/>
                <w:szCs w:val="20"/>
                <w:color w:val="auto"/>
              </w:rPr>
            </w:pPr>
            <w:r>
              <w:rPr>
                <w:rFonts w:ascii="Arial" w:cs="Arial" w:eastAsia="Arial" w:hAnsi="Arial"/>
                <w:sz w:val="9"/>
                <w:szCs w:val="9"/>
                <w:color w:val="auto"/>
              </w:rPr>
              <w:t>61,018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wp:posOffset>
            </wp:positionV>
            <wp:extent cx="82042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10" w:lineRule="exact"/>
        <w:rPr>
          <w:sz w:val="20"/>
          <w:szCs w:val="20"/>
          <w:color w:val="auto"/>
        </w:rPr>
      </w:pPr>
    </w:p>
    <w:p>
      <w:pPr>
        <w:ind w:left="300" w:hanging="247"/>
        <w:spacing w:after="0" w:line="264"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“Target” is calculated by multiplying the officer’s base salary by the executive’s target award percentages provided in the applicable employment agreement for Messrs Essig, Henneman and Carlozzi. Mr. Arduini, who received a signing bonus of $500,000 when he was hired in November 2010, did not receive an incentive award for 2010. Although the Compensation Committee determined to award the target amount to Mr. Essig for 2010 performance, the Committee determined to pay $300,000 of the target in cash and the rest in restricted stock units. See note (4). The Compensation Committee did not establish performance targets for Mr. Corbin or Ms. O’Grady for 2010. See “— Compensation Discussion and Analysis — Elements of Compensation — Annual Cash Incentives” for more information. See column (l) and notes (6), (7) and (8) below for more information on the restricted stock awards for Messrs. Henneman, Carlozzi and Corbin and Ms. O’Grady.</w:t>
      </w:r>
    </w:p>
    <w:p>
      <w:pPr>
        <w:spacing w:after="0" w:line="14" w:lineRule="exact"/>
        <w:rPr>
          <w:rFonts w:ascii="Arial" w:cs="Arial" w:eastAsia="Arial" w:hAnsi="Arial"/>
          <w:sz w:val="13"/>
          <w:szCs w:val="13"/>
          <w:color w:val="auto"/>
        </w:rPr>
      </w:pPr>
    </w:p>
    <w:p>
      <w:pPr>
        <w:ind w:left="300" w:right="80" w:hanging="247"/>
        <w:spacing w:after="0" w:line="274"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shown in this column represent shares of restricted stock or restricted stock units granted under the Company’s 2003 Equity Incentive Plan. See “— Compensation Discussion and Analysis — Elements of Compensation — Long-Term Equity-Based Incentives” for a description of the material terms of these restricted stock and restricted stock unit awards.</w:t>
      </w:r>
    </w:p>
    <w:p>
      <w:pPr>
        <w:spacing w:after="0" w:line="8" w:lineRule="exact"/>
        <w:rPr>
          <w:rFonts w:ascii="Arial" w:cs="Arial" w:eastAsia="Arial" w:hAnsi="Arial"/>
          <w:sz w:val="13"/>
          <w:szCs w:val="13"/>
          <w:color w:val="auto"/>
        </w:rPr>
      </w:pPr>
    </w:p>
    <w:p>
      <w:pPr>
        <w:ind w:left="300" w:right="40" w:hanging="247"/>
        <w:spacing w:after="0" w:line="289"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column reflects the full grant date fair value of the restricted stock and restricted stock units granted to each named executive officer in 2010. For restricted stock and restricted stock units, fair value is calculated using the closing price of the Company’s common stock on the grant date noted.</w:t>
      </w:r>
    </w:p>
    <w:p>
      <w:pPr>
        <w:ind w:left="300" w:right="180" w:hanging="247"/>
        <w:spacing w:after="0" w:line="301" w:lineRule="auto"/>
        <w:tabs>
          <w:tab w:leader="none" w:pos="3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This grant of restricted stock units represents the annual equity-based award for Mr. Essig as well as the portion of his annual incentive award that the Compensation Committee determined to pay in restricted stock units. The grant vests in three equal annual installments, beginning on the first anniversary of the date of grant. Subject to certain conditions, the shares will be delivered within 30 days following the first business day immediately following the six-month period after the date of Mr. Essig’s separation of service.</w:t>
      </w:r>
    </w:p>
    <w:p>
      <w:pPr>
        <w:spacing w:after="0" w:line="1" w:lineRule="exact"/>
        <w:rPr>
          <w:rFonts w:ascii="Arial" w:cs="Arial" w:eastAsia="Arial" w:hAnsi="Arial"/>
          <w:sz w:val="12"/>
          <w:szCs w:val="12"/>
          <w:color w:val="auto"/>
        </w:rPr>
      </w:pPr>
    </w:p>
    <w:p>
      <w:pPr>
        <w:ind w:left="300" w:hanging="247"/>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grant of fully vested restricted stock was made to the executive upon hiring pursuant to his employment agreement.</w:t>
      </w:r>
    </w:p>
    <w:p>
      <w:pPr>
        <w:spacing w:after="0" w:line="50" w:lineRule="exact"/>
        <w:rPr>
          <w:rFonts w:ascii="Arial" w:cs="Arial" w:eastAsia="Arial" w:hAnsi="Arial"/>
          <w:sz w:val="13"/>
          <w:szCs w:val="13"/>
          <w:color w:val="auto"/>
        </w:rPr>
      </w:pPr>
    </w:p>
    <w:p>
      <w:pPr>
        <w:ind w:left="300" w:right="60" w:hanging="247"/>
        <w:spacing w:after="0" w:line="291"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grant of restricted stock was made to the executive for 2010 performance pursuant to the October 2010 amendment to his employment agreement. The grant vests in two equal annual installments, beginning on the first anniversary of the date of grant.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48" w:name="page49"/>
    <w:bookmarkEnd w:id="48"/>
    <w:p>
      <w:pPr>
        <w:ind w:left="300" w:right="80" w:hanging="247"/>
        <w:spacing w:after="0" w:line="274"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April 2009, the executive’s employment agreement was amended to provide for payment of the incentive award for 2009 in restricted stock instead of cash. This grant of restricted stock was made to the executive for 2009 performance pursuant to the April 2009 amendment to his employment agreement. The grant was fully vested on December 31, 2010.</w:t>
      </w:r>
    </w:p>
    <w:p>
      <w:pPr>
        <w:spacing w:after="0" w:line="8" w:lineRule="exact"/>
        <w:rPr>
          <w:rFonts w:ascii="Arial" w:cs="Arial" w:eastAsia="Arial" w:hAnsi="Arial"/>
          <w:sz w:val="13"/>
          <w:szCs w:val="13"/>
          <w:color w:val="auto"/>
        </w:rPr>
      </w:pPr>
    </w:p>
    <w:p>
      <w:pPr>
        <w:ind w:left="300" w:hanging="247"/>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grant of restricted stock was made to the executive for 2009 performance. This grant will vest 100% on the third anniversary of the date of grant.</w:t>
      </w:r>
    </w:p>
    <w:p>
      <w:pPr>
        <w:sectPr>
          <w:pgSz w:w="11900" w:h="16838" w:orient="portrait"/>
          <w:cols w:equalWidth="0" w:num="1">
            <w:col w:w="9980"/>
          </w:cols>
          <w:pgMar w:left="900" w:top="7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337" w:lineRule="auto"/>
        <w:rPr>
          <w:sz w:val="20"/>
          <w:szCs w:val="20"/>
          <w:color w:val="auto"/>
        </w:rPr>
      </w:pPr>
      <w:r>
        <w:rPr>
          <w:rFonts w:ascii="Arial" w:cs="Arial" w:eastAsia="Arial" w:hAnsi="Arial"/>
          <w:sz w:val="8"/>
          <w:szCs w:val="8"/>
          <w:b w:val="1"/>
          <w:bCs w:val="1"/>
          <w:color w:val="auto"/>
        </w:rPr>
        <w:t xml:space="preserve">Name </w:t>
      </w:r>
      <w:r>
        <w:rPr>
          <w:rFonts w:ascii="Arial" w:cs="Arial" w:eastAsia="Arial" w:hAnsi="Arial"/>
          <w:sz w:val="8"/>
          <w:szCs w:val="8"/>
          <w:b w:val="1"/>
          <w:bCs w:val="1"/>
          <w:u w:val="single" w:color="auto"/>
          <w:color w:val="auto"/>
        </w:rPr>
        <w:t>(</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with respect to outstanding equity awards as of December 31, 2010.</w:t>
      </w:r>
    </w:p>
    <w:p>
      <w:pPr>
        <w:spacing w:after="0" w:line="109" w:lineRule="exact"/>
        <w:rPr>
          <w:sz w:val="20"/>
          <w:szCs w:val="20"/>
          <w:color w:val="auto"/>
        </w:rPr>
      </w:pPr>
    </w:p>
    <w:tbl>
      <w:tblPr>
        <w:tblLayout w:type="fixed"/>
        <w:tblInd w:w="2320" w:type="dxa"/>
        <w:tblCellMar>
          <w:top w:w="0" w:type="dxa"/>
          <w:left w:w="0" w:type="dxa"/>
          <w:bottom w:w="0" w:type="dxa"/>
          <w:right w:w="0" w:type="dxa"/>
        </w:tblCellMar>
      </w:tblPr>
      <w:tr>
        <w:trPr>
          <w:trHeight w:val="113"/>
        </w:trPr>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9"/>
                <w:szCs w:val="9"/>
                <w:b w:val="1"/>
                <w:bCs w:val="1"/>
                <w:color w:val="auto"/>
              </w:rPr>
              <w:t>Option Awards(1)</w:t>
            </w: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ind w:left="400"/>
              <w:spacing w:after="0"/>
              <w:rPr>
                <w:sz w:val="20"/>
                <w:szCs w:val="20"/>
                <w:color w:val="auto"/>
              </w:rPr>
            </w:pPr>
            <w:r>
              <w:rPr>
                <w:rFonts w:ascii="Arial" w:cs="Arial" w:eastAsia="Arial" w:hAnsi="Arial"/>
                <w:sz w:val="9"/>
                <w:szCs w:val="9"/>
                <w:b w:val="1"/>
                <w:bCs w:val="1"/>
                <w:color w:val="auto"/>
                <w:w w:val="97"/>
              </w:rPr>
              <w:t>Stock Awards</w:t>
            </w: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77"/>
        </w:trPr>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Equity</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 or</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Payout</w:t>
            </w: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rPr>
              <w:t>Market</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Number</w:t>
            </w:r>
          </w:p>
        </w:tc>
        <w:tc>
          <w:tcPr>
            <w:tcW w:w="80" w:type="dxa"/>
            <w:vAlign w:val="bottom"/>
          </w:tcPr>
          <w:p>
            <w:pPr>
              <w:spacing w:after="0"/>
              <w:rPr>
                <w:sz w:val="8"/>
                <w:szCs w:val="8"/>
                <w:color w:val="auto"/>
              </w:rPr>
            </w:pPr>
          </w:p>
        </w:tc>
        <w:tc>
          <w:tcPr>
            <w:tcW w:w="100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1"/>
              </w:rPr>
              <w:t>Value of</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Unearned</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of Shares</w:t>
            </w:r>
          </w:p>
        </w:tc>
        <w:tc>
          <w:tcPr>
            <w:tcW w:w="80" w:type="dxa"/>
            <w:vAlign w:val="bottom"/>
          </w:tcPr>
          <w:p>
            <w:pPr>
              <w:spacing w:after="0"/>
              <w:rPr>
                <w:sz w:val="8"/>
                <w:szCs w:val="8"/>
                <w:color w:val="auto"/>
              </w:rPr>
            </w:pPr>
          </w:p>
        </w:tc>
        <w:tc>
          <w:tcPr>
            <w:tcW w:w="10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1"/>
              </w:rPr>
              <w:t>Shares or</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Shares, Units</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Shares, Units</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or Units</w:t>
            </w:r>
          </w:p>
        </w:tc>
        <w:tc>
          <w:tcPr>
            <w:tcW w:w="80" w:type="dxa"/>
            <w:vAlign w:val="bottom"/>
          </w:tcPr>
          <w:p>
            <w:pPr>
              <w:spacing w:after="0"/>
              <w:rPr>
                <w:sz w:val="8"/>
                <w:szCs w:val="8"/>
                <w:color w:val="auto"/>
              </w:rPr>
            </w:pPr>
          </w:p>
        </w:tc>
        <w:tc>
          <w:tcPr>
            <w:tcW w:w="100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5"/>
              </w:rPr>
              <w:t>Units of</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 Other</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or Other</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of Stock That</w:t>
            </w:r>
          </w:p>
        </w:tc>
        <w:tc>
          <w:tcPr>
            <w:tcW w:w="80" w:type="dxa"/>
            <w:vAlign w:val="bottom"/>
          </w:tcPr>
          <w:p>
            <w:pPr>
              <w:spacing w:after="0"/>
              <w:rPr>
                <w:sz w:val="8"/>
                <w:szCs w:val="8"/>
                <w:color w:val="auto"/>
              </w:rPr>
            </w:pPr>
          </w:p>
        </w:tc>
        <w:tc>
          <w:tcPr>
            <w:tcW w:w="10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9"/>
              </w:rPr>
              <w:t>Stock</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9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80" w:type="dxa"/>
            <w:vAlign w:val="bottom"/>
          </w:tcPr>
          <w:p>
            <w:pPr>
              <w:spacing w:after="0"/>
              <w:rPr>
                <w:sz w:val="8"/>
                <w:szCs w:val="8"/>
                <w:color w:val="auto"/>
              </w:rPr>
            </w:pPr>
          </w:p>
        </w:tc>
        <w:tc>
          <w:tcPr>
            <w:tcW w:w="10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7"/>
              </w:rPr>
              <w:t>That Have</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r>
      <w:tr>
        <w:trPr>
          <w:trHeight w:val="100"/>
        </w:trPr>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w:t>
            </w:r>
          </w:p>
        </w:tc>
        <w:tc>
          <w:tcPr>
            <w:tcW w:w="1080" w:type="dxa"/>
            <w:vAlign w:val="bottom"/>
            <w:gridSpan w:val="2"/>
          </w:tcPr>
          <w:p>
            <w:pPr>
              <w:jc w:val="center"/>
              <w:ind w:left="53"/>
              <w:spacing w:after="0" w:line="101" w:lineRule="exact"/>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Price(2)</w:t>
            </w:r>
          </w:p>
        </w:tc>
        <w:tc>
          <w:tcPr>
            <w:tcW w:w="80" w:type="dxa"/>
            <w:vAlign w:val="bottom"/>
          </w:tcPr>
          <w:p>
            <w:pPr>
              <w:spacing w:after="0"/>
              <w:rPr>
                <w:sz w:val="8"/>
                <w:szCs w:val="8"/>
                <w:color w:val="auto"/>
              </w:rPr>
            </w:pPr>
          </w:p>
        </w:tc>
        <w:tc>
          <w:tcPr>
            <w:tcW w:w="9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Expiration</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Vested</w:t>
            </w:r>
          </w:p>
        </w:tc>
        <w:tc>
          <w:tcPr>
            <w:tcW w:w="80" w:type="dxa"/>
            <w:vAlign w:val="bottom"/>
          </w:tcPr>
          <w:p>
            <w:pPr>
              <w:spacing w:after="0"/>
              <w:rPr>
                <w:sz w:val="8"/>
                <w:szCs w:val="8"/>
                <w:color w:val="auto"/>
              </w:rPr>
            </w:pPr>
          </w:p>
        </w:tc>
        <w:tc>
          <w:tcPr>
            <w:tcW w:w="10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Not Vested(3)</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w:t>
            </w:r>
          </w:p>
        </w:tc>
        <w:tc>
          <w:tcPr>
            <w:tcW w:w="8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Vested(4)</w:t>
            </w:r>
          </w:p>
        </w:tc>
      </w:tr>
      <w:tr>
        <w:trPr>
          <w:trHeight w:val="110"/>
        </w:trPr>
        <w:tc>
          <w:tcPr>
            <w:tcW w:w="880" w:type="dxa"/>
            <w:vAlign w:val="bottom"/>
          </w:tcPr>
          <w:p>
            <w:pPr>
              <w:jc w:val="center"/>
              <w:spacing w:after="0"/>
              <w:rPr>
                <w:sz w:val="20"/>
                <w:szCs w:val="20"/>
                <w:color w:val="auto"/>
              </w:rPr>
            </w:pPr>
            <w:r>
              <w:rPr>
                <w:rFonts w:ascii="Arial" w:cs="Arial" w:eastAsia="Arial" w:hAnsi="Arial"/>
                <w:sz w:val="9"/>
                <w:szCs w:val="9"/>
                <w:b w:val="1"/>
                <w:bCs w:val="1"/>
                <w:color w:val="auto"/>
                <w:w w:val="91"/>
              </w:rPr>
              <w:t>Exercisable</w:t>
            </w:r>
          </w:p>
        </w:tc>
        <w:tc>
          <w:tcPr>
            <w:tcW w:w="8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9"/>
                <w:szCs w:val="9"/>
                <w:b w:val="1"/>
                <w:bCs w:val="1"/>
                <w:color w:val="auto"/>
                <w:w w:val="91"/>
              </w:rPr>
              <w:t>Unexercisable</w:t>
            </w:r>
          </w:p>
        </w:tc>
        <w:tc>
          <w:tcPr>
            <w:tcW w:w="680" w:type="dxa"/>
            <w:vAlign w:val="bottom"/>
            <w:gridSpan w:val="2"/>
          </w:tcPr>
          <w:p>
            <w:pPr>
              <w:jc w:val="right"/>
              <w:ind w:right="193"/>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rPr>
              <w:t>Date</w:t>
            </w:r>
          </w:p>
        </w:tc>
        <w:tc>
          <w:tcPr>
            <w:tcW w:w="1080" w:type="dxa"/>
            <w:vAlign w:val="bottom"/>
            <w:gridSpan w:val="2"/>
          </w:tcPr>
          <w:p>
            <w:pPr>
              <w:jc w:val="center"/>
              <w:ind w:left="13"/>
              <w:spacing w:after="0"/>
              <w:rPr>
                <w:sz w:val="20"/>
                <w:szCs w:val="20"/>
                <w:color w:val="auto"/>
              </w:rPr>
            </w:pPr>
            <w:r>
              <w:rPr>
                <w:rFonts w:ascii="Arial" w:cs="Arial" w:eastAsia="Arial" w:hAnsi="Arial"/>
                <w:sz w:val="9"/>
                <w:szCs w:val="9"/>
                <w:b w:val="1"/>
                <w:bCs w:val="1"/>
                <w:color w:val="auto"/>
                <w:w w:val="90"/>
              </w:rPr>
              <w:t>(#)</w:t>
            </w:r>
          </w:p>
        </w:tc>
        <w:tc>
          <w:tcPr>
            <w:tcW w:w="100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74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w w:val="90"/>
              </w:rPr>
              <w:t>($)</w:t>
            </w:r>
          </w:p>
        </w:tc>
      </w:tr>
      <w:tr>
        <w:trPr>
          <w:trHeight w:val="113"/>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9"/>
                <w:szCs w:val="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80" w:type="dxa"/>
            <w:vAlign w:val="bottom"/>
          </w:tcPr>
          <w:p>
            <w:pPr>
              <w:spacing w:after="0"/>
              <w:rPr>
                <w:sz w:val="9"/>
                <w:szCs w:val="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(f)</w:t>
            </w:r>
          </w:p>
        </w:tc>
        <w:tc>
          <w:tcPr>
            <w:tcW w:w="80" w:type="dxa"/>
            <w:vAlign w:val="bottom"/>
          </w:tcPr>
          <w:p>
            <w:pPr>
              <w:spacing w:after="0"/>
              <w:rPr>
                <w:sz w:val="9"/>
                <w:szCs w:val="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(g)</w:t>
            </w:r>
          </w:p>
        </w:tc>
        <w:tc>
          <w:tcPr>
            <w:tcW w:w="80" w:type="dxa"/>
            <w:vAlign w:val="bottom"/>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(i)</w:t>
            </w:r>
          </w:p>
        </w:tc>
        <w:tc>
          <w:tcPr>
            <w:tcW w:w="8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r>
    </w:tbl>
    <w:p>
      <w:pPr>
        <w:spacing w:after="0" w:line="25" w:lineRule="exact"/>
        <w:rPr>
          <w:sz w:val="20"/>
          <w:szCs w:val="20"/>
          <w:color w:val="auto"/>
        </w:rPr>
      </w:pPr>
    </w:p>
    <w:p>
      <w:pPr>
        <w:sectPr>
          <w:pgSz w:w="11900" w:h="16838" w:orient="portrait"/>
          <w:cols w:equalWidth="0" w:num="2">
            <w:col w:w="240" w:space="160"/>
            <w:col w:w="9580"/>
          </w:cols>
          <w:pgMar w:left="900" w:top="740" w:right="1019" w:bottom="1440" w:gutter="0" w:footer="0" w:header="0"/>
          <w:type w:val="continuous"/>
        </w:sect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26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Stuart M. Essig</w:t>
            </w:r>
          </w:p>
        </w:tc>
        <w:tc>
          <w:tcPr>
            <w:tcW w:w="7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250,000</w:t>
            </w:r>
          </w:p>
        </w:tc>
        <w:tc>
          <w:tcPr>
            <w:tcW w:w="10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3" w:lineRule="exact"/>
              <w:rPr>
                <w:sz w:val="20"/>
                <w:szCs w:val="20"/>
                <w:color w:val="auto"/>
              </w:rPr>
            </w:pPr>
            <w:r>
              <w:rPr>
                <w:rFonts w:ascii="Arial" w:cs="Arial" w:eastAsia="Arial" w:hAnsi="Arial"/>
                <w:sz w:val="11"/>
                <w:szCs w:val="11"/>
                <w:color w:val="auto"/>
              </w:rPr>
              <w:t>31.38</w:t>
            </w:r>
          </w:p>
        </w:tc>
        <w:tc>
          <w:tcPr>
            <w:tcW w:w="1040" w:type="dxa"/>
            <w:vAlign w:val="bottom"/>
            <w:shd w:val="clear" w:color="auto" w:fill="CCEEFF"/>
          </w:tcPr>
          <w:p>
            <w:pPr>
              <w:jc w:val="right"/>
              <w:ind w:right="267"/>
              <w:spacing w:after="0" w:line="113" w:lineRule="exact"/>
              <w:rPr>
                <w:sz w:val="20"/>
                <w:szCs w:val="20"/>
                <w:color w:val="auto"/>
              </w:rPr>
            </w:pPr>
            <w:r>
              <w:rPr>
                <w:rFonts w:ascii="Arial" w:cs="Arial" w:eastAsia="Arial" w:hAnsi="Arial"/>
                <w:sz w:val="11"/>
                <w:szCs w:val="11"/>
                <w:color w:val="auto"/>
              </w:rPr>
              <w:t>7/27/2014</w:t>
            </w:r>
          </w:p>
        </w:tc>
        <w:tc>
          <w:tcPr>
            <w:tcW w:w="1060" w:type="dxa"/>
            <w:vAlign w:val="bottom"/>
            <w:shd w:val="clear" w:color="auto" w:fill="CCEEFF"/>
          </w:tcPr>
          <w:p>
            <w:pPr>
              <w:ind w:left="540"/>
              <w:spacing w:after="0" w:line="113"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3"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200,000</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34.49</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12/17/2014</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200,000</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35.57</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12/19/2015</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200,000</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42.53</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12/19/2016</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150,000</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50,000</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40.34</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12/18/2017</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84,821</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40,179</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48.82</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8/14/2018</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—(5)</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—(5)</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227"/>
              <w:spacing w:after="0" w:line="111" w:lineRule="exact"/>
              <w:rPr>
                <w:sz w:val="20"/>
                <w:szCs w:val="20"/>
                <w:color w:val="auto"/>
              </w:rPr>
            </w:pPr>
            <w:r>
              <w:rPr>
                <w:rFonts w:ascii="Arial" w:cs="Arial" w:eastAsia="Arial" w:hAnsi="Arial"/>
                <w:sz w:val="11"/>
                <w:szCs w:val="11"/>
                <w:color w:val="auto"/>
              </w:rPr>
              <w:t>99,999(6)</w:t>
            </w:r>
          </w:p>
        </w:tc>
        <w:tc>
          <w:tcPr>
            <w:tcW w:w="1080" w:type="dxa"/>
            <w:vAlign w:val="bottom"/>
            <w:shd w:val="clear" w:color="auto" w:fill="CCEEFF"/>
          </w:tcPr>
          <w:p>
            <w:pPr>
              <w:jc w:val="right"/>
              <w:ind w:right="347"/>
              <w:spacing w:after="0" w:line="111" w:lineRule="exact"/>
              <w:rPr>
                <w:sz w:val="20"/>
                <w:szCs w:val="20"/>
                <w:color w:val="auto"/>
              </w:rPr>
            </w:pPr>
            <w:r>
              <w:rPr>
                <w:rFonts w:ascii="Arial" w:cs="Arial" w:eastAsia="Arial" w:hAnsi="Arial"/>
                <w:sz w:val="11"/>
                <w:szCs w:val="11"/>
                <w:color w:val="auto"/>
              </w:rPr>
              <w:t>4,729,953</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23"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23"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227"/>
              <w:spacing w:after="0" w:line="123" w:lineRule="exact"/>
              <w:rPr>
                <w:sz w:val="20"/>
                <w:szCs w:val="20"/>
                <w:color w:val="auto"/>
              </w:rPr>
            </w:pPr>
            <w:r>
              <w:rPr>
                <w:rFonts w:ascii="Arial" w:cs="Arial" w:eastAsia="Arial" w:hAnsi="Arial"/>
                <w:sz w:val="11"/>
                <w:szCs w:val="11"/>
                <w:color w:val="auto"/>
              </w:rPr>
              <w:t>108,362(7)</w:t>
            </w:r>
          </w:p>
        </w:tc>
        <w:tc>
          <w:tcPr>
            <w:tcW w:w="1080" w:type="dxa"/>
            <w:vAlign w:val="bottom"/>
            <w:shd w:val="clear" w:color="auto" w:fill="CCEEFF"/>
          </w:tcPr>
          <w:p>
            <w:pPr>
              <w:jc w:val="right"/>
              <w:ind w:right="347"/>
              <w:spacing w:after="0" w:line="123" w:lineRule="exact"/>
              <w:rPr>
                <w:sz w:val="20"/>
                <w:szCs w:val="20"/>
                <w:color w:val="auto"/>
              </w:rPr>
            </w:pPr>
            <w:r>
              <w:rPr>
                <w:rFonts w:ascii="Arial" w:cs="Arial" w:eastAsia="Arial" w:hAnsi="Arial"/>
                <w:sz w:val="11"/>
                <w:szCs w:val="11"/>
                <w:color w:val="auto"/>
              </w:rPr>
              <w:t>5,125,523</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23"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tcPr>
          <w:p>
            <w:pPr>
              <w:spacing w:after="0" w:line="111" w:lineRule="exact"/>
              <w:rPr>
                <w:sz w:val="20"/>
                <w:szCs w:val="20"/>
                <w:color w:val="auto"/>
              </w:rPr>
            </w:pPr>
            <w:r>
              <w:rPr>
                <w:rFonts w:ascii="Arial" w:cs="Arial" w:eastAsia="Arial" w:hAnsi="Arial"/>
                <w:sz w:val="11"/>
                <w:szCs w:val="11"/>
                <w:color w:val="auto"/>
              </w:rPr>
              <w:t>Peter J. Arduini</w:t>
            </w: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60" w:type="dxa"/>
            <w:vAlign w:val="bottom"/>
          </w:tcPr>
          <w:p>
            <w:pPr>
              <w:ind w:left="540"/>
              <w:spacing w:after="0" w:line="111" w:lineRule="exact"/>
              <w:rPr>
                <w:sz w:val="20"/>
                <w:szCs w:val="20"/>
                <w:color w:val="auto"/>
              </w:rPr>
            </w:pPr>
            <w:r>
              <w:rPr>
                <w:rFonts w:ascii="Arial" w:cs="Arial" w:eastAsia="Arial" w:hAnsi="Arial"/>
                <w:sz w:val="11"/>
                <w:szCs w:val="11"/>
                <w:color w:val="auto"/>
              </w:rPr>
              <w:t>—(8)</w:t>
            </w:r>
          </w:p>
        </w:tc>
        <w:tc>
          <w:tcPr>
            <w:tcW w:w="1080" w:type="dxa"/>
            <w:vAlign w:val="bottom"/>
          </w:tcPr>
          <w:p>
            <w:pPr>
              <w:ind w:left="560"/>
              <w:spacing w:after="0" w:line="111" w:lineRule="exact"/>
              <w:rPr>
                <w:sz w:val="20"/>
                <w:szCs w:val="20"/>
                <w:color w:val="auto"/>
              </w:rPr>
            </w:pPr>
            <w:r>
              <w:rPr>
                <w:rFonts w:ascii="Arial" w:cs="Arial" w:eastAsia="Arial" w:hAnsi="Arial"/>
                <w:sz w:val="11"/>
                <w:szCs w:val="11"/>
                <w:color w:val="auto"/>
              </w:rPr>
              <w:t>—(8)</w:t>
            </w:r>
          </w:p>
        </w:tc>
        <w:tc>
          <w:tcPr>
            <w:tcW w:w="660" w:type="dxa"/>
            <w:vAlign w:val="bottom"/>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r>
      <w:tr>
        <w:trPr>
          <w:trHeight w:val="97"/>
        </w:trPr>
        <w:tc>
          <w:tcPr>
            <w:tcW w:w="20" w:type="dxa"/>
            <w:vAlign w:val="bottom"/>
          </w:tcPr>
          <w:p>
            <w:pPr>
              <w:spacing w:after="0"/>
              <w:rPr>
                <w:sz w:val="8"/>
                <w:szCs w:val="8"/>
                <w:color w:val="auto"/>
              </w:rPr>
            </w:pPr>
          </w:p>
        </w:tc>
        <w:tc>
          <w:tcPr>
            <w:tcW w:w="262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John B. Henneman, III</w:t>
            </w:r>
          </w:p>
        </w:tc>
        <w:tc>
          <w:tcPr>
            <w:tcW w:w="7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37,500</w:t>
            </w:r>
          </w:p>
        </w:tc>
        <w:tc>
          <w:tcPr>
            <w:tcW w:w="10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12,500</w:t>
            </w:r>
          </w:p>
        </w:tc>
        <w:tc>
          <w:tcPr>
            <w:tcW w:w="1100" w:type="dxa"/>
            <w:vAlign w:val="bottom"/>
            <w:shd w:val="clear" w:color="auto" w:fill="CCEEFF"/>
          </w:tcPr>
          <w:p>
            <w:pPr>
              <w:jc w:val="right"/>
              <w:ind w:right="207"/>
              <w:spacing w:after="0" w:line="97" w:lineRule="exact"/>
              <w:rPr>
                <w:sz w:val="20"/>
                <w:szCs w:val="20"/>
                <w:color w:val="auto"/>
              </w:rPr>
            </w:pPr>
            <w:r>
              <w:rPr>
                <w:rFonts w:ascii="Arial" w:cs="Arial" w:eastAsia="Arial" w:hAnsi="Arial"/>
                <w:sz w:val="11"/>
                <w:szCs w:val="11"/>
                <w:color w:val="auto"/>
              </w:rPr>
              <w:t>44.63</w:t>
            </w:r>
          </w:p>
        </w:tc>
        <w:tc>
          <w:tcPr>
            <w:tcW w:w="1040" w:type="dxa"/>
            <w:vAlign w:val="bottom"/>
            <w:shd w:val="clear" w:color="auto" w:fill="CCEEFF"/>
          </w:tcPr>
          <w:p>
            <w:pPr>
              <w:jc w:val="right"/>
              <w:ind w:right="267"/>
              <w:spacing w:after="0" w:line="97" w:lineRule="exact"/>
              <w:rPr>
                <w:sz w:val="20"/>
                <w:szCs w:val="20"/>
                <w:color w:val="auto"/>
              </w:rPr>
            </w:pPr>
            <w:r>
              <w:rPr>
                <w:rFonts w:ascii="Arial" w:cs="Arial" w:eastAsia="Arial" w:hAnsi="Arial"/>
                <w:sz w:val="11"/>
                <w:szCs w:val="11"/>
                <w:color w:val="auto"/>
              </w:rPr>
              <w:t>7/1/2018</w:t>
            </w:r>
          </w:p>
        </w:tc>
        <w:tc>
          <w:tcPr>
            <w:tcW w:w="1060" w:type="dxa"/>
            <w:vAlign w:val="bottom"/>
            <w:shd w:val="clear" w:color="auto" w:fill="CCEEFF"/>
          </w:tcPr>
          <w:p>
            <w:pPr>
              <w:ind w:left="540"/>
              <w:spacing w:after="0" w:line="97"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97"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97"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97"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—(9)</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—(9)</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11"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ind w:left="540"/>
              <w:spacing w:after="0" w:line="111" w:lineRule="exact"/>
              <w:rPr>
                <w:sz w:val="20"/>
                <w:szCs w:val="20"/>
                <w:color w:val="auto"/>
              </w:rPr>
            </w:pPr>
            <w:r>
              <w:rPr>
                <w:rFonts w:ascii="Arial" w:cs="Arial" w:eastAsia="Arial" w:hAnsi="Arial"/>
                <w:sz w:val="11"/>
                <w:szCs w:val="11"/>
                <w:color w:val="auto"/>
              </w:rPr>
              <w:t>—(10)</w:t>
            </w:r>
          </w:p>
        </w:tc>
        <w:tc>
          <w:tcPr>
            <w:tcW w:w="1080" w:type="dxa"/>
            <w:vAlign w:val="bottom"/>
            <w:shd w:val="clear" w:color="auto" w:fill="CCEEFF"/>
          </w:tcPr>
          <w:p>
            <w:pPr>
              <w:ind w:left="560"/>
              <w:spacing w:after="0" w:line="111" w:lineRule="exact"/>
              <w:rPr>
                <w:sz w:val="20"/>
                <w:szCs w:val="20"/>
                <w:color w:val="auto"/>
              </w:rPr>
            </w:pPr>
            <w:r>
              <w:rPr>
                <w:rFonts w:ascii="Arial" w:cs="Arial" w:eastAsia="Arial" w:hAnsi="Arial"/>
                <w:sz w:val="11"/>
                <w:szCs w:val="11"/>
                <w:color w:val="auto"/>
              </w:rPr>
              <w:t>—(10)</w:t>
            </w:r>
          </w:p>
        </w:tc>
        <w:tc>
          <w:tcPr>
            <w:tcW w:w="660" w:type="dxa"/>
            <w:vAlign w:val="bottom"/>
            <w:shd w:val="clear" w:color="auto" w:fill="CCEEFF"/>
          </w:tcPr>
          <w:p>
            <w:pPr>
              <w:ind w:left="220"/>
              <w:spacing w:after="0" w:line="111"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23"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23"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187"/>
              <w:spacing w:after="0" w:line="123" w:lineRule="exact"/>
              <w:rPr>
                <w:sz w:val="20"/>
                <w:szCs w:val="20"/>
                <w:color w:val="auto"/>
              </w:rPr>
            </w:pPr>
            <w:r>
              <w:rPr>
                <w:rFonts w:ascii="Arial" w:cs="Arial" w:eastAsia="Arial" w:hAnsi="Arial"/>
                <w:sz w:val="11"/>
                <w:szCs w:val="11"/>
                <w:color w:val="auto"/>
              </w:rPr>
              <w:t>33,643(11)</w:t>
            </w:r>
          </w:p>
        </w:tc>
        <w:tc>
          <w:tcPr>
            <w:tcW w:w="1080" w:type="dxa"/>
            <w:vAlign w:val="bottom"/>
            <w:shd w:val="clear" w:color="auto" w:fill="CCEEFF"/>
          </w:tcPr>
          <w:p>
            <w:pPr>
              <w:jc w:val="right"/>
              <w:ind w:right="347"/>
              <w:spacing w:after="0" w:line="123" w:lineRule="exact"/>
              <w:rPr>
                <w:sz w:val="20"/>
                <w:szCs w:val="20"/>
                <w:color w:val="auto"/>
              </w:rPr>
            </w:pPr>
            <w:r>
              <w:rPr>
                <w:rFonts w:ascii="Arial" w:cs="Arial" w:eastAsia="Arial" w:hAnsi="Arial"/>
                <w:sz w:val="11"/>
                <w:szCs w:val="11"/>
                <w:color w:val="auto"/>
              </w:rPr>
              <w:t>1,591,314</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23" w:lineRule="exact"/>
              <w:rPr>
                <w:sz w:val="20"/>
                <w:szCs w:val="20"/>
                <w:color w:val="auto"/>
              </w:rPr>
            </w:pPr>
            <w:r>
              <w:rPr>
                <w:rFonts w:ascii="Arial" w:cs="Arial" w:eastAsia="Arial" w:hAnsi="Arial"/>
                <w:sz w:val="11"/>
                <w:szCs w:val="11"/>
                <w:color w:val="auto"/>
              </w:rPr>
              <w:t>—</w:t>
            </w:r>
          </w:p>
        </w:tc>
      </w:tr>
      <w:tr>
        <w:trPr>
          <w:trHeight w:val="97"/>
        </w:trPr>
        <w:tc>
          <w:tcPr>
            <w:tcW w:w="20" w:type="dxa"/>
            <w:vAlign w:val="bottom"/>
          </w:tcPr>
          <w:p>
            <w:pPr>
              <w:spacing w:after="0"/>
              <w:rPr>
                <w:sz w:val="8"/>
                <w:szCs w:val="8"/>
                <w:color w:val="auto"/>
              </w:rPr>
            </w:pPr>
          </w:p>
        </w:tc>
        <w:tc>
          <w:tcPr>
            <w:tcW w:w="2620" w:type="dxa"/>
            <w:vAlign w:val="bottom"/>
          </w:tcPr>
          <w:p>
            <w:pPr>
              <w:spacing w:after="0" w:line="97" w:lineRule="exact"/>
              <w:rPr>
                <w:sz w:val="20"/>
                <w:szCs w:val="20"/>
                <w:color w:val="auto"/>
              </w:rPr>
            </w:pPr>
            <w:r>
              <w:rPr>
                <w:rFonts w:ascii="Arial" w:cs="Arial" w:eastAsia="Arial" w:hAnsi="Arial"/>
                <w:sz w:val="11"/>
                <w:szCs w:val="11"/>
                <w:color w:val="auto"/>
              </w:rPr>
              <w:t>Gerard S. Carlozzi</w:t>
            </w:r>
          </w:p>
        </w:tc>
        <w:tc>
          <w:tcPr>
            <w:tcW w:w="70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00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7"/>
              <w:spacing w:after="0" w:line="97"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267"/>
              <w:spacing w:after="0" w:line="97" w:lineRule="exact"/>
              <w:rPr>
                <w:sz w:val="20"/>
                <w:szCs w:val="20"/>
                <w:color w:val="auto"/>
              </w:rPr>
            </w:pPr>
            <w:r>
              <w:rPr>
                <w:rFonts w:ascii="Arial" w:cs="Arial" w:eastAsia="Arial" w:hAnsi="Arial"/>
                <w:sz w:val="11"/>
                <w:szCs w:val="11"/>
                <w:color w:val="auto"/>
              </w:rPr>
              <w:t>—</w:t>
            </w:r>
          </w:p>
        </w:tc>
        <w:tc>
          <w:tcPr>
            <w:tcW w:w="1060" w:type="dxa"/>
            <w:vAlign w:val="bottom"/>
          </w:tcPr>
          <w:p>
            <w:pPr>
              <w:ind w:left="540"/>
              <w:spacing w:after="0" w:line="97" w:lineRule="exact"/>
              <w:rPr>
                <w:sz w:val="20"/>
                <w:szCs w:val="20"/>
                <w:color w:val="auto"/>
              </w:rPr>
            </w:pPr>
            <w:r>
              <w:rPr>
                <w:rFonts w:ascii="Arial" w:cs="Arial" w:eastAsia="Arial" w:hAnsi="Arial"/>
                <w:sz w:val="11"/>
                <w:szCs w:val="11"/>
                <w:color w:val="auto"/>
              </w:rPr>
              <w:t>—(9)</w:t>
            </w:r>
          </w:p>
        </w:tc>
        <w:tc>
          <w:tcPr>
            <w:tcW w:w="1080" w:type="dxa"/>
            <w:vAlign w:val="bottom"/>
          </w:tcPr>
          <w:p>
            <w:pPr>
              <w:ind w:left="560"/>
              <w:spacing w:after="0" w:line="97" w:lineRule="exact"/>
              <w:rPr>
                <w:sz w:val="20"/>
                <w:szCs w:val="20"/>
                <w:color w:val="auto"/>
              </w:rPr>
            </w:pPr>
            <w:r>
              <w:rPr>
                <w:rFonts w:ascii="Arial" w:cs="Arial" w:eastAsia="Arial" w:hAnsi="Arial"/>
                <w:sz w:val="11"/>
                <w:szCs w:val="11"/>
                <w:color w:val="auto"/>
              </w:rPr>
              <w:t>—(9)</w:t>
            </w:r>
          </w:p>
        </w:tc>
        <w:tc>
          <w:tcPr>
            <w:tcW w:w="660" w:type="dxa"/>
            <w:vAlign w:val="bottom"/>
          </w:tcPr>
          <w:p>
            <w:pPr>
              <w:ind w:left="220"/>
              <w:spacing w:after="0" w:line="97" w:lineRule="exact"/>
              <w:rPr>
                <w:sz w:val="20"/>
                <w:szCs w:val="20"/>
                <w:color w:val="auto"/>
              </w:rPr>
            </w:pPr>
            <w:r>
              <w:rPr>
                <w:rFonts w:ascii="Arial" w:cs="Arial" w:eastAsia="Arial" w:hAnsi="Arial"/>
                <w:sz w:val="11"/>
                <w:szCs w:val="11"/>
                <w:color w:val="auto"/>
              </w:rPr>
              <w:t>—</w:t>
            </w:r>
          </w:p>
        </w:tc>
        <w:tc>
          <w:tcPr>
            <w:tcW w:w="700" w:type="dxa"/>
            <w:vAlign w:val="bottom"/>
          </w:tcPr>
          <w:p>
            <w:pPr>
              <w:ind w:left="320"/>
              <w:spacing w:after="0" w:line="97"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7"/>
              <w:spacing w:after="0" w:line="123"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267"/>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ind w:left="540"/>
              <w:spacing w:after="0" w:line="123" w:lineRule="exact"/>
              <w:rPr>
                <w:sz w:val="20"/>
                <w:szCs w:val="20"/>
                <w:color w:val="auto"/>
              </w:rPr>
            </w:pPr>
            <w:r>
              <w:rPr>
                <w:rFonts w:ascii="Arial" w:cs="Arial" w:eastAsia="Arial" w:hAnsi="Arial"/>
                <w:sz w:val="11"/>
                <w:szCs w:val="11"/>
                <w:color w:val="auto"/>
              </w:rPr>
              <w:t>—(10)</w:t>
            </w:r>
          </w:p>
        </w:tc>
        <w:tc>
          <w:tcPr>
            <w:tcW w:w="1080" w:type="dxa"/>
            <w:vAlign w:val="bottom"/>
          </w:tcPr>
          <w:p>
            <w:pPr>
              <w:ind w:left="560"/>
              <w:spacing w:after="0" w:line="123" w:lineRule="exact"/>
              <w:rPr>
                <w:sz w:val="20"/>
                <w:szCs w:val="20"/>
                <w:color w:val="auto"/>
              </w:rPr>
            </w:pPr>
            <w:r>
              <w:rPr>
                <w:rFonts w:ascii="Arial" w:cs="Arial" w:eastAsia="Arial" w:hAnsi="Arial"/>
                <w:sz w:val="11"/>
                <w:szCs w:val="11"/>
                <w:color w:val="auto"/>
              </w:rPr>
              <w:t>—(10)</w:t>
            </w:r>
          </w:p>
        </w:tc>
        <w:tc>
          <w:tcPr>
            <w:tcW w:w="660" w:type="dxa"/>
            <w:vAlign w:val="bottom"/>
          </w:tcPr>
          <w:p>
            <w:pPr>
              <w:ind w:left="220"/>
              <w:spacing w:after="0" w:line="123" w:lineRule="exact"/>
              <w:rPr>
                <w:sz w:val="20"/>
                <w:szCs w:val="20"/>
                <w:color w:val="auto"/>
              </w:rPr>
            </w:pPr>
            <w:r>
              <w:rPr>
                <w:rFonts w:ascii="Arial" w:cs="Arial" w:eastAsia="Arial" w:hAnsi="Arial"/>
                <w:sz w:val="11"/>
                <w:szCs w:val="11"/>
                <w:color w:val="auto"/>
              </w:rPr>
              <w:t>—</w:t>
            </w:r>
          </w:p>
        </w:tc>
        <w:tc>
          <w:tcPr>
            <w:tcW w:w="700" w:type="dxa"/>
            <w:vAlign w:val="bottom"/>
          </w:tcPr>
          <w:p>
            <w:pPr>
              <w:ind w:left="320"/>
              <w:spacing w:after="0" w:line="123" w:lineRule="exact"/>
              <w:rPr>
                <w:sz w:val="20"/>
                <w:szCs w:val="20"/>
                <w:color w:val="auto"/>
              </w:rPr>
            </w:pPr>
            <w:r>
              <w:rPr>
                <w:rFonts w:ascii="Arial" w:cs="Arial" w:eastAsia="Arial" w:hAnsi="Arial"/>
                <w:sz w:val="11"/>
                <w:szCs w:val="11"/>
                <w:color w:val="auto"/>
              </w:rPr>
              <w:t>—</w:t>
            </w:r>
          </w:p>
        </w:tc>
      </w:tr>
      <w:tr>
        <w:trPr>
          <w:trHeight w:val="97"/>
        </w:trPr>
        <w:tc>
          <w:tcPr>
            <w:tcW w:w="20" w:type="dxa"/>
            <w:vAlign w:val="bottom"/>
          </w:tcPr>
          <w:p>
            <w:pPr>
              <w:spacing w:after="0"/>
              <w:rPr>
                <w:sz w:val="8"/>
                <w:szCs w:val="8"/>
                <w:color w:val="auto"/>
              </w:rPr>
            </w:pPr>
          </w:p>
        </w:tc>
        <w:tc>
          <w:tcPr>
            <w:tcW w:w="262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Judith E. O’Grady</w:t>
            </w:r>
          </w:p>
        </w:tc>
        <w:tc>
          <w:tcPr>
            <w:tcW w:w="7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7,500</w:t>
            </w:r>
          </w:p>
        </w:tc>
        <w:tc>
          <w:tcPr>
            <w:tcW w:w="10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97" w:lineRule="exact"/>
              <w:rPr>
                <w:sz w:val="20"/>
                <w:szCs w:val="20"/>
                <w:color w:val="auto"/>
              </w:rPr>
            </w:pPr>
            <w:r>
              <w:rPr>
                <w:rFonts w:ascii="Arial" w:cs="Arial" w:eastAsia="Arial" w:hAnsi="Arial"/>
                <w:sz w:val="11"/>
                <w:szCs w:val="11"/>
                <w:color w:val="auto"/>
              </w:rPr>
              <w:t>33.48</w:t>
            </w:r>
          </w:p>
        </w:tc>
        <w:tc>
          <w:tcPr>
            <w:tcW w:w="1040" w:type="dxa"/>
            <w:vAlign w:val="bottom"/>
            <w:shd w:val="clear" w:color="auto" w:fill="CCEEFF"/>
          </w:tcPr>
          <w:p>
            <w:pPr>
              <w:jc w:val="right"/>
              <w:ind w:right="267"/>
              <w:spacing w:after="0" w:line="97" w:lineRule="exact"/>
              <w:rPr>
                <w:sz w:val="20"/>
                <w:szCs w:val="20"/>
                <w:color w:val="auto"/>
              </w:rPr>
            </w:pPr>
            <w:r>
              <w:rPr>
                <w:rFonts w:ascii="Arial" w:cs="Arial" w:eastAsia="Arial" w:hAnsi="Arial"/>
                <w:sz w:val="11"/>
                <w:szCs w:val="11"/>
                <w:color w:val="auto"/>
              </w:rPr>
              <w:t>11/1/2011</w:t>
            </w:r>
          </w:p>
        </w:tc>
        <w:tc>
          <w:tcPr>
            <w:tcW w:w="1060" w:type="dxa"/>
            <w:vAlign w:val="bottom"/>
            <w:shd w:val="clear" w:color="auto" w:fill="CCEEFF"/>
          </w:tcPr>
          <w:p>
            <w:pPr>
              <w:ind w:left="540"/>
              <w:spacing w:after="0" w:line="97"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ind w:left="560"/>
              <w:spacing w:after="0" w:line="97"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20"/>
              <w:spacing w:after="0" w:line="97"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97"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7"/>
              <w:spacing w:after="0" w:line="123"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267"/>
              <w:spacing w:after="0" w:line="123"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187"/>
              <w:spacing w:after="0" w:line="123" w:lineRule="exact"/>
              <w:rPr>
                <w:sz w:val="20"/>
                <w:szCs w:val="20"/>
                <w:color w:val="auto"/>
              </w:rPr>
            </w:pPr>
            <w:r>
              <w:rPr>
                <w:rFonts w:ascii="Arial" w:cs="Arial" w:eastAsia="Arial" w:hAnsi="Arial"/>
                <w:sz w:val="11"/>
                <w:szCs w:val="11"/>
                <w:color w:val="auto"/>
              </w:rPr>
              <w:t>7,731(12)</w:t>
            </w:r>
          </w:p>
        </w:tc>
        <w:tc>
          <w:tcPr>
            <w:tcW w:w="1080" w:type="dxa"/>
            <w:vAlign w:val="bottom"/>
            <w:shd w:val="clear" w:color="auto" w:fill="CCEEFF"/>
          </w:tcPr>
          <w:p>
            <w:pPr>
              <w:jc w:val="right"/>
              <w:ind w:right="347"/>
              <w:spacing w:after="0" w:line="123" w:lineRule="exact"/>
              <w:rPr>
                <w:sz w:val="20"/>
                <w:szCs w:val="20"/>
                <w:color w:val="auto"/>
              </w:rPr>
            </w:pPr>
            <w:r>
              <w:rPr>
                <w:rFonts w:ascii="Arial" w:cs="Arial" w:eastAsia="Arial" w:hAnsi="Arial"/>
                <w:sz w:val="11"/>
                <w:szCs w:val="11"/>
                <w:color w:val="auto"/>
              </w:rPr>
              <w:t>365,676</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320"/>
              <w:spacing w:after="0" w:line="123" w:lineRule="exact"/>
              <w:rPr>
                <w:sz w:val="20"/>
                <w:szCs w:val="20"/>
                <w:color w:val="auto"/>
              </w:rPr>
            </w:pPr>
            <w:r>
              <w:rPr>
                <w:rFonts w:ascii="Arial" w:cs="Arial" w:eastAsia="Arial" w:hAnsi="Arial"/>
                <w:sz w:val="11"/>
                <w:szCs w:val="11"/>
                <w:color w:val="auto"/>
              </w:rPr>
              <w:t>—</w:t>
            </w: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Arial" w:cs="Arial" w:eastAsia="Arial" w:hAnsi="Arial"/>
                <w:sz w:val="11"/>
                <w:szCs w:val="11"/>
                <w:color w:val="auto"/>
              </w:rPr>
              <w:t>Jerry E. Corbin</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7"/>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7"/>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187"/>
              <w:spacing w:after="0"/>
              <w:rPr>
                <w:sz w:val="20"/>
                <w:szCs w:val="20"/>
                <w:color w:val="auto"/>
              </w:rPr>
            </w:pPr>
            <w:r>
              <w:rPr>
                <w:rFonts w:ascii="Arial" w:cs="Arial" w:eastAsia="Arial" w:hAnsi="Arial"/>
                <w:sz w:val="11"/>
                <w:szCs w:val="11"/>
                <w:color w:val="auto"/>
              </w:rPr>
              <w:t>7,882(13)</w:t>
            </w:r>
          </w:p>
        </w:tc>
        <w:tc>
          <w:tcPr>
            <w:tcW w:w="1080" w:type="dxa"/>
            <w:vAlign w:val="bottom"/>
          </w:tcPr>
          <w:p>
            <w:pPr>
              <w:jc w:val="right"/>
              <w:ind w:right="347"/>
              <w:spacing w:after="0"/>
              <w:rPr>
                <w:sz w:val="20"/>
                <w:szCs w:val="20"/>
                <w:color w:val="auto"/>
              </w:rPr>
            </w:pPr>
            <w:r>
              <w:rPr>
                <w:rFonts w:ascii="Arial" w:cs="Arial" w:eastAsia="Arial" w:hAnsi="Arial"/>
                <w:sz w:val="11"/>
                <w:szCs w:val="11"/>
                <w:color w:val="auto"/>
              </w:rPr>
              <w:t>372,819</w:t>
            </w:r>
          </w:p>
        </w:tc>
        <w:tc>
          <w:tcPr>
            <w:tcW w:w="660" w:type="dxa"/>
            <w:vAlign w:val="bottom"/>
          </w:tcPr>
          <w:p>
            <w:pPr>
              <w:ind w:left="220"/>
              <w:spacing w:after="0"/>
              <w:rPr>
                <w:sz w:val="20"/>
                <w:szCs w:val="20"/>
                <w:color w:val="auto"/>
              </w:rPr>
            </w:pPr>
            <w:r>
              <w:rPr>
                <w:rFonts w:ascii="Arial" w:cs="Arial" w:eastAsia="Arial" w:hAnsi="Arial"/>
                <w:sz w:val="11"/>
                <w:szCs w:val="11"/>
                <w:color w:val="auto"/>
              </w:rPr>
              <w:t>—</w:t>
            </w:r>
          </w:p>
        </w:tc>
        <w:tc>
          <w:tcPr>
            <w:tcW w:w="700" w:type="dxa"/>
            <w:vAlign w:val="bottom"/>
          </w:tcPr>
          <w:p>
            <w:pPr>
              <w:ind w:left="32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8204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05" w:lineRule="exact"/>
        <w:rPr>
          <w:sz w:val="20"/>
          <w:szCs w:val="20"/>
          <w:color w:val="auto"/>
        </w:rPr>
      </w:pPr>
    </w:p>
    <w:p>
      <w:pPr>
        <w:ind w:left="400" w:right="160" w:hanging="247"/>
        <w:spacing w:after="0" w:line="313" w:lineRule="auto"/>
        <w:tabs>
          <w:tab w:leader="none" w:pos="4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Option awards made to Named Executive Officers other than Mr. Essig and except for the option granted to Mr. Henneman in 2008 with an exercise price of $44.63, vest over four years and have a term of six years. All options issued to Mr. Essig and the option issued to Mr. Henneman in 2008 with an exercise price of $44.63 have a term of 10 years.</w:t>
      </w:r>
    </w:p>
    <w:p>
      <w:pPr>
        <w:ind w:left="400" w:hanging="247"/>
        <w:spacing w:after="0"/>
        <w:tabs>
          <w:tab w:leader="none" w:pos="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option exercise price is equal to the closing price of our common stock as reported by the NASDAQ Global Select Market on the date of grant.</w:t>
      </w:r>
    </w:p>
    <w:p>
      <w:pPr>
        <w:spacing w:after="0" w:line="50" w:lineRule="exact"/>
        <w:rPr>
          <w:rFonts w:ascii="Arial" w:cs="Arial" w:eastAsia="Arial" w:hAnsi="Arial"/>
          <w:sz w:val="13"/>
          <w:szCs w:val="13"/>
          <w:color w:val="auto"/>
        </w:rPr>
      </w:pPr>
    </w:p>
    <w:p>
      <w:pPr>
        <w:ind w:left="400" w:right="140" w:hanging="247"/>
        <w:spacing w:after="0" w:line="291" w:lineRule="auto"/>
        <w:tabs>
          <w:tab w:leader="none" w:pos="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(g) by $47.30, the closing price of the Company’s common stock as reported by the NASDAQ Global Select Market on December 31, 2010.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type w:val="continuous"/>
        </w:sectPr>
      </w:pPr>
    </w:p>
    <w:bookmarkStart w:id="49" w:name="page50"/>
    <w:bookmarkEnd w:id="49"/>
    <w:p>
      <w:pPr>
        <w:ind w:left="320" w:right="160" w:hanging="247"/>
        <w:spacing w:after="0" w:line="289"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(i) by $47.30, the closing price of the Company’s common stock as reported by the NASDAQ Global Select Market on December 31, 2010.</w:t>
      </w:r>
    </w:p>
    <w:p>
      <w:pPr>
        <w:ind w:left="320" w:right="40" w:hanging="247"/>
        <w:spacing w:after="0" w:line="268"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750,000 shares and 375,000 shares of common stock underlying restricted stock units granted to Mr. Essig in 2004 and 2008, respectively, were vested as of the grant date. In addition, 33,334 shares and 33,333 shares of common stock underlying restricted stock units granted to Mr. Essig in 2008 vested in 2009 and 2010, respectively. An additional 33,334 shares of common stock underlying restricted stock units granted to Mr. Essig in 2009 vested in 2010. However, Mr. Essig is not entitled to receive such underlying shares until after December 31, 2010. Therefore, they are shown in the Nonqualified Deferred Compensation Table.</w:t>
      </w:r>
    </w:p>
    <w:p>
      <w:pPr>
        <w:spacing w:after="0" w:line="13" w:lineRule="exact"/>
        <w:rPr>
          <w:rFonts w:ascii="Arial" w:cs="Arial" w:eastAsia="Arial" w:hAnsi="Arial"/>
          <w:sz w:val="13"/>
          <w:szCs w:val="13"/>
          <w:color w:val="auto"/>
        </w:rPr>
      </w:pPr>
    </w:p>
    <w:p>
      <w:pPr>
        <w:ind w:left="320" w:hanging="247"/>
        <w:spacing w:after="0" w:line="265"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33,333 shares of common stock underlying restricted stock units granted on December 18, 2008 and 66,666 shares of common stock underlying restricted stock units granted on December 17, 2009 (each from an initial grant of 100,000 units). The terms of the awards provide that the shares from each of the initial grants will vest annually in three installments of 33,334 shares, 33,333 shares and 33,333 shares, respectively, on the first, second and third anniversaries of the date of grant. See footnote 5. The terms of the awards provide that, subject to certain conditions, the shares will be delivered within 30 days following the first business day immediately following the six-month period after the date of the executive’s separation of service.</w:t>
      </w:r>
    </w:p>
    <w:p>
      <w:pPr>
        <w:spacing w:after="0" w:line="15" w:lineRule="exact"/>
        <w:rPr>
          <w:rFonts w:ascii="Arial" w:cs="Arial" w:eastAsia="Arial" w:hAnsi="Arial"/>
          <w:sz w:val="13"/>
          <w:szCs w:val="13"/>
          <w:color w:val="auto"/>
        </w:rPr>
      </w:pPr>
    </w:p>
    <w:p>
      <w:pPr>
        <w:ind w:left="320" w:right="60" w:hanging="247"/>
        <w:spacing w:after="0" w:line="268"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108,362 shares of common stock underlying restricted stock units granted on December 15, 2010. The terms of the award provide that the shares will vest annually in three installments of 36,121 shares, 36,121 shares and 36,120 shares, respectively, on the first, second and third anniversaries of the date of grant. The terms of the award provide that, subject to certain conditions, the shares will be delivered within 30 days following the first business day immediately following the six-month period after the date of the executive’s separation of service.</w:t>
      </w:r>
    </w:p>
    <w:p>
      <w:pPr>
        <w:spacing w:after="0" w:line="13" w:lineRule="exact"/>
        <w:rPr>
          <w:rFonts w:ascii="Arial" w:cs="Arial" w:eastAsia="Arial" w:hAnsi="Arial"/>
          <w:sz w:val="13"/>
          <w:szCs w:val="13"/>
          <w:color w:val="auto"/>
        </w:rPr>
      </w:pPr>
    </w:p>
    <w:p>
      <w:pPr>
        <w:ind w:left="320" w:right="20" w:hanging="247"/>
        <w:spacing w:after="0" w:line="313"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34,868 shares of common stock underlying restricted stock units granted to Mr. Arduini in 2010 were vested as of the date of grant. However, Mr. Arduini is not entitled to receive such underlying shares (less 738 shares withheld to pay taxes) until after December 31, 2010. Therefore, they are shown in the Nonqualified Deferred Compensation Table.</w:t>
      </w:r>
    </w:p>
    <w:p>
      <w:pPr>
        <w:ind w:left="320" w:right="120" w:hanging="247"/>
        <w:spacing w:after="0" w:line="289"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3,855 shares of common stock underlying a performance stock award were vested as of December 31, 2010. The terms of the award provide that these shares will be deliverable as soon as practicable after January 3, 2011 if the performance condition is met. The performance condition was met in 2008.</w:t>
      </w:r>
    </w:p>
    <w:p>
      <w:pPr>
        <w:ind w:left="320" w:right="240" w:hanging="314"/>
        <w:spacing w:after="0" w:line="274"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44,439 shares and 44,438 shares of common stock underlying restricted stock units granted to the executive in December 2008 were vested in 2009 and 2010, respectively. However, the executive is not entitled to receive such underlying shares until after December 31, 2010. Therefore, they are shown in the Nonqualified Deferred Compensation Table.</w:t>
      </w:r>
    </w:p>
    <w:p>
      <w:pPr>
        <w:spacing w:after="0" w:line="8" w:lineRule="exact"/>
        <w:rPr>
          <w:rFonts w:ascii="Arial" w:cs="Arial" w:eastAsia="Arial" w:hAnsi="Arial"/>
          <w:sz w:val="13"/>
          <w:szCs w:val="13"/>
          <w:color w:val="auto"/>
        </w:rPr>
      </w:pPr>
    </w:p>
    <w:p>
      <w:pPr>
        <w:ind w:left="320" w:right="60" w:hanging="309"/>
        <w:spacing w:after="0" w:line="274"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33,643 shares of common stock remaining from an initial restricted stock grant of 62,710 shares (of which 29,067 shares were withheld to pay taxes following an election to be taxed at grant) made to Mr. Henneman on December 15, 2010. These remaining shares will vest in two equal installments on the first and second anniversary of the date of grant.</w:t>
      </w:r>
    </w:p>
    <w:p>
      <w:pPr>
        <w:spacing w:after="0" w:line="8" w:lineRule="exact"/>
        <w:rPr>
          <w:rFonts w:ascii="Arial" w:cs="Arial" w:eastAsia="Arial" w:hAnsi="Arial"/>
          <w:sz w:val="13"/>
          <w:szCs w:val="13"/>
          <w:color w:val="auto"/>
        </w:rPr>
      </w:pPr>
    </w:p>
    <w:p>
      <w:pPr>
        <w:ind w:left="320" w:right="60" w:hanging="314"/>
        <w:spacing w:after="0" w:line="289"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4,307 shares of restricted stock that vested on April 1, 2011, and, subject to continued employment, 2,074 shares of restricted stock that will vest on April 1, 2012 and 1,350 shares of restricted stock that will vest on April 1, 2013.</w:t>
      </w:r>
    </w:p>
    <w:p>
      <w:pPr>
        <w:ind w:left="320" w:right="80" w:hanging="314"/>
        <w:spacing w:after="0" w:line="291" w:lineRule="auto"/>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4,356 shares of restricted stock that vested on April 1, 2011 and, subject to continued employment, 2,122 shares of restricted stock that will vest on April 1, 2012 and 1,404 shares of restricted stock that will vest on April 1, 2013.</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112395</wp:posOffset>
            </wp:positionV>
            <wp:extent cx="72885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880"/>
          </w:cols>
          <w:pgMar w:left="980" w:top="740" w:right="10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Option Exercises And Stock Vested</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gridSpan w:val="4"/>
          </w:tcPr>
          <w:p>
            <w:pPr>
              <w:jc w:val="right"/>
              <w:ind w:right="460"/>
              <w:spacing w:after="0"/>
              <w:rPr>
                <w:sz w:val="20"/>
                <w:szCs w:val="20"/>
                <w:color w:val="auto"/>
              </w:rPr>
            </w:pPr>
            <w:r>
              <w:rPr>
                <w:rFonts w:ascii="Arial" w:cs="Arial" w:eastAsia="Arial" w:hAnsi="Arial"/>
                <w:sz w:val="13"/>
                <w:szCs w:val="13"/>
                <w:color w:val="auto"/>
                <w:w w:val="99"/>
              </w:rPr>
              <w:t>The following table presents information on stock option exercises and stock award vesting during 2010.</w:t>
            </w: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Option Awards</w:t>
            </w:r>
          </w:p>
        </w:tc>
        <w:tc>
          <w:tcPr>
            <w:tcW w:w="11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Borders>
              <w:bottom w:val="single" w:sz="8" w:color="auto"/>
            </w:tcBorders>
            <w:gridSpan w:val="2"/>
          </w:tcPr>
          <w:p>
            <w:pPr>
              <w:ind w:left="1160"/>
              <w:spacing w:after="0"/>
              <w:rPr>
                <w:sz w:val="20"/>
                <w:szCs w:val="20"/>
                <w:color w:val="auto"/>
              </w:rPr>
            </w:pPr>
            <w:r>
              <w:rPr>
                <w:rFonts w:ascii="Arial" w:cs="Arial" w:eastAsia="Arial" w:hAnsi="Arial"/>
                <w:sz w:val="11"/>
                <w:szCs w:val="11"/>
                <w:b w:val="1"/>
                <w:bCs w:val="1"/>
                <w:color w:val="auto"/>
                <w:w w:val="98"/>
              </w:rPr>
              <w:t>Stock Awards</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00" w:type="dxa"/>
            <w:vAlign w:val="bottom"/>
            <w:gridSpan w:val="2"/>
          </w:tcPr>
          <w:p>
            <w:pPr>
              <w:jc w:val="center"/>
              <w:ind w:right="380"/>
              <w:spacing w:after="0" w:line="83" w:lineRule="exact"/>
              <w:rPr>
                <w:sz w:val="20"/>
                <w:szCs w:val="20"/>
                <w:color w:val="auto"/>
              </w:rPr>
            </w:pPr>
            <w:r>
              <w:rPr>
                <w:rFonts w:ascii="Arial" w:cs="Arial" w:eastAsia="Arial" w:hAnsi="Arial"/>
                <w:sz w:val="9"/>
                <w:szCs w:val="9"/>
                <w:b w:val="1"/>
                <w:bCs w:val="1"/>
                <w:color w:val="auto"/>
              </w:rPr>
              <w:t>Number of Shares</w:t>
            </w:r>
          </w:p>
        </w:tc>
        <w:tc>
          <w:tcPr>
            <w:tcW w:w="112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400" w:type="dxa"/>
            <w:vAlign w:val="bottom"/>
          </w:tcPr>
          <w:p>
            <w:pPr>
              <w:spacing w:after="0"/>
              <w:rPr>
                <w:sz w:val="7"/>
                <w:szCs w:val="7"/>
                <w:color w:val="auto"/>
              </w:rPr>
            </w:pPr>
          </w:p>
        </w:tc>
        <w:tc>
          <w:tcPr>
            <w:tcW w:w="1900" w:type="dxa"/>
            <w:vAlign w:val="bottom"/>
            <w:gridSpan w:val="2"/>
          </w:tcPr>
          <w:p>
            <w:pPr>
              <w:jc w:val="center"/>
              <w:ind w:right="420"/>
              <w:spacing w:after="0" w:line="83" w:lineRule="exact"/>
              <w:rPr>
                <w:sz w:val="20"/>
                <w:szCs w:val="20"/>
                <w:color w:val="auto"/>
              </w:rPr>
            </w:pPr>
            <w:r>
              <w:rPr>
                <w:rFonts w:ascii="Arial" w:cs="Arial" w:eastAsia="Arial" w:hAnsi="Arial"/>
                <w:sz w:val="9"/>
                <w:szCs w:val="9"/>
                <w:b w:val="1"/>
                <w:bCs w:val="1"/>
                <w:color w:val="auto"/>
              </w:rPr>
              <w:t>Number of Shares</w:t>
            </w:r>
          </w:p>
        </w:tc>
        <w:tc>
          <w:tcPr>
            <w:tcW w:w="10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20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Acquired on Exercise</w:t>
            </w: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on Exercise(1)</w:t>
            </w:r>
          </w:p>
        </w:tc>
        <w:tc>
          <w:tcPr>
            <w:tcW w:w="400" w:type="dxa"/>
            <w:vAlign w:val="bottom"/>
          </w:tcPr>
          <w:p>
            <w:pPr>
              <w:spacing w:after="0"/>
              <w:rPr>
                <w:sz w:val="9"/>
                <w:szCs w:val="9"/>
                <w:color w:val="auto"/>
              </w:rPr>
            </w:pPr>
          </w:p>
        </w:tc>
        <w:tc>
          <w:tcPr>
            <w:tcW w:w="19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5"/>
              </w:rPr>
              <w:t>Acquired on Vesting</w:t>
            </w: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1"/>
              </w:rPr>
              <w:t>on Vesting</w:t>
            </w:r>
          </w:p>
        </w:tc>
        <w:tc>
          <w:tcPr>
            <w:tcW w:w="0" w:type="dxa"/>
            <w:vAlign w:val="bottom"/>
          </w:tcPr>
          <w:p>
            <w:pPr>
              <w:spacing w:after="0"/>
              <w:rPr>
                <w:sz w:val="1"/>
                <w:szCs w:val="1"/>
                <w:color w:val="auto"/>
              </w:rPr>
            </w:pPr>
          </w:p>
        </w:tc>
      </w:tr>
      <w:tr>
        <w:trPr>
          <w:trHeight w:val="110"/>
        </w:trPr>
        <w:tc>
          <w:tcPr>
            <w:tcW w:w="3400" w:type="dxa"/>
            <w:vAlign w:val="bottom"/>
            <w:gridSpan w:val="2"/>
            <w:vMerge w:val="continue"/>
          </w:tcPr>
          <w:p>
            <w:pPr>
              <w:spacing w:after="0"/>
              <w:rPr>
                <w:sz w:val="9"/>
                <w:szCs w:val="9"/>
                <w:color w:val="auto"/>
              </w:rPr>
            </w:pPr>
          </w:p>
        </w:tc>
        <w:tc>
          <w:tcPr>
            <w:tcW w:w="16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900" w:type="dxa"/>
            <w:vAlign w:val="bottom"/>
            <w:gridSpan w:val="2"/>
          </w:tcPr>
          <w:p>
            <w:pPr>
              <w:jc w:val="center"/>
              <w:ind w:left="315"/>
              <w:spacing w:after="0" w:line="111" w:lineRule="exact"/>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2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9"/>
              </w:rPr>
              <w:t>(b)</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400" w:type="dxa"/>
            <w:vAlign w:val="bottom"/>
          </w:tcPr>
          <w:p>
            <w:pPr>
              <w:spacing w:after="0"/>
              <w:rPr>
                <w:sz w:val="11"/>
                <w:szCs w:val="11"/>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5"/>
              </w:rPr>
              <w:t>(d)</w:t>
            </w:r>
          </w:p>
        </w:tc>
        <w:tc>
          <w:tcPr>
            <w:tcW w:w="11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282,086</w:t>
            </w: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8,798,262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18,336</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867,293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Peter J. Arduini</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152,500</w:t>
            </w: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1,663,450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18,368</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Gerard S. Carlozzi</w:t>
            </w:r>
          </w:p>
        </w:tc>
        <w:tc>
          <w:tcPr>
            <w:tcW w:w="1600" w:type="dxa"/>
            <w:vAlign w:val="bottom"/>
          </w:tcPr>
          <w:p>
            <w:pPr>
              <w:jc w:val="right"/>
              <w:spacing w:after="0"/>
              <w:rPr>
                <w:sz w:val="20"/>
                <w:szCs w:val="20"/>
                <w:color w:val="auto"/>
              </w:rPr>
            </w:pPr>
            <w:r>
              <w:rPr>
                <w:rFonts w:ascii="Arial" w:cs="Arial" w:eastAsia="Arial" w:hAnsi="Arial"/>
                <w:sz w:val="13"/>
                <w:szCs w:val="13"/>
                <w:color w:val="auto"/>
              </w:rPr>
              <w:t>28,022</w:t>
            </w:r>
          </w:p>
        </w:tc>
        <w:tc>
          <w:tcPr>
            <w:tcW w:w="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314,862</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17,133</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771,560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22,250</w:t>
            </w: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203,488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5,624</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Jerry E. Corbin</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4,697</w:t>
            </w: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204,211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82042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19" w:lineRule="exact"/>
        <w:rPr>
          <w:sz w:val="20"/>
          <w:szCs w:val="20"/>
          <w:color w:val="auto"/>
        </w:rPr>
      </w:pPr>
    </w:p>
    <w:p>
      <w:pPr>
        <w:ind w:left="300" w:right="180" w:hanging="247"/>
        <w:spacing w:after="0" w:line="291"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Nonqualified Deferred Compensation in 2010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jc w:val="center"/>
              <w:ind w:left="107"/>
              <w:spacing w:after="0"/>
              <w:rPr>
                <w:sz w:val="20"/>
                <w:szCs w:val="20"/>
                <w:color w:val="auto"/>
              </w:rPr>
            </w:pPr>
            <w:r>
              <w:rPr>
                <w:rFonts w:ascii="Arial" w:cs="Arial" w:eastAsia="Arial" w:hAnsi="Arial"/>
                <w:sz w:val="11"/>
                <w:szCs w:val="11"/>
                <w:b w:val="1"/>
                <w:bCs w:val="1"/>
                <w:color w:val="auto"/>
                <w:w w:val="85"/>
              </w:rPr>
              <w:t>Executive</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Registrant</w:t>
            </w: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4"/>
              </w:rPr>
              <w:t>Aggregate</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380" w:type="dxa"/>
            <w:vAlign w:val="bottom"/>
          </w:tcPr>
          <w:p>
            <w:pPr>
              <w:spacing w:after="0"/>
              <w:rPr>
                <w:sz w:val="10"/>
                <w:szCs w:val="10"/>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Aggregate Balance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92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4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15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Earnings in Last</w:t>
            </w: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Withdrawals/</w:t>
            </w:r>
          </w:p>
        </w:tc>
        <w:tc>
          <w:tcPr>
            <w:tcW w:w="380" w:type="dxa"/>
            <w:vAlign w:val="bottom"/>
          </w:tcPr>
          <w:p>
            <w:pPr>
              <w:spacing w:after="0"/>
              <w:rPr>
                <w:sz w:val="9"/>
                <w:szCs w:val="9"/>
                <w:color w:val="auto"/>
              </w:rPr>
            </w:pPr>
          </w:p>
        </w:tc>
        <w:tc>
          <w:tcPr>
            <w:tcW w:w="14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6"/>
              </w:rPr>
              <w:t>at Last Fiscal</w:t>
            </w:r>
          </w:p>
        </w:tc>
        <w:tc>
          <w:tcPr>
            <w:tcW w:w="0" w:type="dxa"/>
            <w:vAlign w:val="bottom"/>
          </w:tcPr>
          <w:p>
            <w:pPr>
              <w:spacing w:after="0"/>
              <w:rPr>
                <w:sz w:val="1"/>
                <w:szCs w:val="1"/>
                <w:color w:val="auto"/>
              </w:rPr>
            </w:pPr>
          </w:p>
        </w:tc>
      </w:tr>
      <w:tr>
        <w:trPr>
          <w:trHeight w:val="110"/>
        </w:trPr>
        <w:tc>
          <w:tcPr>
            <w:tcW w:w="2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920" w:type="dxa"/>
            <w:vAlign w:val="bottom"/>
          </w:tcPr>
          <w:p>
            <w:pPr>
              <w:jc w:val="center"/>
              <w:ind w:left="87"/>
              <w:spacing w:after="0" w:line="111" w:lineRule="exact"/>
              <w:rPr>
                <w:sz w:val="20"/>
                <w:szCs w:val="20"/>
                <w:color w:val="auto"/>
              </w:rPr>
            </w:pPr>
            <w:r>
              <w:rPr>
                <w:rFonts w:ascii="Arial" w:cs="Arial" w:eastAsia="Arial" w:hAnsi="Arial"/>
                <w:sz w:val="11"/>
                <w:szCs w:val="11"/>
                <w:b w:val="1"/>
                <w:bCs w:val="1"/>
                <w:color w:val="auto"/>
                <w:w w:val="88"/>
              </w:rPr>
              <w:t>Last Fiscal Year</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Last Fiscal Year</w:t>
            </w:r>
          </w:p>
        </w:tc>
        <w:tc>
          <w:tcPr>
            <w:tcW w:w="15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5"/>
              </w:rPr>
              <w:t>Fiscal Year</w:t>
            </w: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Distributions</w:t>
            </w:r>
          </w:p>
        </w:tc>
        <w:tc>
          <w:tcPr>
            <w:tcW w:w="380" w:type="dxa"/>
            <w:vAlign w:val="bottom"/>
          </w:tcPr>
          <w:p>
            <w:pPr>
              <w:spacing w:after="0"/>
              <w:rPr>
                <w:sz w:val="9"/>
                <w:szCs w:val="9"/>
                <w:color w:val="auto"/>
              </w:rPr>
            </w:pPr>
          </w:p>
        </w:tc>
        <w:tc>
          <w:tcPr>
            <w:tcW w:w="14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91"/>
              </w:rPr>
              <w:t>Year-End</w:t>
            </w:r>
          </w:p>
        </w:tc>
        <w:tc>
          <w:tcPr>
            <w:tcW w:w="0" w:type="dxa"/>
            <w:vAlign w:val="bottom"/>
          </w:tcPr>
          <w:p>
            <w:pPr>
              <w:spacing w:after="0"/>
              <w:rPr>
                <w:sz w:val="1"/>
                <w:szCs w:val="1"/>
                <w:color w:val="auto"/>
              </w:rPr>
            </w:pPr>
          </w:p>
        </w:tc>
      </w:tr>
      <w:tr>
        <w:trPr>
          <w:trHeight w:val="110"/>
        </w:trPr>
        <w:tc>
          <w:tcPr>
            <w:tcW w:w="2760" w:type="dxa"/>
            <w:vAlign w:val="bottom"/>
            <w:gridSpan w:val="2"/>
            <w:vMerge w:val="continue"/>
          </w:tcPr>
          <w:p>
            <w:pPr>
              <w:spacing w:after="0"/>
              <w:rPr>
                <w:sz w:val="9"/>
                <w:szCs w:val="9"/>
                <w:color w:val="auto"/>
              </w:rPr>
            </w:pPr>
          </w:p>
        </w:tc>
        <w:tc>
          <w:tcPr>
            <w:tcW w:w="92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1460" w:type="dxa"/>
            <w:vAlign w:val="bottom"/>
            <w:gridSpan w:val="2"/>
          </w:tcPr>
          <w:p>
            <w:pPr>
              <w:jc w:val="center"/>
              <w:ind w:left="316"/>
              <w:spacing w:after="0" w:line="111" w:lineRule="exact"/>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660" w:type="dxa"/>
            <w:vAlign w:val="bottom"/>
            <w:gridSpan w:val="2"/>
          </w:tcPr>
          <w:p>
            <w:pPr>
              <w:jc w:val="center"/>
              <w:ind w:left="316"/>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920" w:type="dxa"/>
            <w:vAlign w:val="bottom"/>
          </w:tcPr>
          <w:p>
            <w:pPr>
              <w:jc w:val="center"/>
              <w:ind w:left="87"/>
              <w:spacing w:after="0"/>
              <w:rPr>
                <w:sz w:val="20"/>
                <w:szCs w:val="20"/>
                <w:color w:val="auto"/>
              </w:rPr>
            </w:pPr>
            <w:r>
              <w:rPr>
                <w:rFonts w:ascii="Arial" w:cs="Arial" w:eastAsia="Arial" w:hAnsi="Arial"/>
                <w:sz w:val="11"/>
                <w:szCs w:val="11"/>
                <w:b w:val="1"/>
                <w:bCs w:val="1"/>
                <w:color w:val="auto"/>
                <w:w w:val="99"/>
              </w:rPr>
              <w:t>(b)</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(c)</w:t>
            </w: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9"/>
              </w:rPr>
              <w:t>(d)</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(e)</w:t>
            </w:r>
          </w:p>
        </w:tc>
        <w:tc>
          <w:tcPr>
            <w:tcW w:w="38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(f)</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3,314,017(1)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11,920,756(2)</w:t>
            </w:r>
          </w:p>
        </w:tc>
        <w:tc>
          <w:tcPr>
            <w:tcW w:w="880" w:type="dxa"/>
            <w:vAlign w:val="bottom"/>
            <w:shd w:val="clear" w:color="auto" w:fill="CCEEFF"/>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57,942,547(3)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Peter J. Arduini</w:t>
            </w:r>
          </w:p>
        </w:tc>
        <w:tc>
          <w:tcPr>
            <w:tcW w:w="9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tcPr>
          <w:p>
            <w:pPr>
              <w:jc w:val="right"/>
              <w:ind w:right="300"/>
              <w:spacing w:after="0"/>
              <w:rPr>
                <w:sz w:val="20"/>
                <w:szCs w:val="20"/>
                <w:color w:val="auto"/>
              </w:rPr>
            </w:pPr>
            <w:r>
              <w:rPr>
                <w:rFonts w:ascii="Arial" w:cs="Arial" w:eastAsia="Arial" w:hAnsi="Arial"/>
                <w:sz w:val="13"/>
                <w:szCs w:val="13"/>
                <w:color w:val="auto"/>
              </w:rPr>
              <w:t>1,468,273(4)</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146,076(5)</w:t>
            </w:r>
          </w:p>
        </w:tc>
        <w:tc>
          <w:tcPr>
            <w:tcW w:w="880" w:type="dxa"/>
            <w:vAlign w:val="bottom"/>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tcPr>
          <w:p>
            <w:pPr>
              <w:jc w:val="right"/>
              <w:spacing w:after="0"/>
              <w:rPr>
                <w:sz w:val="20"/>
                <w:szCs w:val="20"/>
                <w:color w:val="auto"/>
              </w:rPr>
            </w:pPr>
            <w:r>
              <w:rPr>
                <w:rFonts w:ascii="Arial" w:cs="Arial" w:eastAsia="Arial" w:hAnsi="Arial"/>
                <w:sz w:val="13"/>
                <w:szCs w:val="13"/>
                <w:color w:val="auto"/>
              </w:rPr>
              <w:t>1,614,349(6)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2,209,013(7)</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356,403(8)</w:t>
            </w:r>
          </w:p>
        </w:tc>
        <w:tc>
          <w:tcPr>
            <w:tcW w:w="880" w:type="dxa"/>
            <w:vAlign w:val="bottom"/>
            <w:shd w:val="clear" w:color="auto" w:fill="CCEEFF"/>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4,203,882(9)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Gerard S. Carlozzi</w:t>
            </w:r>
          </w:p>
        </w:tc>
        <w:tc>
          <w:tcPr>
            <w:tcW w:w="9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tcPr>
          <w:p>
            <w:pPr>
              <w:jc w:val="right"/>
              <w:ind w:right="300"/>
              <w:spacing w:after="0"/>
              <w:rPr>
                <w:sz w:val="20"/>
                <w:szCs w:val="20"/>
                <w:color w:val="auto"/>
              </w:rPr>
            </w:pPr>
            <w:r>
              <w:rPr>
                <w:rFonts w:ascii="Arial" w:cs="Arial" w:eastAsia="Arial" w:hAnsi="Arial"/>
                <w:sz w:val="13"/>
                <w:szCs w:val="13"/>
                <w:color w:val="auto"/>
              </w:rPr>
              <w:t>2,209,013(7)</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356,403(8)</w:t>
            </w:r>
          </w:p>
        </w:tc>
        <w:tc>
          <w:tcPr>
            <w:tcW w:w="880" w:type="dxa"/>
            <w:vAlign w:val="bottom"/>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tcPr>
          <w:p>
            <w:pPr>
              <w:jc w:val="right"/>
              <w:spacing w:after="0"/>
              <w:rPr>
                <w:sz w:val="20"/>
                <w:szCs w:val="20"/>
                <w:color w:val="auto"/>
              </w:rPr>
            </w:pPr>
            <w:r>
              <w:rPr>
                <w:rFonts w:ascii="Arial" w:cs="Arial" w:eastAsia="Arial" w:hAnsi="Arial"/>
                <w:sz w:val="13"/>
                <w:szCs w:val="13"/>
                <w:color w:val="auto"/>
              </w:rPr>
              <w:t>4,203,882(9)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82042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09" w:lineRule="exact"/>
        <w:rPr>
          <w:sz w:val="20"/>
          <w:szCs w:val="20"/>
          <w:color w:val="auto"/>
        </w:rPr>
      </w:pPr>
    </w:p>
    <w:p>
      <w:pPr>
        <w:ind w:left="300" w:right="80" w:hanging="247"/>
        <w:spacing w:after="0" w:line="268"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represents the fair market value of (i) 33,333 shares of common stock underlying restricted stock units (representing a portion from an initial grant in December 2008) that vested on December 18, 2010, based on the $49.71 closing price of our common stock on the trading day immediately preceding the vesting date and (ii) 33,334 shares of common stock underlying restricted stock units (representing a portion from an initial grant in December 2009) that vested on December 17, 2010, based on the $49.71 closing price of our common stock on the vesting date.</w:t>
      </w:r>
    </w:p>
    <w:p>
      <w:pPr>
        <w:spacing w:after="0" w:line="13" w:lineRule="exact"/>
        <w:rPr>
          <w:rFonts w:ascii="Arial" w:cs="Arial" w:eastAsia="Arial" w:hAnsi="Arial"/>
          <w:sz w:val="13"/>
          <w:szCs w:val="13"/>
          <w:color w:val="auto"/>
        </w:rPr>
      </w:pPr>
    </w:p>
    <w:p>
      <w:pPr>
        <w:ind w:left="300" w:hanging="247"/>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amount represents the sum of the gain in the value of (i) 33,333 shares of common stock underlying restricted stock units (from an initial grant in December 2008 of</w:t>
      </w:r>
    </w:p>
    <w:p>
      <w:pPr>
        <w:spacing w:after="0" w:line="21" w:lineRule="exact"/>
        <w:rPr>
          <w:rFonts w:ascii="Arial" w:cs="Arial" w:eastAsia="Arial" w:hAnsi="Arial"/>
          <w:sz w:val="13"/>
          <w:szCs w:val="13"/>
          <w:color w:val="auto"/>
        </w:rPr>
      </w:pPr>
    </w:p>
    <w:p>
      <w:pPr>
        <w:ind w:left="300" w:right="40"/>
        <w:spacing w:after="0" w:line="261" w:lineRule="auto"/>
        <w:rPr>
          <w:rFonts w:ascii="Arial" w:cs="Arial" w:eastAsia="Arial" w:hAnsi="Arial"/>
          <w:sz w:val="13"/>
          <w:szCs w:val="13"/>
          <w:color w:val="auto"/>
        </w:rPr>
      </w:pPr>
      <w:r>
        <w:rPr>
          <w:rFonts w:ascii="Arial" w:cs="Arial" w:eastAsia="Arial" w:hAnsi="Arial"/>
          <w:sz w:val="13"/>
          <w:szCs w:val="13"/>
          <w:color w:val="auto"/>
        </w:rPr>
        <w:t>100,000 units) from December 18, 2010, the vesting date, through December 31, 2010, (ii) 33,334 shares of common stock underlying restricted stock units (from an initial grant in December 2008 of 100,000 units) from December 31, 2009 through December 31, 2010, (iii) 33,334 shares of common stock underlying restricted stock units (from an initial grant in December 2009 of 100,000 units) from December 17, 2010, the vesting date, through December 31, 2010, (iv) 750,000 shares of common stock underlying the 2004 grant of restricted stock units from December 31, 2009 through December 31, 2010 and (v) 375,000 shares of common stock underlying the August 2008 grant of restricted stock units from December 31, 2009 through December 31, 2010.</w:t>
      </w:r>
    </w:p>
    <w:p>
      <w:pPr>
        <w:spacing w:after="0" w:line="17" w:lineRule="exact"/>
        <w:rPr>
          <w:rFonts w:ascii="Arial" w:cs="Arial" w:eastAsia="Arial" w:hAnsi="Arial"/>
          <w:sz w:val="13"/>
          <w:szCs w:val="13"/>
          <w:color w:val="auto"/>
        </w:rPr>
      </w:pPr>
    </w:p>
    <w:p>
      <w:pPr>
        <w:ind w:left="300" w:right="60" w:hanging="247"/>
        <w:spacing w:after="0" w:line="265"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represents the year-end value of (i) 750,000 shares of common stock underlying restricted stock units granted in 2004, (ii) 375,000 shares of common stock underlying restricted stock units granted in August 2008, both of which grants were vested as of the grant date, (iii) 33,334 shares and 33,333 shares of common stock underlying restricted stock units that vested in December 2009 and December 2010, respectively (from a December 2008 grant) and (iv) 33,334 shares of common stock underlying restricted stock units that vested in December 2010 (from a December 2009 grant). All of these shares are deliverable within 30 days following the first business day that occurs immediately following the six-month period after the date of Mr. Essig’s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51" w:name="page52"/>
    <w:bookmarkEnd w:id="51"/>
    <w:p>
      <w:pPr>
        <w:ind w:left="300"/>
        <w:spacing w:after="0"/>
        <w:rPr>
          <w:sz w:val="20"/>
          <w:szCs w:val="20"/>
          <w:color w:val="auto"/>
        </w:rPr>
      </w:pPr>
      <w:r>
        <w:rPr>
          <w:rFonts w:ascii="Arial" w:cs="Arial" w:eastAsia="Arial" w:hAnsi="Arial"/>
          <w:sz w:val="13"/>
          <w:szCs w:val="13"/>
          <w:color w:val="auto"/>
        </w:rPr>
        <w:t>separation from service from the Company. The aggregate balance shown is based on the $47.30 closing price of our common stock on December 31, 2010.</w:t>
      </w:r>
    </w:p>
    <w:p>
      <w:pPr>
        <w:spacing w:after="0" w:line="51" w:lineRule="exact"/>
        <w:rPr>
          <w:sz w:val="20"/>
          <w:szCs w:val="20"/>
          <w:color w:val="auto"/>
        </w:rPr>
      </w:pPr>
    </w:p>
    <w:p>
      <w:pPr>
        <w:ind w:left="300" w:hanging="247"/>
        <w:spacing w:after="0" w:line="289"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represents the fair market value of 34,130 shares of common stock underlying restricted stock units from an initial grant in November 2010 of 34,868 units (of which 738 were withheld to pay taxes) which grant was fully vested as of the grant date, based on the $43.02 closing price of our common stock on the vesting date.</w:t>
      </w:r>
    </w:p>
    <w:p>
      <w:pPr>
        <w:ind w:left="300" w:right="20" w:hanging="247"/>
        <w:spacing w:after="0" w:line="289"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represents the gain in the value of 34,130 shares of common stock underlying restricted stock units from an initial grant in November 2010 of 34,868 units (of which 738 were withheld to pay taxes) from November 1, 2010, the vesting date, through December 31, 2010.</w:t>
      </w:r>
    </w:p>
    <w:p>
      <w:pPr>
        <w:jc w:val="both"/>
        <w:ind w:left="300" w:right="120" w:hanging="247"/>
        <w:spacing w:after="0" w:line="301" w:lineRule="auto"/>
        <w:tabs>
          <w:tab w:leader="none" w:pos="3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This represents the year-end value of 34,130 shares of common stock underlying restricted stock units from an initial grant in November 2010 of 34,868 units (of which 738 were withheld to pay taxes). All of these shares are deliverable within 30 days following the first business day that occurs immediately following the six-month period after the date of Mr. Arduini’s separation from service from the Company. The aggregate balance shown is based on the $47.30 closing price of our common stock on December 31, 2010.</w:t>
      </w:r>
    </w:p>
    <w:p>
      <w:pPr>
        <w:spacing w:after="0" w:line="1" w:lineRule="exact"/>
        <w:rPr>
          <w:rFonts w:ascii="Arial" w:cs="Arial" w:eastAsia="Arial" w:hAnsi="Arial"/>
          <w:sz w:val="12"/>
          <w:szCs w:val="12"/>
          <w:color w:val="auto"/>
        </w:rPr>
      </w:pPr>
    </w:p>
    <w:p>
      <w:pPr>
        <w:ind w:left="300" w:right="40" w:hanging="247"/>
        <w:spacing w:after="0" w:line="289"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represents the fair market value of 44,438 shares of common stock underlying restricted stock units (representing a portion from an initial grant in December 2008) that vested on December 18, 2010, based on the $49.71 closing price of our common stock on the trading day immediately preceding the vesting date.</w:t>
      </w:r>
    </w:p>
    <w:p>
      <w:pPr>
        <w:ind w:left="300" w:hanging="247"/>
        <w:spacing w:after="0"/>
        <w:tabs>
          <w:tab w:leader="none" w:pos="3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This amount represents the sum of the gain in the value of (i) 44,438 shares of common stock underlying restricted stock units (from an initial grant in December 2008 of</w:t>
      </w:r>
    </w:p>
    <w:p>
      <w:pPr>
        <w:spacing w:after="0" w:line="32" w:lineRule="exact"/>
        <w:rPr>
          <w:rFonts w:ascii="Arial" w:cs="Arial" w:eastAsia="Arial" w:hAnsi="Arial"/>
          <w:sz w:val="12"/>
          <w:szCs w:val="12"/>
          <w:color w:val="auto"/>
        </w:rPr>
      </w:pPr>
    </w:p>
    <w:p>
      <w:pPr>
        <w:ind w:left="300"/>
        <w:spacing w:after="0" w:line="274" w:lineRule="auto"/>
        <w:rPr>
          <w:rFonts w:ascii="Arial" w:cs="Arial" w:eastAsia="Arial" w:hAnsi="Arial"/>
          <w:sz w:val="12"/>
          <w:szCs w:val="12"/>
          <w:color w:val="auto"/>
        </w:rPr>
      </w:pPr>
      <w:r>
        <w:rPr>
          <w:rFonts w:ascii="Arial" w:cs="Arial" w:eastAsia="Arial" w:hAnsi="Arial"/>
          <w:sz w:val="13"/>
          <w:szCs w:val="13"/>
          <w:color w:val="auto"/>
        </w:rPr>
        <w:t>88,877 units) from December 18, 2010, the vesting date, through December 31, 2010, and (ii) 44,439 shares of common stock underlying restricted stock units (from an initial grant in December 2008 of 88,877 units) from December 31, 2009 through December 31, 2010.</w:t>
      </w:r>
    </w:p>
    <w:p>
      <w:pPr>
        <w:spacing w:after="0" w:line="8" w:lineRule="exact"/>
        <w:rPr>
          <w:rFonts w:ascii="Arial" w:cs="Arial" w:eastAsia="Arial" w:hAnsi="Arial"/>
          <w:sz w:val="12"/>
          <w:szCs w:val="12"/>
          <w:color w:val="auto"/>
        </w:rPr>
      </w:pPr>
    </w:p>
    <w:p>
      <w:pPr>
        <w:ind w:left="300" w:hanging="247"/>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represents the year-end value of (i) 44,438 shares of common stock underlying restricted stock units (from an initial grant in December 2008 of 88,877 units), and</w:t>
      </w:r>
    </w:p>
    <w:p>
      <w:pPr>
        <w:spacing w:after="0" w:line="21" w:lineRule="exact"/>
        <w:rPr>
          <w:rFonts w:ascii="Arial" w:cs="Arial" w:eastAsia="Arial" w:hAnsi="Arial"/>
          <w:sz w:val="13"/>
          <w:szCs w:val="13"/>
          <w:color w:val="auto"/>
        </w:rPr>
      </w:pPr>
    </w:p>
    <w:p>
      <w:pPr>
        <w:ind w:left="300" w:right="100"/>
        <w:spacing w:after="0" w:line="265" w:lineRule="auto"/>
        <w:rPr>
          <w:rFonts w:ascii="Arial" w:cs="Arial" w:eastAsia="Arial" w:hAnsi="Arial"/>
          <w:sz w:val="13"/>
          <w:szCs w:val="13"/>
          <w:color w:val="auto"/>
        </w:rPr>
      </w:pPr>
      <w:r>
        <w:rPr>
          <w:rFonts w:ascii="Arial" w:cs="Arial" w:eastAsia="Arial" w:hAnsi="Arial"/>
          <w:sz w:val="13"/>
          <w:szCs w:val="13"/>
          <w:color w:val="auto"/>
        </w:rPr>
        <w:t>(ii) 44,439 shares of common stock underlying restricted stock units (from an initial grant in December 2008 of 88,877 units). All of these shares are deliverable within 30 days following the first business day that occurs immediately following the six-month period after the date of the executive’s separation from service from the Company. The aggregate balance shown is based on the $47.30 closing price of our common stock on December 31, 2010.</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03" w:lineRule="exact"/>
        <w:rPr>
          <w:sz w:val="20"/>
          <w:szCs w:val="20"/>
          <w:color w:val="auto"/>
        </w:rPr>
      </w:pPr>
    </w:p>
    <w:p>
      <w:pPr>
        <w:ind w:right="240" w:firstLine="399"/>
        <w:spacing w:after="0" w:line="265" w:lineRule="auto"/>
        <w:rPr>
          <w:sz w:val="20"/>
          <w:szCs w:val="20"/>
          <w:color w:val="auto"/>
        </w:rPr>
      </w:pPr>
      <w:r>
        <w:rPr>
          <w:rFonts w:ascii="Arial" w:cs="Arial" w:eastAsia="Arial" w:hAnsi="Arial"/>
          <w:sz w:val="13"/>
          <w:szCs w:val="13"/>
          <w:color w:val="auto"/>
        </w:rPr>
        <w:t>The Company has entered into agreements with each of its named executive officers other than Mr. Corbin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2010. On December 31, 2010, the Company’s common stock had a closing sale price on the NASDAQ Global Select Market of $47.30. Actual amounts payable would vary based on the date of the named executive officer’s termination of employment and can only be finally determined at that time.</w:t>
      </w:r>
    </w:p>
    <w:p>
      <w:pPr>
        <w:spacing w:after="0" w:line="66" w:lineRule="exact"/>
        <w:rPr>
          <w:sz w:val="20"/>
          <w:szCs w:val="20"/>
          <w:color w:val="auto"/>
        </w:rPr>
      </w:pPr>
    </w:p>
    <w:p>
      <w:pPr>
        <w:ind w:right="80" w:firstLine="399"/>
        <w:spacing w:after="0" w:line="286" w:lineRule="auto"/>
        <w:rPr>
          <w:sz w:val="20"/>
          <w:szCs w:val="20"/>
          <w:color w:val="auto"/>
        </w:rPr>
      </w:pPr>
      <w:r>
        <w:rPr>
          <w:rFonts w:ascii="Arial" w:cs="Arial" w:eastAsia="Arial" w:hAnsi="Arial"/>
          <w:sz w:val="12"/>
          <w:szCs w:val="12"/>
          <w:color w:val="auto"/>
        </w:rPr>
        <w:t>Unless specified otherwise, the information in this section is based upon the terms of (i) the Second Amended and Restated Employment Agreement between the Company and Stuart M. Essig, dated as of July 27, 2004 and subsequently amended on December 19, 2006, March 6, 2008, August 6, 2008 and April 13, 2009 (the “Essig Agreement”); (ii) the Employment Agreement between the Company and Peter J. Arduini, dated as of October 12, 2010 (the “Arduini Agreement”); (iii) the Amended and Restated Employment Agreement, between the Company and John B. Henneman, III, dated December 19, 2005 and subsequently amended on January 2, 2008, December 18, 2008, April 13, 2009, and October 12, 2010 (the “Henneman Agreement”); (iv) the Amended and Restated Employment Agreement between the Company and Gerard S. Carlozzi, dated December 19, 2005 and subsequently amended on January 2, 2008, December 18, 2008 and April 13, 2009 (the “Carlozzi Agreement”); and (v) the Severance Agreement, dated as of January 4, 2010, between the Company and Judith O’Grady (the “O’Grady Agreement”) (the Essig Agreement, the Arduini Agreement, the Henneman Agreement, the Carlozzi Agreement and the O’Grady Agreement are collectively referred to in this section as the “Agreements”). The Carlozzi Agreement expired on January 4, 2011.</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52" w:name="page53"/>
    <w:bookmarkEnd w:id="52"/>
    <w:p>
      <w:pPr>
        <w:ind w:left="200"/>
        <w:spacing w:after="0"/>
        <w:rPr>
          <w:sz w:val="20"/>
          <w:szCs w:val="20"/>
          <w:color w:val="auto"/>
        </w:rPr>
      </w:pPr>
      <w:r>
        <w:rPr>
          <w:rFonts w:ascii="Arial" w:cs="Arial" w:eastAsia="Arial" w:hAnsi="Arial"/>
          <w:sz w:val="13"/>
          <w:szCs w:val="13"/>
          <w:b w:val="1"/>
          <w:bCs w:val="1"/>
          <w:i w:val="1"/>
          <w:iCs w:val="1"/>
          <w:color w:val="auto"/>
        </w:rPr>
        <w:t>Payments Upon Termination By The Company Without Cause Or By The Executive For Good Reason Prior to a Change in Control</w:t>
      </w:r>
    </w:p>
    <w:p>
      <w:pPr>
        <w:spacing w:after="0" w:line="101" w:lineRule="exact"/>
        <w:rPr>
          <w:sz w:val="20"/>
          <w:szCs w:val="20"/>
          <w:color w:val="auto"/>
        </w:rPr>
      </w:pPr>
    </w:p>
    <w:p>
      <w:pPr>
        <w:ind w:right="20" w:firstLine="399"/>
        <w:spacing w:after="0" w:line="297" w:lineRule="auto"/>
        <w:rPr>
          <w:sz w:val="20"/>
          <w:szCs w:val="20"/>
          <w:color w:val="auto"/>
        </w:rPr>
      </w:pPr>
      <w:r>
        <w:rPr>
          <w:rFonts w:ascii="Arial" w:cs="Arial" w:eastAsia="Arial" w:hAnsi="Arial"/>
          <w:sz w:val="12"/>
          <w:szCs w:val="12"/>
          <w:color w:val="auto"/>
        </w:rPr>
        <w:t>The Agreements provide each of the applicable named executive officers (except Ms. O’Grady) with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Arduini, Henneman and Carlozzi, the Company will pay them a lump sum cash severance payment equal to the sum of their annual base salary as of their last day of active employment and their target bonus for the year of termination.</w:t>
      </w:r>
    </w:p>
    <w:p>
      <w:pPr>
        <w:spacing w:after="0" w:line="48"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addition, the Agreements provide that the Company will pay to each of the applicable named executive officers (other than Ms. O’Grady), for a specified period of time, the monthly premium for COBRA family coverage under the Company’s group health plan, a related gross-up payment (for Messrs. Essig and Carlozzi only) based on a 45% tax rate and the monthly premium cost that the Company would have paid to cover the executive under the Company’s group life insurance had the executive’s employment not terminated. Specifically, Mr. Essig generally will receive payments until the end of the then-current term (currently December 31, 2011), and the other applicable executives generally will receive payments for a maximum of one year following their date of termination. In addition, the Company will pay Messrs. Arduini, Carlozzi and Henneman the monthly premium cost for disability insurance under the Company’s plan for a maximum of one year following termination.</w:t>
      </w:r>
    </w:p>
    <w:p>
      <w:pPr>
        <w:spacing w:after="0" w:line="65" w:lineRule="exact"/>
        <w:rPr>
          <w:sz w:val="20"/>
          <w:szCs w:val="20"/>
          <w:color w:val="auto"/>
        </w:rPr>
      </w:pPr>
    </w:p>
    <w:p>
      <w:pPr>
        <w:ind w:right="100" w:firstLine="399"/>
        <w:spacing w:after="0" w:line="288" w:lineRule="auto"/>
        <w:rPr>
          <w:sz w:val="20"/>
          <w:szCs w:val="20"/>
          <w:color w:val="auto"/>
        </w:rPr>
      </w:pPr>
      <w:r>
        <w:rPr>
          <w:rFonts w:ascii="Arial" w:cs="Arial" w:eastAsia="Arial" w:hAnsi="Arial"/>
          <w:sz w:val="12"/>
          <w:szCs w:val="12"/>
          <w:color w:val="auto"/>
        </w:rPr>
        <w:t>The Essig, Carlozzi and Henneman Agreements also provide the applicable named executive officers (except Ms. O’Grady) with accelerated vesting of their equity awards upon such termination of employment. In addition, for Mr. Essig, all of his stock options will remain exercisable through their original expiration dates and he will receive the shares of common stock underlying the 750,000 restricted stock units granted to him on July 27, 2004 (the “2004 RSUs”) and the 375,000 restricted stock units and 100,000 restricted stock units granted to him on August 6, 2008, December 19, 2008, December 17, 2009 and December 15, 2010, respectively (collectively, the “2008, 2009 and 2010 RSUs”). In addition, Messrs. Carlozzi and Henneman will receive payment of common stock underlying the 88,877 restricted stock units granted to each of them in December 2008, and Mr. Arduini will receive payment of common stock underlying the 34,868 restricted stock units granted to him in November 2010 (less 738 shares withheld for employment taxes at the time of grant). Further, Mr. Henneman’s 2008 stock option grant will remain exercisable through its original expiration date.</w:t>
      </w:r>
    </w:p>
    <w:p>
      <w:pPr>
        <w:spacing w:after="0" w:line="53" w:lineRule="exact"/>
        <w:rPr>
          <w:sz w:val="20"/>
          <w:szCs w:val="20"/>
          <w:color w:val="auto"/>
        </w:rPr>
      </w:pPr>
    </w:p>
    <w:p>
      <w:pPr>
        <w:ind w:right="120" w:firstLine="399"/>
        <w:spacing w:after="0" w:line="268" w:lineRule="auto"/>
        <w:rPr>
          <w:sz w:val="20"/>
          <w:szCs w:val="20"/>
          <w:color w:val="auto"/>
        </w:rPr>
      </w:pPr>
      <w:r>
        <w:rPr>
          <w:rFonts w:ascii="Arial" w:cs="Arial" w:eastAsia="Arial" w:hAnsi="Arial"/>
          <w:sz w:val="13"/>
          <w:szCs w:val="13"/>
          <w:color w:val="auto"/>
        </w:rPr>
        <w:t>The O’Grady Agreement provides that upon termination of her employment prior to a change in control, the Company’s standard employment policies and practices that are applicable to her at the time of her termination would be applicable, unless a written employment agreement between the Company and Ms. O’Grady is in effect at the time of such termination. The Company currently dos not have a written severance plan for employees generally or a separate employment agreement with Ms. O’Grady. Accordingly, Ms. O’Grady will not be entitled to any payments or benefits upon termination of her employment without cause prior to a change in control.</w:t>
      </w:r>
    </w:p>
    <w:p>
      <w:pPr>
        <w:spacing w:after="0" w:line="63" w:lineRule="exact"/>
        <w:rPr>
          <w:sz w:val="20"/>
          <w:szCs w:val="20"/>
          <w:color w:val="auto"/>
        </w:rPr>
      </w:pPr>
    </w:p>
    <w:p>
      <w:pPr>
        <w:ind w:firstLine="399"/>
        <w:spacing w:after="0" w:line="261" w:lineRule="auto"/>
        <w:rPr>
          <w:sz w:val="20"/>
          <w:szCs w:val="20"/>
          <w:color w:val="auto"/>
        </w:rPr>
      </w:pPr>
      <w:r>
        <w:rPr>
          <w:rFonts w:ascii="Arial" w:cs="Arial" w:eastAsia="Arial" w:hAnsi="Arial"/>
          <w:sz w:val="13"/>
          <w:szCs w:val="13"/>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(except as described below for Mr. Carlozzi)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 For Mr. Carlozzi,</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auto"/>
        </w:rPr>
        <w:t>a change to another executive position reporting directly to the Chief Executive Officer does not constitute Good Reason.</w:t>
      </w:r>
    </w:p>
    <w:p>
      <w:pPr>
        <w:spacing w:after="0" w:line="101"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 (v) if the Company fails to indemnify him in all material respects in accordance with the Company’s Bylaws and terms of any directors and officers liability insurance policy</w:t>
      </w:r>
      <w:r>
        <w:rPr>
          <w:rFonts w:ascii="Arial" w:cs="Arial" w:eastAsia="Arial" w:hAnsi="Arial"/>
          <w:sz w:val="13"/>
          <w:szCs w:val="13"/>
          <w:b w:val="1"/>
          <w:bCs w:val="1"/>
          <w:color w:val="auto"/>
        </w:rPr>
        <w:t>;</w:t>
      </w:r>
      <w:r>
        <w:rPr>
          <w:rFonts w:ascii="Arial" w:cs="Arial" w:eastAsia="Arial" w:hAnsi="Arial"/>
          <w:sz w:val="13"/>
          <w:szCs w:val="13"/>
          <w:color w:val="auto"/>
        </w:rPr>
        <w:t xml:space="preserve"> or (vi) if the Company fails to initiate the procedures, as soon as practicable, to establish and maintain registration statements with respect to stock options and restricted stock units granted to him prior to July 27, 2004. Mr Essig consented to the November 1, 2010 change in his title to Chief Executive Officer and acknowledged that the change would not constitute a “good reason” termination of his employment.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Termination For Cause Or By Executive Without Good Reason</w:t>
      </w:r>
    </w:p>
    <w:p>
      <w:pPr>
        <w:spacing w:after="0" w:line="101" w:lineRule="exact"/>
        <w:rPr>
          <w:sz w:val="20"/>
          <w:szCs w:val="20"/>
          <w:color w:val="auto"/>
        </w:rPr>
      </w:pPr>
    </w:p>
    <w:p>
      <w:pPr>
        <w:ind w:right="280" w:firstLine="399"/>
        <w:spacing w:after="0" w:line="336" w:lineRule="auto"/>
        <w:rPr>
          <w:sz w:val="20"/>
          <w:szCs w:val="20"/>
          <w:color w:val="auto"/>
        </w:rPr>
      </w:pPr>
      <w:r>
        <w:rPr>
          <w:rFonts w:ascii="Arial" w:cs="Arial" w:eastAsia="Arial" w:hAnsi="Arial"/>
          <w:sz w:val="12"/>
          <w:szCs w:val="12"/>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24" w:lineRule="exact"/>
        <w:rPr>
          <w:sz w:val="20"/>
          <w:szCs w:val="20"/>
          <w:color w:val="auto"/>
        </w:rPr>
      </w:pPr>
    </w:p>
    <w:p>
      <w:pPr>
        <w:ind w:right="40" w:firstLine="399"/>
        <w:spacing w:after="0" w:line="284" w:lineRule="auto"/>
        <w:rPr>
          <w:sz w:val="20"/>
          <w:szCs w:val="20"/>
          <w:color w:val="auto"/>
        </w:rPr>
      </w:pPr>
      <w:r>
        <w:rPr>
          <w:rFonts w:ascii="Arial" w:cs="Arial" w:eastAsia="Arial" w:hAnsi="Arial"/>
          <w:sz w:val="12"/>
          <w:szCs w:val="12"/>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w:t>
      </w:r>
    </w:p>
    <w:p>
      <w:pPr>
        <w:spacing w:after="0" w:line="2" w:lineRule="exact"/>
        <w:rPr>
          <w:sz w:val="20"/>
          <w:szCs w:val="20"/>
          <w:color w:val="auto"/>
        </w:rPr>
      </w:pPr>
    </w:p>
    <w:p>
      <w:pPr>
        <w:ind w:right="140" w:firstLine="8"/>
        <w:spacing w:after="0" w:line="265" w:lineRule="auto"/>
        <w:tabs>
          <w:tab w:leader="none" w:pos="2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Non-Renewal of Employment Agreement</w:t>
      </w:r>
    </w:p>
    <w:p>
      <w:pPr>
        <w:spacing w:after="0" w:line="101" w:lineRule="exact"/>
        <w:rPr>
          <w:sz w:val="20"/>
          <w:szCs w:val="20"/>
          <w:color w:val="auto"/>
        </w:rPr>
      </w:pPr>
    </w:p>
    <w:p>
      <w:pPr>
        <w:ind w:right="200" w:firstLine="399"/>
        <w:spacing w:after="0" w:line="336" w:lineRule="auto"/>
        <w:rPr>
          <w:sz w:val="20"/>
          <w:szCs w:val="20"/>
          <w:color w:val="auto"/>
        </w:rPr>
      </w:pPr>
      <w:r>
        <w:rPr>
          <w:rFonts w:ascii="Arial" w:cs="Arial" w:eastAsia="Arial" w:hAnsi="Arial"/>
          <w:sz w:val="12"/>
          <w:szCs w:val="12"/>
          <w:color w:val="auto"/>
        </w:rPr>
        <w:t>The Essig Agreement provides that, upon nonrenewal of the term of such Agreement, all of his outstanding stock options granted after July 27, 2004 will immediately vest and remain exercisable through their original expiration dates. In addition, he will receive the shares underlying his 2004 RSUs and the shares underlying his 2008, 2009 and 2010 RSUs.</w:t>
      </w:r>
    </w:p>
    <w:p>
      <w:pPr>
        <w:spacing w:after="0" w:line="24"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The Henneman Agreement provides that the Company will pay him the same payments and benefits as those payments and benefits described above under “Payments Upon Termination By The Company Without Cause Or By The Executive For Good Reason Before A Change In Control” in the event of termination of his employment by reason of the Company’s election not to extend the term of the Henneman Agreement. In addition, the July 2008 stock option grant agreement with Mr. Henneman provides that, upon nonrenewal of the term of his employment agreement, his July 2008 stock option grant will accelerate and remain exercisable through its original expiration date. Further, he will receive the shares underlying his 2008 grant of restricted stock units.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Except as described above, no other Agreement with any executive officer provides for payments or benefits upon nonrenewal of the respective term of the Agreement.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Death</w:t>
      </w:r>
    </w:p>
    <w:p>
      <w:pPr>
        <w:spacing w:after="0" w:line="101" w:lineRule="exact"/>
        <w:rPr>
          <w:sz w:val="20"/>
          <w:szCs w:val="20"/>
          <w:color w:val="auto"/>
        </w:rPr>
      </w:pPr>
    </w:p>
    <w:p>
      <w:pPr>
        <w:ind w:right="180" w:firstLine="399"/>
        <w:spacing w:after="0" w:line="274" w:lineRule="auto"/>
        <w:rPr>
          <w:sz w:val="20"/>
          <w:szCs w:val="20"/>
          <w:color w:val="auto"/>
        </w:rPr>
      </w:pPr>
      <w:r>
        <w:rPr>
          <w:rFonts w:ascii="Arial" w:cs="Arial" w:eastAsia="Arial" w:hAnsi="Arial"/>
          <w:sz w:val="13"/>
          <w:szCs w:val="13"/>
          <w:color w:val="auto"/>
        </w:rPr>
        <w:t>Only the Essig, Arduini, Henneman and Carlozzi Agreements provide severance payments and benefits upon death. Specifically, if Messrs. Essig, Arduini, Henneman and Carlozzi die during the term of their employment, then the Company will pay to their estate a lump sum payment equal to one times their annual base salary. In addition, the Company generally will pay their eligible beneficiaries the monthly premium for COBRA family coverage under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the Company’s group health plan and, for Messrs. Essig and Carlozzi only, a related gross-up payment based on a 45% tax rate for a period of one year from the date of their death.</w:t>
      </w:r>
    </w:p>
    <w:p>
      <w:pPr>
        <w:spacing w:after="0" w:line="112" w:lineRule="exact"/>
        <w:rPr>
          <w:sz w:val="20"/>
          <w:szCs w:val="20"/>
          <w:color w:val="auto"/>
        </w:rPr>
      </w:pPr>
    </w:p>
    <w:p>
      <w:pPr>
        <w:ind w:right="40" w:firstLine="399"/>
        <w:spacing w:after="0" w:line="262" w:lineRule="auto"/>
        <w:rPr>
          <w:sz w:val="20"/>
          <w:szCs w:val="20"/>
          <w:color w:val="auto"/>
        </w:rPr>
      </w:pPr>
      <w:r>
        <w:rPr>
          <w:rFonts w:ascii="Arial" w:cs="Arial" w:eastAsia="Arial" w:hAnsi="Arial"/>
          <w:sz w:val="13"/>
          <w:szCs w:val="13"/>
          <w:color w:val="auto"/>
        </w:rPr>
        <w:t>The Essig, Arduini, Henneman and Carlozzi Agreements also provide for acceleration of their respective equity compensation awards. In addition, all of Mr. Essig’s stock options will remain exercisable until one year following his death, but in no event beyond their respective original expiration dates (except as described below with respect to his 2008 option grant). The options covered by Mr. Essig’s 2008 option grant that are vested at the time of his death will remain exercisable until the later of (i) December 31, 2011 or any extended expiration date of the employment agreement or (ii) one year following his death, but in no event beyond the option’s expiration date. Moreover, as promptly as practicable following his death, Mr. Essig’s estate will receive the shares underlying his 2004 RSUs and the shares underlying his 2008, 2009 and 2010 RSUs. The options covered by Mr. Henneman’s 2008 option grant that are vested at the time of his death will remain exercisable until one year following his death, but in no event beyond the option’s expiration date. In addition, the estates of Messrs. Carlozzi and Henneman will receive the shares underlying their respective 2008 grant of restricted stock units, and the estate of Mr. Arduini will receive the shares underlying his 2010 grant of restricted stock units.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Disability</w:t>
      </w:r>
    </w:p>
    <w:p>
      <w:pPr>
        <w:spacing w:after="0" w:line="101"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2011. The Company generally will pay to Mr. Essig for a period of one year the monthly premium for COBRA family coverage under the Company’s group health plan, a related gross-up payment based on a 45% tax rate and the monthly premium cost that the Company would have paid to cover him under the Company’s group life insurance had his employment not terminated. Following December 31, 2011, Mr. Essig will continue to be entitled to receive long-term disability benefits under the Company’s long-term disability program in effect at such time to the extent he is eligible to receive such benefits.</w:t>
      </w:r>
    </w:p>
    <w:p>
      <w:pPr>
        <w:spacing w:after="0" w:line="51" w:lineRule="exact"/>
        <w:rPr>
          <w:sz w:val="20"/>
          <w:szCs w:val="20"/>
          <w:color w:val="auto"/>
        </w:rPr>
      </w:pPr>
    </w:p>
    <w:p>
      <w:pPr>
        <w:ind w:right="200" w:firstLine="399"/>
        <w:spacing w:after="0" w:line="293" w:lineRule="auto"/>
        <w:rPr>
          <w:sz w:val="20"/>
          <w:szCs w:val="20"/>
          <w:color w:val="auto"/>
        </w:rPr>
      </w:pPr>
      <w:r>
        <w:rPr>
          <w:rFonts w:ascii="Arial" w:cs="Arial" w:eastAsia="Arial" w:hAnsi="Arial"/>
          <w:sz w:val="12"/>
          <w:szCs w:val="12"/>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(except as described below with respect to his 2008 option grant). The options covered by Mr. Essig’s 2008 option grant that are vested at the time of his termination for disability will remain exercisable until the later of (i) December 31, 2011 or any extended expiration date of the employment agreement or (ii) one year following his termination for disability, but in no event beyond the option’s expiration date. In addition, as promptly as practicable following such termination, all shares underlying his outstanding 2004 RSUs and 2008, 2009 and 2010 RSUs will be paid to him.</w:t>
      </w:r>
    </w:p>
    <w:p>
      <w:pPr>
        <w:spacing w:after="0" w:line="49" w:lineRule="exact"/>
        <w:rPr>
          <w:sz w:val="20"/>
          <w:szCs w:val="20"/>
          <w:color w:val="auto"/>
        </w:rPr>
      </w:pPr>
    </w:p>
    <w:p>
      <w:pPr>
        <w:ind w:right="320" w:firstLine="399"/>
        <w:spacing w:after="0" w:line="307" w:lineRule="auto"/>
        <w:rPr>
          <w:sz w:val="20"/>
          <w:szCs w:val="20"/>
          <w:color w:val="auto"/>
        </w:rPr>
      </w:pPr>
      <w:r>
        <w:rPr>
          <w:rFonts w:ascii="Arial" w:cs="Arial" w:eastAsia="Arial" w:hAnsi="Arial"/>
          <w:sz w:val="12"/>
          <w:szCs w:val="12"/>
          <w:color w:val="auto"/>
        </w:rPr>
        <w:t>The options covered by Mr. Henneman’s 2008 option grant that are vested at the time of termination for disability will remain exercisable until one year following such termination, but in no event beyond the options’ expiration date. In addition, as promptly as practicable following such termination, Messrs. Carlozzi and Henneman will receive the shares underlying their respective 2008 grant of restricted stock units, and Mr. Arduini will receive the shares underlying his 2010 grant of restricted stock units.</w:t>
      </w:r>
    </w:p>
    <w:p>
      <w:pPr>
        <w:spacing w:after="0" w:line="41"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Although no cash severance payments will be made to Messrs. Arduini, Henneman and Carlozzi upon their termination of employment on account of their disability, all of their equity awards will accelerate and become fully vested on the date of their termination of employment for disability except as described above with respect to Mr. Henneman’s 2008 stock option grant.</w:t>
      </w:r>
    </w:p>
    <w:p>
      <w:pPr>
        <w:spacing w:after="0" w:line="59"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5" w:name="page56"/>
    <w:bookmarkEnd w:id="55"/>
    <w:p>
      <w:pPr>
        <w:ind w:left="200"/>
        <w:spacing w:after="0"/>
        <w:rPr>
          <w:sz w:val="20"/>
          <w:szCs w:val="20"/>
          <w:color w:val="auto"/>
        </w:rPr>
      </w:pPr>
      <w:r>
        <w:rPr>
          <w:rFonts w:ascii="Arial" w:cs="Arial" w:eastAsia="Arial" w:hAnsi="Arial"/>
          <w:sz w:val="13"/>
          <w:szCs w:val="13"/>
          <w:b w:val="1"/>
          <w:bCs w:val="1"/>
          <w:i w:val="1"/>
          <w:iCs w:val="1"/>
          <w:color w:val="auto"/>
        </w:rPr>
        <w:t>Payments in Connection with a Change in Control</w:t>
      </w:r>
    </w:p>
    <w:p>
      <w:pPr>
        <w:spacing w:after="0" w:line="101" w:lineRule="exact"/>
        <w:rPr>
          <w:sz w:val="20"/>
          <w:szCs w:val="20"/>
          <w:color w:val="auto"/>
        </w:rPr>
      </w:pPr>
    </w:p>
    <w:p>
      <w:pPr>
        <w:ind w:right="40" w:firstLine="399"/>
        <w:spacing w:after="0" w:line="261" w:lineRule="auto"/>
        <w:rPr>
          <w:sz w:val="20"/>
          <w:szCs w:val="20"/>
          <w:color w:val="auto"/>
        </w:rPr>
      </w:pPr>
      <w:r>
        <w:rPr>
          <w:rFonts w:ascii="Arial" w:cs="Arial" w:eastAsia="Arial" w:hAnsi="Arial"/>
          <w:sz w:val="13"/>
          <w:szCs w:val="13"/>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 (a) 2.99 times the sum of his base salary and target bonus for the fiscal year of his termination and (b) a pro rata portion of his target bonus in the year of termination. In addition, the Company will generally pay him until the later of the expiration of the then-current term of his employment agreement or for one year after termination the monthly premium for COBRA family coverage under the Company’s group health plan, a related gross-up payment based on a 45% tax rate and the monthly premium cost that the Company would have paid to cover him under the Company’s group life insurance had his employment not terminated.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69" w:lineRule="exact"/>
        <w:rPr>
          <w:sz w:val="20"/>
          <w:szCs w:val="20"/>
          <w:color w:val="auto"/>
        </w:rPr>
      </w:pPr>
    </w:p>
    <w:p>
      <w:pPr>
        <w:ind w:right="40" w:firstLine="399"/>
        <w:spacing w:after="0" w:line="283" w:lineRule="auto"/>
        <w:rPr>
          <w:sz w:val="20"/>
          <w:szCs w:val="20"/>
          <w:color w:val="auto"/>
        </w:rPr>
      </w:pPr>
      <w:r>
        <w:rPr>
          <w:rFonts w:ascii="Arial" w:cs="Arial" w:eastAsia="Arial" w:hAnsi="Arial"/>
          <w:sz w:val="12"/>
          <w:szCs w:val="12"/>
          <w:color w:val="auto"/>
        </w:rPr>
        <w:t>The Agreements with the other applicable named executive officers provide that, if within twelve months (or eighteen months for Mr. Arduini) of a change in control, their employment with the Company is terminated by the Company for a reason other than death, disability or cause, or they terminate employment with the Company for good reason, (or for Mr. Henneman, if his employment terminates as a result of the Company’s election not to extend the term of the Henneman Agreement), the Company will pay a lump sum cash payment equal to a multiple (2.99 times for Messrs. Arduini, Henneman and Carlozzi) of the sum of their annual base salary and target bonus (or for Ms. O’Grady, one times base salary). In addition, the Company will generally pay to such executives (other than Ms. O’Grady), the monthly premium for COBRA family coverage under the Company’s group health plan, a related gross-up payment (for Mr. Carlozzi only) based on a 45% tax rate and the monthly premium cost that the Company would have paid to cover the executive under the Company’s group life and disability insurance had the executive’s employment not terminated for a period generally ending on the earlier to occur of (i) their date of death or (ii) December 31, 2013 for Mr. Arduini, December 19, 2012 for Mr. Carlozzi and the later of December 19, 2014 or December 19 of the year following the year in which termination occurs for Mr. Henneman. The O’Grady Agreement provides that, for a period ending on the earlier to occur of (i) one year after termination of employment or (ii) her date of death, the Company will generally provide health coverage in the Company’s health insurance program (if continuation of coverage is not prohibited) and reimburse her for the cost of the monthly healthcare premiums, less the amount she was required to pay for monthly coverage immediately before termination, on an after-tax basis. In addition, the Company will pay her a lump sum payment equal to the premium cost of continuing the life and disability insurance in effect on the date of termination (if continuation of coverage is not prohibited) until the earlier of (i) one year after termination or (ii) her date of death.</w:t>
      </w:r>
    </w:p>
    <w:p>
      <w:pPr>
        <w:spacing w:after="0" w:line="58"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The Essig, Carlozzi, Henneman and O’Grady Agreements also provide that the Company will pay all reasonable legal fees and expenses incurred by the executives as a result of their termination of employment.</w:t>
      </w:r>
    </w:p>
    <w:p>
      <w:pPr>
        <w:spacing w:after="0" w:line="48" w:lineRule="exact"/>
        <w:rPr>
          <w:sz w:val="20"/>
          <w:szCs w:val="20"/>
          <w:color w:val="auto"/>
        </w:rPr>
      </w:pPr>
    </w:p>
    <w:p>
      <w:pPr>
        <w:ind w:right="80" w:firstLine="399"/>
        <w:spacing w:after="0" w:line="288" w:lineRule="auto"/>
        <w:rPr>
          <w:sz w:val="20"/>
          <w:szCs w:val="20"/>
          <w:color w:val="auto"/>
        </w:rPr>
      </w:pPr>
      <w:r>
        <w:rPr>
          <w:rFonts w:ascii="Arial" w:cs="Arial" w:eastAsia="Arial" w:hAnsi="Arial"/>
          <w:sz w:val="12"/>
          <w:szCs w:val="12"/>
          <w:color w:val="auto"/>
        </w:rPr>
        <w:t>Mr. Essig’s Agreement provides, and until it expired on January 4, 2011, Mr. Carlozzi’s Agreement provided, that if any payment, coverage or benefit provided to them is subject to the excise tax under section 4999 of the Code, the executives will be grossed-up so that the executive would be in the same net after-tax position he would have been in had</w:t>
      </w:r>
    </w:p>
    <w:p>
      <w:pPr>
        <w:jc w:val="both"/>
        <w:spacing w:after="0" w:line="265" w:lineRule="auto"/>
        <w:rPr>
          <w:sz w:val="20"/>
          <w:szCs w:val="20"/>
          <w:color w:val="auto"/>
        </w:rPr>
      </w:pPr>
      <w:r>
        <w:rPr>
          <w:rFonts w:ascii="Arial" w:cs="Arial" w:eastAsia="Arial" w:hAnsi="Arial"/>
          <w:sz w:val="13"/>
          <w:szCs w:val="13"/>
          <w:color w:val="auto"/>
        </w:rPr>
        <w:t>sections 280G and 4999 of the Code not applied. The O’Grady Agreement provides that if any payment or benefit provided to her would be subject to the excise tax under section 4999 of the Code, the amounts payable to her and benefits she will receive will be reduced so that no amounts she would receive would be subject to the excise tax under section 4999 of the Code if such reduction would result in her receiving a greater amount on an after-tax basis than if no reduction has occurred.</w:t>
      </w:r>
    </w:p>
    <w:p>
      <w:pPr>
        <w:spacing w:after="0" w:line="65"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his 2004 RSUs and his 2008, 2009 and 2010 RSUs) on the date of the change in control. In addition, Messrs. Carlozzi and Henneman will receive payment of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6" w:name="page57"/>
    <w:bookmarkEnd w:id="56"/>
    <w:p>
      <w:pPr>
        <w:ind w:right="200"/>
        <w:spacing w:after="0" w:line="291" w:lineRule="auto"/>
        <w:rPr>
          <w:sz w:val="20"/>
          <w:szCs w:val="20"/>
          <w:color w:val="auto"/>
        </w:rPr>
      </w:pPr>
      <w:r>
        <w:rPr>
          <w:rFonts w:ascii="Arial" w:cs="Arial" w:eastAsia="Arial" w:hAnsi="Arial"/>
          <w:sz w:val="13"/>
          <w:szCs w:val="13"/>
          <w:color w:val="auto"/>
        </w:rPr>
        <w:t>underlying the restricted stock units granted to each of them in December 2008 and Mr. Arduini will receive payment of common stock underlying the restricted stock units granted to him in November 2010. Further, Mr. Henneman’s 2008 stock option grant will remain exercisable through its original expiration date.</w:t>
      </w:r>
    </w:p>
    <w:p>
      <w:pPr>
        <w:spacing w:after="0" w:line="48" w:lineRule="exact"/>
        <w:rPr>
          <w:sz w:val="20"/>
          <w:szCs w:val="20"/>
          <w:color w:val="auto"/>
        </w:rPr>
      </w:pPr>
    </w:p>
    <w:p>
      <w:pPr>
        <w:ind w:right="60" w:firstLine="399"/>
        <w:spacing w:after="0" w:line="293" w:lineRule="auto"/>
        <w:rPr>
          <w:sz w:val="20"/>
          <w:szCs w:val="20"/>
          <w:color w:val="auto"/>
        </w:rPr>
      </w:pPr>
      <w:r>
        <w:rPr>
          <w:rFonts w:ascii="Arial" w:cs="Arial" w:eastAsia="Arial" w:hAnsi="Arial"/>
          <w:sz w:val="12"/>
          <w:szCs w:val="12"/>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(for the Arduini, Henneman, Carlozzi and O’Grady Agreements, during any period of at least twenty-four months) to constitute at least a majority of the Board of Directors; (iii) 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Restrictive Covenants And Other Conditions</w:t>
      </w:r>
    </w:p>
    <w:p>
      <w:pPr>
        <w:spacing w:after="0" w:line="101"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The foregoing severance benefits payable upon termination of employment prior to or after a change in control to the applicable named executive officers (except Ms. O’Grady) are conditioned on, for Messrs. Essig, Arduini, Henneman and Carlozzi, their execution of a mutual release.</w:t>
      </w:r>
    </w:p>
    <w:p>
      <w:pPr>
        <w:spacing w:after="0" w:line="48" w:lineRule="exact"/>
        <w:rPr>
          <w:sz w:val="20"/>
          <w:szCs w:val="20"/>
          <w:color w:val="auto"/>
        </w:rPr>
      </w:pPr>
    </w:p>
    <w:p>
      <w:pPr>
        <w:ind w:firstLine="399"/>
        <w:spacing w:after="0" w:line="297" w:lineRule="auto"/>
        <w:rPr>
          <w:sz w:val="20"/>
          <w:szCs w:val="20"/>
          <w:color w:val="auto"/>
        </w:rPr>
      </w:pPr>
      <w:r>
        <w:rPr>
          <w:rFonts w:ascii="Arial" w:cs="Arial" w:eastAsia="Arial" w:hAnsi="Arial"/>
          <w:sz w:val="12"/>
          <w:szCs w:val="12"/>
          <w:color w:val="auto"/>
        </w:rPr>
        <w:t>In addition, for all of the applicable named executive officers, such benefits are consideration for the restrictive covenants set forth in their respective Agreements; provided, however, that the noncompetition and nonsolicitation covenants would not apply to Mr. Essig if he is terminated by the Company without cause or he terminates his employment for good reason prior to a change in control. Specifically, during the term of their employment with the Company and the one-year period thereafter (or for Mr. Essig, the two-year period thereafter), all of the named executive officers generally may not compete against the Company or solicit employees and customers of the Company.</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57" w:name="page58"/>
    <w:bookmarkEnd w:id="57"/>
    <w:p>
      <w:pPr>
        <w:ind w:left="200"/>
        <w:spacing w:after="0"/>
        <w:rPr>
          <w:sz w:val="20"/>
          <w:szCs w:val="20"/>
          <w:color w:val="auto"/>
        </w:rPr>
      </w:pPr>
      <w:r>
        <w:rPr>
          <w:rFonts w:ascii="Arial" w:cs="Arial" w:eastAsia="Arial" w:hAnsi="Arial"/>
          <w:sz w:val="13"/>
          <w:szCs w:val="13"/>
          <w:b w:val="1"/>
          <w:bCs w:val="1"/>
          <w:i w:val="1"/>
          <w:iCs w:val="1"/>
          <w:color w:val="auto"/>
        </w:rPr>
        <w:t>Summary of Potential Payments</w:t>
      </w:r>
    </w:p>
    <w:p>
      <w:pPr>
        <w:spacing w:after="0" w:line="101" w:lineRule="exact"/>
        <w:rPr>
          <w:sz w:val="20"/>
          <w:szCs w:val="20"/>
          <w:color w:val="auto"/>
        </w:rPr>
      </w:pPr>
    </w:p>
    <w:p>
      <w:pPr>
        <w:ind w:right="80" w:firstLine="399"/>
        <w:spacing w:after="0" w:line="336" w:lineRule="auto"/>
        <w:rPr>
          <w:sz w:val="20"/>
          <w:szCs w:val="20"/>
          <w:color w:val="auto"/>
        </w:rPr>
      </w:pPr>
      <w:r>
        <w:rPr>
          <w:rFonts w:ascii="Arial" w:cs="Arial" w:eastAsia="Arial" w:hAnsi="Arial"/>
          <w:sz w:val="12"/>
          <w:szCs w:val="12"/>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2010 or a change in control of the Company occurred on December 31, 2010, as applicable: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88"/>
              </w:rPr>
              <w:t>Termination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Termination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88"/>
              </w:rPr>
              <w:t>Without Cause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91"/>
              </w:rPr>
              <w:t>or With Good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93"/>
              <w:spacing w:after="0"/>
              <w:rPr>
                <w:sz w:val="20"/>
                <w:szCs w:val="20"/>
                <w:color w:val="auto"/>
              </w:rPr>
            </w:pPr>
            <w:r>
              <w:rPr>
                <w:rFonts w:ascii="Arial" w:cs="Arial" w:eastAsia="Arial" w:hAnsi="Arial"/>
                <w:sz w:val="11"/>
                <w:szCs w:val="11"/>
                <w:b w:val="1"/>
                <w:bCs w:val="1"/>
                <w:color w:val="auto"/>
                <w:w w:val="86"/>
              </w:rPr>
              <w:t>Upon a Change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Without Cause 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72"/>
              <w:spacing w:after="0" w:line="111" w:lineRule="exact"/>
              <w:rPr>
                <w:sz w:val="20"/>
                <w:szCs w:val="20"/>
                <w:color w:val="auto"/>
              </w:rPr>
            </w:pPr>
            <w:r>
              <w:rPr>
                <w:rFonts w:ascii="Arial" w:cs="Arial" w:eastAsia="Arial" w:hAnsi="Arial"/>
                <w:sz w:val="11"/>
                <w:szCs w:val="11"/>
                <w:b w:val="1"/>
                <w:bCs w:val="1"/>
                <w:color w:val="auto"/>
                <w:w w:val="86"/>
              </w:rPr>
              <w:t>Reason (Before 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w w:val="91"/>
              </w:rPr>
              <w:t>Non-Renewal</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7"/>
              </w:rPr>
              <w:t>With Good Reason</w:t>
            </w: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line="121" w:lineRule="exact"/>
              <w:rPr>
                <w:sz w:val="20"/>
                <w:szCs w:val="20"/>
                <w:color w:val="auto"/>
              </w:rPr>
            </w:pPr>
            <w:r>
              <w:rPr>
                <w:rFonts w:ascii="Arial" w:cs="Arial" w:eastAsia="Arial" w:hAnsi="Arial"/>
                <w:sz w:val="11"/>
                <w:szCs w:val="11"/>
                <w:b w:val="1"/>
                <w:bCs w:val="1"/>
                <w:color w:val="auto"/>
                <w:w w:val="90"/>
              </w:rPr>
              <w:t>Change 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93"/>
              <w:spacing w:after="0" w:line="121" w:lineRule="exact"/>
              <w:rPr>
                <w:sz w:val="20"/>
                <w:szCs w:val="20"/>
                <w:color w:val="auto"/>
              </w:rPr>
            </w:pPr>
            <w:r>
              <w:rPr>
                <w:rFonts w:ascii="Arial" w:cs="Arial" w:eastAsia="Arial" w:hAnsi="Arial"/>
                <w:sz w:val="11"/>
                <w:szCs w:val="11"/>
                <w:b w:val="1"/>
                <w:bCs w:val="1"/>
                <w:color w:val="auto"/>
                <w:w w:val="88"/>
              </w:rPr>
              <w:t>in Control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(After a Change in</w:t>
            </w:r>
          </w:p>
        </w:tc>
        <w:tc>
          <w:tcPr>
            <w:tcW w:w="0" w:type="dxa"/>
            <w:vAlign w:val="bottom"/>
          </w:tcPr>
          <w:p>
            <w:pPr>
              <w:spacing w:after="0"/>
              <w:rPr>
                <w:sz w:val="1"/>
                <w:szCs w:val="1"/>
                <w:color w:val="auto"/>
              </w:rPr>
            </w:pPr>
          </w:p>
        </w:tc>
      </w:tr>
      <w:tr>
        <w:trPr>
          <w:trHeight w:val="127"/>
        </w:trPr>
        <w:tc>
          <w:tcPr>
            <w:tcW w:w="23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93"/>
              </w:rPr>
              <w:t>Control)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3"/>
              <w:spacing w:after="0"/>
              <w:rPr>
                <w:sz w:val="20"/>
                <w:szCs w:val="20"/>
                <w:color w:val="auto"/>
              </w:rPr>
            </w:pPr>
            <w:r>
              <w:rPr>
                <w:rFonts w:ascii="Arial" w:cs="Arial" w:eastAsia="Arial" w:hAnsi="Arial"/>
                <w:sz w:val="11"/>
                <w:szCs w:val="11"/>
                <w:b w:val="1"/>
                <w:bCs w:val="1"/>
                <w:color w:val="auto"/>
                <w:w w:val="90"/>
              </w:rPr>
              <w:t>Of Agreement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33"/>
              <w:spacing w:after="0"/>
              <w:rPr>
                <w:sz w:val="20"/>
                <w:szCs w:val="20"/>
                <w:color w:val="auto"/>
              </w:rPr>
            </w:pPr>
            <w:r>
              <w:rPr>
                <w:rFonts w:ascii="Arial" w:cs="Arial" w:eastAsia="Arial" w:hAnsi="Arial"/>
                <w:sz w:val="11"/>
                <w:szCs w:val="11"/>
                <w:b w:val="1"/>
                <w:bCs w:val="1"/>
                <w:color w:val="auto"/>
                <w:w w:val="98"/>
              </w:rPr>
              <w:t>Death</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53"/>
              <w:spacing w:after="0"/>
              <w:rPr>
                <w:sz w:val="20"/>
                <w:szCs w:val="20"/>
                <w:color w:val="auto"/>
              </w:rPr>
            </w:pPr>
            <w:r>
              <w:rPr>
                <w:rFonts w:ascii="Arial" w:cs="Arial" w:eastAsia="Arial" w:hAnsi="Arial"/>
                <w:sz w:val="11"/>
                <w:szCs w:val="11"/>
                <w:b w:val="1"/>
                <w:bCs w:val="1"/>
                <w:color w:val="auto"/>
                <w:w w:val="85"/>
              </w:rPr>
              <w:t>Disability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(No Termination)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Control)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Stuart M. Essig</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750,000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700,000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700,000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4,886,000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348,000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9,855,475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1,839</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11,983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10,983,754</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10,203,475</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10,931,915</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10,931,915</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10,203,475</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15,129,898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Peter J. Arduini</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600,000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600,000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1,794,000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15,756</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15,756</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47,268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1,472</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4,400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617,228</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615,756</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1,845,668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John B. Henneman, III</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750,000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750,000</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500,000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2,242,500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15,756</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15,756</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15,756</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63,024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33,375</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33,375</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33,375</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33,375</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33,375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1,591,314</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1,591,314</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1,591,314</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1,591,314</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1,591,314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1,839</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1,839</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5,500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2,392,284</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800,970</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2,140,445</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1,591,314</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1,624,689</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3,935,713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Gerard S. Carlozzi</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750,000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500,000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2,242,500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28,440</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56,880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1,839</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5,500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780,279</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528,440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2,304,880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Judith E. O’Grady</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250,000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11,208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365,676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613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00" w:type="dxa"/>
            <w:vAlign w:val="bottom"/>
          </w:tcPr>
          <w:p>
            <w:pPr>
              <w:ind w:left="80"/>
              <w:spacing w:after="0"/>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060" w:type="dxa"/>
            <w:vAlign w:val="bottom"/>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tcPr>
          <w:p>
            <w:pPr>
              <w:jc w:val="right"/>
              <w:spacing w:after="0"/>
              <w:rPr>
                <w:sz w:val="20"/>
                <w:szCs w:val="20"/>
                <w:color w:val="auto"/>
              </w:rPr>
            </w:pPr>
            <w:r>
              <w:rPr>
                <w:rFonts w:ascii="Arial" w:cs="Arial" w:eastAsia="Arial" w:hAnsi="Arial"/>
                <w:sz w:val="9"/>
                <w:szCs w:val="9"/>
                <w:color w:val="auto"/>
              </w:rPr>
              <w:t>627,497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-2586990</wp:posOffset>
            </wp:positionV>
            <wp:extent cx="190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wp:posOffset>
            </wp:positionV>
            <wp:extent cx="82042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10" w:lineRule="exact"/>
        <w:rPr>
          <w:sz w:val="20"/>
          <w:szCs w:val="20"/>
          <w:color w:val="auto"/>
        </w:rPr>
      </w:pPr>
    </w:p>
    <w:p>
      <w:pPr>
        <w:ind w:left="300" w:right="100" w:hanging="247"/>
        <w:spacing w:after="0" w:line="265" w:lineRule="auto"/>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For Messrs. Essig and Carlozzi, the premium cost for health, life and disability insurance is assumed to be $2,370 per month, which includes $1,058 for a gross-up for taxes (based on an assumed 45% tax rate) on the health insurance premium cost. For Messrs. Arduini and Henneman, the premium cost for health, life and disability insurance is assumed to be $1,313 per month with no gross-up. For Ms. O’Grady, the premium cost for health, life and disability insurance (less that amount she would have been required to pay for such coverage immediately before termination) is assumed to be $934 per month, which includes $351 for a gross-up for taxes (based on an assumed 45% tax rate) on the health insurance premium cost.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8" w:name="page59"/>
    <w:bookmarkEnd w:id="58"/>
    <w:p>
      <w:pPr>
        <w:ind w:left="980" w:hanging="247"/>
        <w:spacing w:after="0"/>
        <w:tabs>
          <w:tab w:leader="none" w:pos="9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3"/>
          <w:szCs w:val="13"/>
          <w:color w:val="auto"/>
        </w:rPr>
      </w:pPr>
    </w:p>
    <w:p>
      <w:pPr>
        <w:ind w:left="980" w:right="880" w:hanging="247"/>
        <w:spacing w:after="0" w:line="332" w:lineRule="auto"/>
        <w:tabs>
          <w:tab w:leader="none" w:pos="9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Essig, Henneman, Carlozzi and O’Grady Agreements provide for reasonable legal fees and expenses that may be incurred by the executive as a result of the executive’s termination of employment related to a change in control. However, the table does not include a value for these fees and expenses because they would be incurred only if there is a dispute under these Agreements. Thus, these amounts are undeterminable. For all executives, the amount shown represents the interest on the executive’s respective cash severance payment if it is required to be delayed for six months because of the application of section 409A of the Code, with such interest applied at the rate of 0.49% compounded monthly.</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DIRECTOR COMPENSATION</w:t>
      </w:r>
    </w:p>
    <w:p>
      <w:pPr>
        <w:spacing w:after="0" w:line="103" w:lineRule="exact"/>
        <w:rPr>
          <w:sz w:val="20"/>
          <w:szCs w:val="20"/>
          <w:color w:val="auto"/>
        </w:rPr>
      </w:pPr>
    </w:p>
    <w:p>
      <w:pPr>
        <w:ind w:left="680" w:right="1280" w:firstLine="399"/>
        <w:spacing w:after="0" w:line="291" w:lineRule="auto"/>
        <w:rPr>
          <w:sz w:val="20"/>
          <w:szCs w:val="20"/>
          <w:color w:val="auto"/>
        </w:rPr>
      </w:pPr>
      <w:r>
        <w:rPr>
          <w:rFonts w:ascii="Arial" w:cs="Arial" w:eastAsia="Arial" w:hAnsi="Arial"/>
          <w:sz w:val="13"/>
          <w:szCs w:val="13"/>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48" w:lineRule="exact"/>
        <w:rPr>
          <w:sz w:val="20"/>
          <w:szCs w:val="20"/>
          <w:color w:val="auto"/>
        </w:rPr>
      </w:pPr>
    </w:p>
    <w:p>
      <w:pPr>
        <w:ind w:left="680" w:right="1300" w:firstLine="399"/>
        <w:spacing w:after="0" w:line="291" w:lineRule="auto"/>
        <w:rPr>
          <w:sz w:val="20"/>
          <w:szCs w:val="20"/>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The compensation of directors during 2010 included the compensation payable during the period beginning with the Company’s 2009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on May 20, 2009 and ending with the Company’s 2010 Annual Meeting of Stockholders on May 19, 2010.</w:t>
      </w:r>
    </w:p>
    <w:p>
      <w:pPr>
        <w:spacing w:after="0" w:line="48" w:lineRule="exact"/>
        <w:rPr>
          <w:sz w:val="20"/>
          <w:szCs w:val="20"/>
          <w:color w:val="auto"/>
        </w:rPr>
      </w:pPr>
    </w:p>
    <w:p>
      <w:pPr>
        <w:ind w:left="680" w:right="820" w:firstLine="399"/>
        <w:spacing w:after="0" w:line="290" w:lineRule="auto"/>
        <w:rPr>
          <w:sz w:val="20"/>
          <w:szCs w:val="20"/>
          <w:color w:val="auto"/>
        </w:rPr>
      </w:pPr>
      <w:r>
        <w:rPr>
          <w:rFonts w:ascii="Arial" w:cs="Arial" w:eastAsia="Arial" w:hAnsi="Arial"/>
          <w:sz w:val="12"/>
          <w:szCs w:val="12"/>
          <w:color w:val="auto"/>
        </w:rPr>
        <w:t>As compensation for their service during the period beginning with the Company’s 2009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$60,000,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7,500 options. Compensation for their service beginning with the Company’s 2010 Annual Meeting of Stockholders and ending with the Company’s 2011 Annual Meeting of Stockholders on May 17, 2011 remains unchanged from the prior period.</w:t>
      </w:r>
    </w:p>
    <w:p>
      <w:pPr>
        <w:spacing w:after="0" w:line="51" w:lineRule="exact"/>
        <w:rPr>
          <w:sz w:val="20"/>
          <w:szCs w:val="20"/>
          <w:color w:val="auto"/>
        </w:rPr>
      </w:pPr>
    </w:p>
    <w:p>
      <w:pPr>
        <w:ind w:left="680" w:right="840" w:firstLine="399"/>
        <w:spacing w:after="0" w:line="265" w:lineRule="auto"/>
        <w:rPr>
          <w:sz w:val="20"/>
          <w:szCs w:val="20"/>
          <w:color w:val="auto"/>
        </w:rPr>
      </w:pPr>
      <w:r>
        <w:rPr>
          <w:rFonts w:ascii="Arial" w:cs="Arial" w:eastAsia="Arial" w:hAnsi="Arial"/>
          <w:sz w:val="13"/>
          <w:szCs w:val="13"/>
          <w:color w:val="auto"/>
        </w:rPr>
        <w:t>In addition, effective as of the 2011 Annual Meeting of Stockholders, the annual retainer for non-employee directors was increased from $60,000 to $75,000, payable in the four ways described above, except that if options are selected, the number of options will be determined by valuing the options at one-third (previously at one-quarter) of the fair market value of the common stock underlying the options. In addition, the number of shares of restricted stock that non-employee directors will receive if they elect to receive the annual equity grant in restricted stock was increased from 1,875 to 2,500 (and from 2,500 to 3,325 for the Chairman). The number of options that non-employee directors will receive if they elect to receive the annual equity grant in options remains unchanged at 7,500 options (or 10,000 for the Chairman).</w:t>
      </w:r>
    </w:p>
    <w:p>
      <w:pPr>
        <w:spacing w:after="0" w:line="66" w:lineRule="exact"/>
        <w:rPr>
          <w:sz w:val="20"/>
          <w:szCs w:val="20"/>
          <w:color w:val="auto"/>
        </w:rPr>
      </w:pPr>
    </w:p>
    <w:p>
      <w:pPr>
        <w:ind w:left="680" w:right="1260" w:firstLine="399"/>
        <w:spacing w:after="0" w:line="291" w:lineRule="auto"/>
        <w:rPr>
          <w:sz w:val="20"/>
          <w:szCs w:val="20"/>
          <w:color w:val="auto"/>
        </w:rPr>
      </w:pPr>
      <w:r>
        <w:rPr>
          <w:rFonts w:ascii="Arial" w:cs="Arial" w:eastAsia="Arial" w:hAnsi="Arial"/>
          <w:sz w:val="13"/>
          <w:szCs w:val="13"/>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details of the total compensation earned by non-employee directors in 2010.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80" w:type="dxa"/>
            <w:vAlign w:val="bottom"/>
          </w:tcPr>
          <w:p>
            <w:pPr>
              <w:jc w:val="center"/>
              <w:ind w:left="158"/>
              <w:spacing w:after="0"/>
              <w:rPr>
                <w:sz w:val="20"/>
                <w:szCs w:val="20"/>
                <w:color w:val="auto"/>
              </w:rPr>
            </w:pPr>
            <w:r>
              <w:rPr>
                <w:rFonts w:ascii="Arial" w:cs="Arial" w:eastAsia="Arial" w:hAnsi="Arial"/>
                <w:sz w:val="11"/>
                <w:szCs w:val="11"/>
                <w:b w:val="1"/>
                <w:bCs w:val="1"/>
                <w:color w:val="auto"/>
                <w:w w:val="88"/>
              </w:rPr>
              <w:t>Fees Earned or</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Stock Awards(2)(3)</w:t>
            </w:r>
          </w:p>
        </w:tc>
        <w:tc>
          <w:tcPr>
            <w:tcW w:w="240" w:type="dxa"/>
            <w:vAlign w:val="bottom"/>
          </w:tcPr>
          <w:p>
            <w:pPr>
              <w:spacing w:after="0"/>
              <w:rPr>
                <w:sz w:val="10"/>
                <w:szCs w:val="10"/>
                <w:color w:val="auto"/>
              </w:rPr>
            </w:pPr>
          </w:p>
        </w:tc>
        <w:tc>
          <w:tcPr>
            <w:tcW w:w="1720" w:type="dxa"/>
            <w:vAlign w:val="bottom"/>
            <w:vMerge w:val="restart"/>
          </w:tcPr>
          <w:p>
            <w:pPr>
              <w:jc w:val="right"/>
              <w:ind w:right="320"/>
              <w:spacing w:after="0"/>
              <w:rPr>
                <w:sz w:val="20"/>
                <w:szCs w:val="20"/>
                <w:color w:val="auto"/>
              </w:rPr>
            </w:pPr>
            <w:r>
              <w:rPr>
                <w:rFonts w:ascii="Arial" w:cs="Arial" w:eastAsia="Arial" w:hAnsi="Arial"/>
                <w:sz w:val="11"/>
                <w:szCs w:val="11"/>
                <w:b w:val="1"/>
                <w:bCs w:val="1"/>
                <w:color w:val="auto"/>
              </w:rPr>
              <w:t>Option Awards(4)(5)</w:t>
            </w:r>
          </w:p>
        </w:tc>
        <w:tc>
          <w:tcPr>
            <w:tcW w:w="2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4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Name</w:t>
            </w:r>
          </w:p>
        </w:tc>
        <w:tc>
          <w:tcPr>
            <w:tcW w:w="1080" w:type="dxa"/>
            <w:vAlign w:val="bottom"/>
          </w:tcPr>
          <w:p>
            <w:pPr>
              <w:jc w:val="center"/>
              <w:ind w:left="158"/>
              <w:spacing w:after="0" w:line="111" w:lineRule="exact"/>
              <w:rPr>
                <w:sz w:val="20"/>
                <w:szCs w:val="20"/>
                <w:color w:val="auto"/>
              </w:rPr>
            </w:pPr>
            <w:r>
              <w:rPr>
                <w:rFonts w:ascii="Arial" w:cs="Arial" w:eastAsia="Arial" w:hAnsi="Arial"/>
                <w:sz w:val="11"/>
                <w:szCs w:val="11"/>
                <w:b w:val="1"/>
                <w:bCs w:val="1"/>
                <w:color w:val="auto"/>
                <w:w w:val="88"/>
              </w:rPr>
              <w:t>Paid in Cash(1)</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440" w:type="dxa"/>
            <w:vAlign w:val="bottom"/>
            <w:gridSpan w:val="2"/>
            <w:vMerge w:val="continue"/>
          </w:tcPr>
          <w:p>
            <w:pPr>
              <w:spacing w:after="0"/>
              <w:rPr>
                <w:sz w:val="9"/>
                <w:szCs w:val="9"/>
                <w:color w:val="auto"/>
              </w:rPr>
            </w:pPr>
          </w:p>
        </w:tc>
        <w:tc>
          <w:tcPr>
            <w:tcW w:w="1080" w:type="dxa"/>
            <w:vAlign w:val="bottom"/>
          </w:tcPr>
          <w:p>
            <w:pPr>
              <w:jc w:val="center"/>
              <w:ind w:left="158"/>
              <w:spacing w:after="0" w:line="111" w:lineRule="exact"/>
              <w:rPr>
                <w:sz w:val="20"/>
                <w:szCs w:val="20"/>
                <w:color w:val="auto"/>
              </w:rPr>
            </w:pPr>
            <w:r>
              <w:rPr>
                <w:rFonts w:ascii="Arial" w:cs="Arial" w:eastAsia="Arial" w:hAnsi="Arial"/>
                <w:sz w:val="11"/>
                <w:szCs w:val="11"/>
                <w:b w:val="1"/>
                <w:bCs w:val="1"/>
                <w:color w:val="auto"/>
              </w:rPr>
              <w:t>($)</w:t>
            </w:r>
          </w:p>
        </w:tc>
        <w:tc>
          <w:tcPr>
            <w:tcW w:w="2020" w:type="dxa"/>
            <w:vAlign w:val="bottom"/>
            <w:gridSpan w:val="3"/>
          </w:tcPr>
          <w:p>
            <w:pPr>
              <w:jc w:val="right"/>
              <w:ind w:right="657"/>
              <w:spacing w:after="0" w:line="111" w:lineRule="exact"/>
              <w:rPr>
                <w:sz w:val="20"/>
                <w:szCs w:val="20"/>
                <w:color w:val="auto"/>
              </w:rPr>
            </w:pPr>
            <w:r>
              <w:rPr>
                <w:rFonts w:ascii="Arial" w:cs="Arial" w:eastAsia="Arial" w:hAnsi="Arial"/>
                <w:sz w:val="11"/>
                <w:szCs w:val="11"/>
                <w:b w:val="1"/>
                <w:bCs w:val="1"/>
                <w:color w:val="auto"/>
              </w:rPr>
              <w:t>($)</w:t>
            </w:r>
          </w:p>
        </w:tc>
        <w:tc>
          <w:tcPr>
            <w:tcW w:w="1960" w:type="dxa"/>
            <w:vAlign w:val="bottom"/>
            <w:gridSpan w:val="2"/>
          </w:tcPr>
          <w:p>
            <w:pPr>
              <w:jc w:val="right"/>
              <w:ind w:right="740"/>
              <w:spacing w:after="0" w:line="111" w:lineRule="exact"/>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center"/>
              <w:ind w:left="175"/>
              <w:spacing w:after="0" w:line="111" w:lineRule="exact"/>
              <w:rPr>
                <w:sz w:val="20"/>
                <w:szCs w:val="20"/>
                <w:color w:val="auto"/>
              </w:rPr>
            </w:pPr>
            <w:r>
              <w:rPr>
                <w:rFonts w:ascii="Arial" w:cs="Arial" w:eastAsia="Arial" w:hAnsi="Arial"/>
                <w:sz w:val="11"/>
                <w:szCs w:val="11"/>
                <w:b w:val="1"/>
                <w:bCs w:val="1"/>
                <w:color w:val="auto"/>
                <w:w w:val="88"/>
              </w:rPr>
              <w: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440" w:type="dxa"/>
            <w:vAlign w:val="bottom"/>
            <w:gridSpan w:val="2"/>
          </w:tcPr>
          <w:p>
            <w:pPr>
              <w:ind w:left="680"/>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1080" w:type="dxa"/>
            <w:vAlign w:val="bottom"/>
            <w:tcBorders>
              <w:bottom w:val="single" w:sz="8" w:color="auto"/>
            </w:tcBorders>
          </w:tcPr>
          <w:p>
            <w:pPr>
              <w:jc w:val="center"/>
              <w:ind w:left="158"/>
              <w:spacing w:after="0"/>
              <w:rPr>
                <w:sz w:val="20"/>
                <w:szCs w:val="20"/>
                <w:color w:val="auto"/>
              </w:rPr>
            </w:pPr>
            <w:r>
              <w:rPr>
                <w:rFonts w:ascii="Arial" w:cs="Arial" w:eastAsia="Arial" w:hAnsi="Arial"/>
                <w:sz w:val="11"/>
                <w:szCs w:val="11"/>
                <w:b w:val="1"/>
                <w:bCs w:val="1"/>
                <w:color w:val="auto"/>
                <w:w w:val="99"/>
              </w:rPr>
              <w:t>(b)</w:t>
            </w: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(c)</w:t>
            </w:r>
          </w:p>
        </w:tc>
        <w:tc>
          <w:tcPr>
            <w:tcW w:w="240" w:type="dxa"/>
            <w:vAlign w:val="bottom"/>
          </w:tcPr>
          <w:p>
            <w:pPr>
              <w:spacing w:after="0"/>
              <w:rPr>
                <w:sz w:val="11"/>
                <w:szCs w:val="11"/>
                <w:color w:val="auto"/>
              </w:rPr>
            </w:pPr>
          </w:p>
        </w:tc>
        <w:tc>
          <w:tcPr>
            <w:tcW w:w="1720" w:type="dxa"/>
            <w:vAlign w:val="bottom"/>
            <w:tcBorders>
              <w:bottom w:val="single" w:sz="8" w:color="auto"/>
            </w:tcBorders>
          </w:tcPr>
          <w:p>
            <w:pPr>
              <w:jc w:val="right"/>
              <w:ind w:right="74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(h)</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20" w:type="dxa"/>
            <w:vAlign w:val="bottom"/>
            <w:gridSpan w:val="3"/>
            <w:shd w:val="clear" w:color="auto" w:fill="CCEEFF"/>
          </w:tcPr>
          <w:p>
            <w:pPr>
              <w:jc w:val="right"/>
              <w:ind w:right="497"/>
              <w:spacing w:after="0"/>
              <w:rPr>
                <w:sz w:val="20"/>
                <w:szCs w:val="20"/>
                <w:color w:val="auto"/>
              </w:rPr>
            </w:pPr>
            <w:r>
              <w:rPr>
                <w:rFonts w:ascii="Arial" w:cs="Arial" w:eastAsia="Arial" w:hAnsi="Arial"/>
                <w:sz w:val="13"/>
                <w:szCs w:val="13"/>
                <w:color w:val="auto"/>
              </w:rPr>
              <w:t>138,318</w:t>
            </w: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89"/>
              </w:rPr>
              <w:t>138,318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Keith Bradley</w:t>
            </w:r>
          </w:p>
        </w:tc>
        <w:tc>
          <w:tcPr>
            <w:tcW w:w="1080" w:type="dxa"/>
            <w:vAlign w:val="bottom"/>
          </w:tcPr>
          <w:p>
            <w:pPr>
              <w:jc w:val="right"/>
              <w:ind w:right="178"/>
              <w:spacing w:after="0"/>
              <w:rPr>
                <w:sz w:val="20"/>
                <w:szCs w:val="20"/>
                <w:color w:val="auto"/>
              </w:rPr>
            </w:pPr>
            <w:r>
              <w:rPr>
                <w:rFonts w:ascii="Arial" w:cs="Arial" w:eastAsia="Arial" w:hAnsi="Arial"/>
                <w:sz w:val="13"/>
                <w:szCs w:val="13"/>
                <w:color w:val="auto"/>
              </w:rPr>
              <w:t>60,000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580"/>
              <w:spacing w:after="0"/>
              <w:rPr>
                <w:sz w:val="20"/>
                <w:szCs w:val="20"/>
                <w:color w:val="auto"/>
              </w:rPr>
            </w:pPr>
            <w:r>
              <w:rPr>
                <w:rFonts w:ascii="Arial" w:cs="Arial" w:eastAsia="Arial" w:hAnsi="Arial"/>
                <w:sz w:val="13"/>
                <w:szCs w:val="13"/>
                <w:color w:val="auto"/>
              </w:rPr>
              <w:t>127,742</w:t>
            </w:r>
          </w:p>
        </w:tc>
        <w:tc>
          <w:tcPr>
            <w:tcW w:w="1160" w:type="dxa"/>
            <w:vAlign w:val="bottom"/>
            <w:gridSpan w:val="2"/>
          </w:tcPr>
          <w:p>
            <w:pPr>
              <w:jc w:val="center"/>
              <w:ind w:left="195"/>
              <w:spacing w:after="0"/>
              <w:rPr>
                <w:sz w:val="20"/>
                <w:szCs w:val="20"/>
                <w:color w:val="auto"/>
              </w:rPr>
            </w:pPr>
            <w:r>
              <w:rPr>
                <w:rFonts w:ascii="Arial" w:cs="Arial" w:eastAsia="Arial" w:hAnsi="Arial"/>
                <w:sz w:val="13"/>
                <w:szCs w:val="13"/>
                <w:color w:val="auto"/>
                <w:w w:val="89"/>
              </w:rPr>
              <w:t>187,742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Richard E. Caruso</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268,242</w:t>
            </w:r>
          </w:p>
        </w:tc>
        <w:tc>
          <w:tcPr>
            <w:tcW w:w="116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89"/>
              </w:rPr>
              <w:t>268,242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Neal Moszkowski</w:t>
            </w:r>
          </w:p>
        </w:tc>
        <w:tc>
          <w:tcPr>
            <w:tcW w:w="10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580"/>
              <w:spacing w:after="0"/>
              <w:rPr>
                <w:sz w:val="20"/>
                <w:szCs w:val="20"/>
                <w:color w:val="auto"/>
              </w:rPr>
            </w:pPr>
            <w:r>
              <w:rPr>
                <w:rFonts w:ascii="Arial" w:cs="Arial" w:eastAsia="Arial" w:hAnsi="Arial"/>
                <w:sz w:val="13"/>
                <w:szCs w:val="13"/>
                <w:color w:val="auto"/>
              </w:rPr>
              <w:t>225,661</w:t>
            </w:r>
          </w:p>
        </w:tc>
        <w:tc>
          <w:tcPr>
            <w:tcW w:w="1160" w:type="dxa"/>
            <w:vAlign w:val="bottom"/>
            <w:gridSpan w:val="2"/>
          </w:tcPr>
          <w:p>
            <w:pPr>
              <w:jc w:val="center"/>
              <w:ind w:left="195"/>
              <w:spacing w:after="0"/>
              <w:rPr>
                <w:sz w:val="20"/>
                <w:szCs w:val="20"/>
                <w:color w:val="auto"/>
              </w:rPr>
            </w:pPr>
            <w:r>
              <w:rPr>
                <w:rFonts w:ascii="Arial" w:cs="Arial" w:eastAsia="Arial" w:hAnsi="Arial"/>
                <w:sz w:val="13"/>
                <w:szCs w:val="13"/>
                <w:color w:val="auto"/>
                <w:w w:val="89"/>
              </w:rPr>
              <w:t>225,661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Raymond G. Murphy</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020" w:type="dxa"/>
            <w:vAlign w:val="bottom"/>
            <w:gridSpan w:val="3"/>
            <w:shd w:val="clear" w:color="auto" w:fill="CCEEFF"/>
          </w:tcPr>
          <w:p>
            <w:pPr>
              <w:jc w:val="right"/>
              <w:ind w:right="497"/>
              <w:spacing w:after="0"/>
              <w:rPr>
                <w:sz w:val="20"/>
                <w:szCs w:val="20"/>
                <w:color w:val="auto"/>
              </w:rPr>
            </w:pPr>
            <w:r>
              <w:rPr>
                <w:rFonts w:ascii="Arial" w:cs="Arial" w:eastAsia="Arial" w:hAnsi="Arial"/>
                <w:sz w:val="13"/>
                <w:szCs w:val="13"/>
                <w:color w:val="auto"/>
              </w:rPr>
              <w:t>138,318</w:t>
            </w: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89"/>
              </w:rPr>
              <w:t>138,318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Christian S. Schade</w:t>
            </w:r>
          </w:p>
        </w:tc>
        <w:tc>
          <w:tcPr>
            <w:tcW w:w="1080" w:type="dxa"/>
            <w:vAlign w:val="bottom"/>
          </w:tcPr>
          <w:p>
            <w:pPr>
              <w:jc w:val="right"/>
              <w:ind w:right="178"/>
              <w:spacing w:after="0"/>
              <w:rPr>
                <w:sz w:val="20"/>
                <w:szCs w:val="20"/>
                <w:color w:val="auto"/>
              </w:rPr>
            </w:pPr>
            <w:r>
              <w:rPr>
                <w:rFonts w:ascii="Arial" w:cs="Arial" w:eastAsia="Arial" w:hAnsi="Arial"/>
                <w:sz w:val="13"/>
                <w:szCs w:val="13"/>
                <w:color w:val="auto"/>
              </w:rPr>
              <w:t>11,413</w:t>
            </w:r>
          </w:p>
        </w:tc>
        <w:tc>
          <w:tcPr>
            <w:tcW w:w="2020" w:type="dxa"/>
            <w:vAlign w:val="bottom"/>
            <w:gridSpan w:val="3"/>
          </w:tcPr>
          <w:p>
            <w:pPr>
              <w:jc w:val="right"/>
              <w:ind w:right="497"/>
              <w:spacing w:after="0"/>
              <w:rPr>
                <w:sz w:val="20"/>
                <w:szCs w:val="20"/>
                <w:color w:val="auto"/>
              </w:rPr>
            </w:pPr>
            <w:r>
              <w:rPr>
                <w:rFonts w:ascii="Arial" w:cs="Arial" w:eastAsia="Arial" w:hAnsi="Arial"/>
                <w:sz w:val="13"/>
                <w:szCs w:val="13"/>
                <w:color w:val="auto"/>
              </w:rPr>
              <w:t>60,037</w:t>
            </w:r>
          </w:p>
        </w:tc>
        <w:tc>
          <w:tcPr>
            <w:tcW w:w="1960" w:type="dxa"/>
            <w:vAlign w:val="bottom"/>
            <w:gridSpan w:val="2"/>
          </w:tcPr>
          <w:p>
            <w:pPr>
              <w:jc w:val="right"/>
              <w:ind w:right="580"/>
              <w:spacing w:after="0"/>
              <w:rPr>
                <w:sz w:val="20"/>
                <w:szCs w:val="20"/>
                <w:color w:val="auto"/>
              </w:rPr>
            </w:pPr>
            <w:r>
              <w:rPr>
                <w:rFonts w:ascii="Arial" w:cs="Arial" w:eastAsia="Arial" w:hAnsi="Arial"/>
                <w:sz w:val="13"/>
                <w:szCs w:val="13"/>
                <w:color w:val="auto"/>
              </w:rPr>
              <w:t>127,742</w:t>
            </w:r>
          </w:p>
        </w:tc>
        <w:tc>
          <w:tcPr>
            <w:tcW w:w="1160" w:type="dxa"/>
            <w:vAlign w:val="bottom"/>
            <w:gridSpan w:val="2"/>
          </w:tcPr>
          <w:p>
            <w:pPr>
              <w:jc w:val="center"/>
              <w:ind w:left="195"/>
              <w:spacing w:after="0"/>
              <w:rPr>
                <w:sz w:val="20"/>
                <w:szCs w:val="20"/>
                <w:color w:val="auto"/>
              </w:rPr>
            </w:pPr>
            <w:r>
              <w:rPr>
                <w:rFonts w:ascii="Arial" w:cs="Arial" w:eastAsia="Arial" w:hAnsi="Arial"/>
                <w:sz w:val="13"/>
                <w:szCs w:val="13"/>
                <w:color w:val="auto"/>
                <w:w w:val="89"/>
              </w:rPr>
              <w:t>199,192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James M. Sullivan</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60,000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127,742</w:t>
            </w:r>
          </w:p>
        </w:tc>
        <w:tc>
          <w:tcPr>
            <w:tcW w:w="116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89"/>
              </w:rPr>
              <w:t>187,742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Anne M. VanLent</w:t>
            </w:r>
          </w:p>
        </w:tc>
        <w:tc>
          <w:tcPr>
            <w:tcW w:w="1080" w:type="dxa"/>
            <w:vAlign w:val="bottom"/>
          </w:tcPr>
          <w:p>
            <w:pPr>
              <w:jc w:val="right"/>
              <w:ind w:right="178"/>
              <w:spacing w:after="0"/>
              <w:rPr>
                <w:sz w:val="20"/>
                <w:szCs w:val="20"/>
                <w:color w:val="auto"/>
              </w:rPr>
            </w:pPr>
            <w:r>
              <w:rPr>
                <w:rFonts w:ascii="Arial" w:cs="Arial" w:eastAsia="Arial" w:hAnsi="Arial"/>
                <w:sz w:val="13"/>
                <w:szCs w:val="13"/>
                <w:color w:val="auto"/>
              </w:rPr>
              <w:t>60,000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580"/>
              <w:spacing w:after="0"/>
              <w:rPr>
                <w:sz w:val="20"/>
                <w:szCs w:val="20"/>
                <w:color w:val="auto"/>
              </w:rPr>
            </w:pPr>
            <w:r>
              <w:rPr>
                <w:rFonts w:ascii="Arial" w:cs="Arial" w:eastAsia="Arial" w:hAnsi="Arial"/>
                <w:sz w:val="13"/>
                <w:szCs w:val="13"/>
                <w:color w:val="auto"/>
              </w:rPr>
              <w:t>127,742</w:t>
            </w:r>
          </w:p>
        </w:tc>
        <w:tc>
          <w:tcPr>
            <w:tcW w:w="1160" w:type="dxa"/>
            <w:vAlign w:val="bottom"/>
            <w:gridSpan w:val="2"/>
          </w:tcPr>
          <w:p>
            <w:pPr>
              <w:jc w:val="center"/>
              <w:ind w:left="195"/>
              <w:spacing w:after="0"/>
              <w:rPr>
                <w:sz w:val="20"/>
                <w:szCs w:val="20"/>
                <w:color w:val="auto"/>
              </w:rPr>
            </w:pPr>
            <w:r>
              <w:rPr>
                <w:rFonts w:ascii="Arial" w:cs="Arial" w:eastAsia="Arial" w:hAnsi="Arial"/>
                <w:sz w:val="13"/>
                <w:szCs w:val="13"/>
                <w:color w:val="auto"/>
                <w:w w:val="89"/>
              </w:rPr>
              <w:t>187,742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54</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59" w:name="page60"/>
    <w:bookmarkEnd w:id="59"/>
    <w:p>
      <w:pPr>
        <w:ind w:left="300" w:hanging="247"/>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578485</wp:posOffset>
            </wp:positionH>
            <wp:positionV relativeFrom="page">
              <wp:posOffset>476885</wp:posOffset>
            </wp:positionV>
            <wp:extent cx="82042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0420" cy="6350"/>
                    </a:xfrm>
                    <a:prstGeom prst="rect">
                      <a:avLst/>
                    </a:prstGeom>
                    <a:noFill/>
                  </pic:spPr>
                </pic:pic>
              </a:graphicData>
            </a:graphic>
          </wp:anchor>
        </w:drawing>
        <w:t>Includes amounts earned for 2010, but not paid until 2011.</w:t>
      </w:r>
    </w:p>
    <w:p>
      <w:pPr>
        <w:spacing w:after="0" w:line="50" w:lineRule="exact"/>
        <w:rPr>
          <w:rFonts w:ascii="Arial" w:cs="Arial" w:eastAsia="Arial" w:hAnsi="Arial"/>
          <w:sz w:val="13"/>
          <w:szCs w:val="13"/>
          <w:color w:val="auto"/>
        </w:rPr>
      </w:pPr>
    </w:p>
    <w:p>
      <w:pPr>
        <w:ind w:left="300" w:right="280" w:hanging="247"/>
        <w:spacing w:after="0" w:line="289"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closing price of the Company’s common stock on the grant date.</w:t>
      </w:r>
    </w:p>
    <w:p>
      <w:pPr>
        <w:ind w:left="300" w:hanging="247"/>
        <w:spacing w:after="0" w:line="313" w:lineRule="auto"/>
        <w:tabs>
          <w:tab w:leader="none" w:pos="3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Stock awards outstanding as of December 31, 2010 for each director consisted of restricted shares of common stock, as follows: Thomas J. Baltimore, Jr. — 1,655; Keith Bradley — 0; Richard E. Caruso — 0; Neal Moszkowski — 0; Raymond G. Murphy — 1,655; Christian S. Schade — 718; James M. Sullivan — 0 and Anne M. VanLent — 0.</w:t>
      </w:r>
    </w:p>
    <w:p>
      <w:pPr>
        <w:ind w:left="300" w:right="300" w:hanging="247"/>
        <w:spacing w:after="0" w:line="274"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 Purchase and Award Plans,” to our consolidated financial statements included in our Annual Report on Form 10-K for the year ended December 31, 2010.</w:t>
      </w:r>
    </w:p>
    <w:p>
      <w:pPr>
        <w:spacing w:after="0" w:line="8" w:lineRule="exact"/>
        <w:rPr>
          <w:rFonts w:ascii="Arial" w:cs="Arial" w:eastAsia="Arial" w:hAnsi="Arial"/>
          <w:sz w:val="13"/>
          <w:szCs w:val="13"/>
          <w:color w:val="auto"/>
        </w:rPr>
      </w:pPr>
    </w:p>
    <w:p>
      <w:pPr>
        <w:ind w:left="300" w:right="360" w:hanging="247"/>
        <w:spacing w:after="0" w:line="336" w:lineRule="auto"/>
        <w:tabs>
          <w:tab w:leader="none" w:pos="3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aggregate number of options held by each director as of December 31, 2010 was as follows: Thomas J. Baltimore, Jr. — 0; Keith Bradley — 7,500; Richard E. Caruso — 30,788; Neal Moszkowski — 65,248; Raymond G. Murphy — 7,500; Christian Schade — 37,500; James M. Sullivan — 27,539 and Anne M. VanLent — 61,960.</w:t>
      </w:r>
    </w:p>
    <w:p>
      <w:pPr>
        <w:spacing w:after="0" w:line="24"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Stuart Essig, the Company’s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3" w:lineRule="exact"/>
        <w:rPr>
          <w:sz w:val="20"/>
          <w:szCs w:val="20"/>
          <w:color w:val="auto"/>
        </w:rPr>
      </w:pPr>
    </w:p>
    <w:p>
      <w:pPr>
        <w:ind w:right="100" w:firstLine="399"/>
        <w:spacing w:after="0" w:line="291" w:lineRule="auto"/>
        <w:rPr>
          <w:sz w:val="20"/>
          <w:szCs w:val="20"/>
          <w:color w:val="auto"/>
        </w:rPr>
      </w:pPr>
      <w:r>
        <w:rPr>
          <w:rFonts w:ascii="Arial" w:cs="Arial" w:eastAsia="Arial" w:hAnsi="Arial"/>
          <w:sz w:val="13"/>
          <w:szCs w:val="13"/>
          <w:color w:val="auto"/>
        </w:rPr>
        <w:t>The following table provides information as of December 31, 2010 regarding existing compensation plans (including individual compensation arrangements) under which equity securities of the Company are authorized for issuance: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7"/>
              </w:rPr>
              <w:t>Number of Securities to be</w:t>
            </w:r>
          </w:p>
        </w:tc>
        <w:tc>
          <w:tcPr>
            <w:tcW w:w="240" w:type="dxa"/>
            <w:vAlign w:val="bottom"/>
          </w:tcPr>
          <w:p>
            <w:pPr>
              <w:spacing w:after="0"/>
              <w:rPr>
                <w:sz w:val="10"/>
                <w:szCs w:val="10"/>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6"/>
              </w:rPr>
              <w:t>Weighted-Average</w:t>
            </w:r>
          </w:p>
        </w:tc>
        <w:tc>
          <w:tcPr>
            <w:tcW w:w="240" w:type="dxa"/>
            <w:vAlign w:val="bottom"/>
          </w:tcPr>
          <w:p>
            <w:pPr>
              <w:spacing w:after="0"/>
              <w:rPr>
                <w:sz w:val="10"/>
                <w:szCs w:val="10"/>
                <w:color w:val="auto"/>
              </w:rPr>
            </w:pPr>
          </w:p>
        </w:tc>
        <w:tc>
          <w:tcPr>
            <w:tcW w:w="25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Number of Securities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160" w:type="dxa"/>
            <w:vAlign w:val="bottom"/>
            <w:gridSpan w:val="3"/>
          </w:tcPr>
          <w:p>
            <w:pPr>
              <w:jc w:val="center"/>
              <w:ind w:right="20"/>
              <w:spacing w:after="0" w:line="111" w:lineRule="exact"/>
              <w:rPr>
                <w:sz w:val="20"/>
                <w:szCs w:val="20"/>
                <w:color w:val="auto"/>
              </w:rPr>
            </w:pPr>
            <w:r>
              <w:rPr>
                <w:rFonts w:ascii="Arial" w:cs="Arial" w:eastAsia="Arial" w:hAnsi="Arial"/>
                <w:sz w:val="11"/>
                <w:szCs w:val="11"/>
                <w:b w:val="1"/>
                <w:bCs w:val="1"/>
                <w:color w:val="auto"/>
                <w:w w:val="86"/>
              </w:rPr>
              <w:t>Issued Upon Exercise of</w:t>
            </w:r>
          </w:p>
        </w:tc>
        <w:tc>
          <w:tcPr>
            <w:tcW w:w="240" w:type="dxa"/>
            <w:vAlign w:val="bottom"/>
          </w:tcPr>
          <w:p>
            <w:pPr>
              <w:spacing w:after="0"/>
              <w:rPr>
                <w:sz w:val="9"/>
                <w:szCs w:val="9"/>
                <w:color w:val="auto"/>
              </w:rPr>
            </w:pPr>
          </w:p>
        </w:tc>
        <w:tc>
          <w:tcPr>
            <w:tcW w:w="1620" w:type="dxa"/>
            <w:vAlign w:val="bottom"/>
            <w:gridSpan w:val="3"/>
          </w:tcPr>
          <w:p>
            <w:pPr>
              <w:jc w:val="center"/>
              <w:ind w:right="20"/>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240" w:type="dxa"/>
            <w:vAlign w:val="bottom"/>
          </w:tcPr>
          <w:p>
            <w:pPr>
              <w:spacing w:after="0"/>
              <w:rPr>
                <w:sz w:val="9"/>
                <w:szCs w:val="9"/>
                <w:color w:val="auto"/>
              </w:rPr>
            </w:pPr>
          </w:p>
        </w:tc>
        <w:tc>
          <w:tcPr>
            <w:tcW w:w="2580" w:type="dxa"/>
            <w:vAlign w:val="bottom"/>
            <w:gridSpan w:val="3"/>
          </w:tcPr>
          <w:p>
            <w:pPr>
              <w:jc w:val="center"/>
              <w:spacing w:after="0" w:line="111" w:lineRule="exact"/>
              <w:rPr>
                <w:sz w:val="20"/>
                <w:szCs w:val="20"/>
                <w:color w:val="auto"/>
              </w:rPr>
            </w:pPr>
            <w:r>
              <w:rPr>
                <w:rFonts w:ascii="Arial" w:cs="Arial" w:eastAsia="Arial" w:hAnsi="Arial"/>
                <w:sz w:val="11"/>
                <w:szCs w:val="11"/>
                <w:b w:val="1"/>
                <w:bCs w:val="1"/>
                <w:color w:val="auto"/>
                <w:w w:val="87"/>
              </w:rPr>
              <w:t>Remaining Available for</w:t>
            </w:r>
          </w:p>
        </w:tc>
        <w:tc>
          <w:tcPr>
            <w:tcW w:w="0" w:type="dxa"/>
            <w:vAlign w:val="bottom"/>
          </w:tcPr>
          <w:p>
            <w:pPr>
              <w:spacing w:after="0"/>
              <w:rPr>
                <w:sz w:val="1"/>
                <w:szCs w:val="1"/>
                <w:color w:val="auto"/>
              </w:rPr>
            </w:pPr>
          </w:p>
        </w:tc>
      </w:tr>
      <w:tr>
        <w:trPr>
          <w:trHeight w:val="120"/>
        </w:trPr>
        <w:tc>
          <w:tcPr>
            <w:tcW w:w="31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Plan Category</w:t>
            </w:r>
          </w:p>
        </w:tc>
        <w:tc>
          <w:tcPr>
            <w:tcW w:w="21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240" w:type="dxa"/>
            <w:vAlign w:val="bottom"/>
          </w:tcPr>
          <w:p>
            <w:pPr>
              <w:spacing w:after="0"/>
              <w:rPr>
                <w:sz w:val="10"/>
                <w:szCs w:val="10"/>
                <w:color w:val="auto"/>
              </w:rPr>
            </w:pPr>
          </w:p>
        </w:tc>
        <w:tc>
          <w:tcPr>
            <w:tcW w:w="162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240" w:type="dxa"/>
            <w:vAlign w:val="bottom"/>
          </w:tcPr>
          <w:p>
            <w:pPr>
              <w:spacing w:after="0"/>
              <w:rPr>
                <w:sz w:val="10"/>
                <w:szCs w:val="10"/>
                <w:color w:val="auto"/>
              </w:rPr>
            </w:pPr>
          </w:p>
        </w:tc>
        <w:tc>
          <w:tcPr>
            <w:tcW w:w="258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8"/>
              </w:rPr>
              <w:t>Future Issuance Under</w:t>
            </w:r>
          </w:p>
        </w:tc>
        <w:tc>
          <w:tcPr>
            <w:tcW w:w="0" w:type="dxa"/>
            <w:vAlign w:val="bottom"/>
          </w:tcPr>
          <w:p>
            <w:pPr>
              <w:spacing w:after="0"/>
              <w:rPr>
                <w:sz w:val="1"/>
                <w:szCs w:val="1"/>
                <w:color w:val="auto"/>
              </w:rPr>
            </w:pPr>
          </w:p>
        </w:tc>
      </w:tr>
      <w:tr>
        <w:trPr>
          <w:trHeight w:val="127"/>
        </w:trPr>
        <w:tc>
          <w:tcPr>
            <w:tcW w:w="3140" w:type="dxa"/>
            <w:vAlign w:val="bottom"/>
            <w:gridSpan w:val="3"/>
            <w:vMerge w:val="continue"/>
          </w:tcPr>
          <w:p>
            <w:pPr>
              <w:spacing w:after="0"/>
              <w:rPr>
                <w:sz w:val="11"/>
                <w:szCs w:val="11"/>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Warrants and Rights</w:t>
            </w:r>
          </w:p>
        </w:tc>
        <w:tc>
          <w:tcPr>
            <w:tcW w:w="240" w:type="dxa"/>
            <w:vAlign w:val="bottom"/>
          </w:tcPr>
          <w:p>
            <w:pPr>
              <w:spacing w:after="0"/>
              <w:rPr>
                <w:sz w:val="11"/>
                <w:szCs w:val="11"/>
                <w:color w:val="auto"/>
              </w:rPr>
            </w:pPr>
          </w:p>
        </w:tc>
        <w:tc>
          <w:tcPr>
            <w:tcW w:w="1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9"/>
              </w:rPr>
              <w:t>Warrants and Rights</w:t>
            </w:r>
          </w:p>
        </w:tc>
        <w:tc>
          <w:tcPr>
            <w:tcW w:w="240" w:type="dxa"/>
            <w:vAlign w:val="bottom"/>
          </w:tcPr>
          <w:p>
            <w:pPr>
              <w:spacing w:after="0"/>
              <w:rPr>
                <w:sz w:val="11"/>
                <w:szCs w:val="11"/>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Equity Compensation Plans(1)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w:t>
            </w:r>
          </w:p>
        </w:tc>
        <w:tc>
          <w:tcPr>
            <w:tcW w:w="216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rPr>
              <w:t>3,231,479(2)</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3"/>
                <w:szCs w:val="13"/>
                <w:color w:val="auto"/>
              </w:rPr>
              <w:t>$38.13(3)</w:t>
            </w:r>
          </w:p>
        </w:tc>
        <w:tc>
          <w:tcPr>
            <w:tcW w:w="2820" w:type="dxa"/>
            <w:vAlign w:val="bottom"/>
            <w:gridSpan w:val="4"/>
            <w:shd w:val="clear" w:color="auto" w:fill="CCEEFF"/>
          </w:tcPr>
          <w:p>
            <w:pPr>
              <w:jc w:val="right"/>
              <w:ind w:right="860"/>
              <w:spacing w:after="0"/>
              <w:rPr>
                <w:sz w:val="20"/>
                <w:szCs w:val="20"/>
                <w:color w:val="auto"/>
              </w:rPr>
            </w:pPr>
            <w:r>
              <w:rPr>
                <w:rFonts w:ascii="Arial" w:cs="Arial" w:eastAsia="Arial" w:hAnsi="Arial"/>
                <w:sz w:val="13"/>
                <w:szCs w:val="13"/>
                <w:color w:val="auto"/>
              </w:rPr>
              <w:t>3,218,585(4)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gridSpan w:val="2"/>
          </w:tcPr>
          <w:p>
            <w:pPr>
              <w:ind w:left="120"/>
              <w:spacing w:after="0"/>
              <w:rPr>
                <w:sz w:val="20"/>
                <w:szCs w:val="20"/>
                <w:color w:val="auto"/>
              </w:rPr>
            </w:pPr>
            <w:r>
              <w:rPr>
                <w:rFonts w:ascii="Arial" w:cs="Arial" w:eastAsia="Arial" w:hAnsi="Arial"/>
                <w:sz w:val="13"/>
                <w:szCs w:val="13"/>
                <w:color w:val="auto"/>
              </w:rPr>
              <w:t>stockholders</w:t>
            </w:r>
          </w:p>
        </w:tc>
        <w:tc>
          <w:tcPr>
            <w:tcW w:w="80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2"/>
          </w:tcPr>
          <w:p>
            <w:pPr>
              <w:jc w:val="right"/>
              <w:ind w:right="10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3,231,479</w:t>
            </w:r>
          </w:p>
        </w:tc>
        <w:tc>
          <w:tcPr>
            <w:tcW w:w="8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$38.13</w:t>
            </w:r>
          </w:p>
        </w:tc>
        <w:tc>
          <w:tcPr>
            <w:tcW w:w="6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3,218,585</w:t>
            </w: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00" w:hanging="247"/>
        <w:spacing w:after="0"/>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Excludes securities to be issued upon the exercise of outstanding options, warrants and rights.</w:t>
      </w:r>
    </w:p>
    <w:p>
      <w:pPr>
        <w:spacing w:after="0" w:line="50" w:lineRule="exact"/>
        <w:rPr>
          <w:rFonts w:ascii="Arial" w:cs="Arial" w:eastAsia="Arial" w:hAnsi="Arial"/>
          <w:sz w:val="13"/>
          <w:szCs w:val="13"/>
          <w:color w:val="auto"/>
        </w:rPr>
      </w:pPr>
    </w:p>
    <w:p>
      <w:pPr>
        <w:ind w:left="300" w:hanging="247"/>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Consists of (a) 72,921 shares of common stock underlying unvested Restricted Stock Units, (b) 162,345 shares of common stock underlying outstanding unvested contract stock,</w:t>
      </w:r>
    </w:p>
    <w:p>
      <w:pPr>
        <w:spacing w:after="0" w:line="32" w:lineRule="exact"/>
        <w:rPr>
          <w:rFonts w:ascii="Arial" w:cs="Arial" w:eastAsia="Arial" w:hAnsi="Arial"/>
          <w:sz w:val="12"/>
          <w:szCs w:val="12"/>
          <w:color w:val="auto"/>
        </w:rPr>
      </w:pPr>
    </w:p>
    <w:p>
      <w:pPr>
        <w:jc w:val="both"/>
        <w:ind w:left="300" w:right="360" w:firstLine="9"/>
        <w:spacing w:after="0" w:line="278" w:lineRule="auto"/>
        <w:tabs>
          <w:tab w:leader="none" w:pos="481" w:val="left"/>
        </w:tabs>
        <w:numPr>
          <w:ilvl w:val="1"/>
          <w:numId w:val="37"/>
        </w:numPr>
        <w:rPr>
          <w:rFonts w:ascii="Arial" w:cs="Arial" w:eastAsia="Arial" w:hAnsi="Arial"/>
          <w:sz w:val="12"/>
          <w:szCs w:val="12"/>
          <w:color w:val="auto"/>
        </w:rPr>
      </w:pPr>
      <w:r>
        <w:rPr>
          <w:rFonts w:ascii="Arial" w:cs="Arial" w:eastAsia="Arial" w:hAnsi="Arial"/>
          <w:sz w:val="12"/>
          <w:szCs w:val="12"/>
          <w:color w:val="auto"/>
        </w:rPr>
        <w:t>132,177 shares of common stock underlying outstanding unvested options, (d) 1,158,334 shares underlying vested and deferred Restricted Stock Units, (e) 278,551 shares underlying vested and deferred contract stock and (f) 1,427,151 shares of common stock underlying outstanding vested options. Of these amounts, the following securities are issuable under the 2003 Plan: (a) 1,231,255 shares of common stock underlying Restricted Stock Units, (b) 440,896 shares of common underlying contract stock and</w:t>
      </w:r>
    </w:p>
    <w:p>
      <w:pPr>
        <w:spacing w:after="0" w:line="1" w:lineRule="exact"/>
        <w:rPr>
          <w:rFonts w:ascii="Arial" w:cs="Arial" w:eastAsia="Arial" w:hAnsi="Arial"/>
          <w:sz w:val="12"/>
          <w:szCs w:val="12"/>
          <w:color w:val="auto"/>
        </w:rPr>
      </w:pPr>
    </w:p>
    <w:p>
      <w:pPr>
        <w:ind w:left="500" w:hanging="191"/>
        <w:spacing w:after="0"/>
        <w:tabs>
          <w:tab w:leader="none" w:pos="5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1,477,517 shares of common stock underlying outstanding options.</w:t>
      </w:r>
    </w:p>
    <w:p>
      <w:pPr>
        <w:spacing w:after="0" w:line="40" w:lineRule="exact"/>
        <w:rPr>
          <w:rFonts w:ascii="Arial" w:cs="Arial" w:eastAsia="Arial" w:hAnsi="Arial"/>
          <w:sz w:val="13"/>
          <w:szCs w:val="13"/>
          <w:color w:val="auto"/>
        </w:rPr>
      </w:pPr>
    </w:p>
    <w:p>
      <w:pPr>
        <w:ind w:left="300" w:hanging="247"/>
        <w:spacing w:after="0"/>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Excluding the Restricted Stock Units, performance stock and contract stock, the weighted average exercise price is $38.13.</w:t>
      </w:r>
    </w:p>
    <w:p>
      <w:pPr>
        <w:spacing w:after="0" w:line="50" w:lineRule="exact"/>
        <w:rPr>
          <w:rFonts w:ascii="Arial" w:cs="Arial" w:eastAsia="Arial" w:hAnsi="Arial"/>
          <w:sz w:val="13"/>
          <w:szCs w:val="13"/>
          <w:color w:val="auto"/>
        </w:rPr>
      </w:pPr>
    </w:p>
    <w:p>
      <w:pPr>
        <w:ind w:left="300" w:right="360" w:hanging="247"/>
        <w:spacing w:after="0" w:line="291"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1,068,792 shares of common stock which remain available for issuance under the Employee Stock Purchase Plan and 2,149,793 shares which remain available for issuance under the other Approved Plans, including 2,112,921 shares under the 2003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800" w:right="10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3" w:lineRule="exact"/>
        <w:rPr>
          <w:sz w:val="20"/>
          <w:szCs w:val="20"/>
          <w:color w:val="auto"/>
        </w:rPr>
      </w:pPr>
    </w:p>
    <w:p>
      <w:pPr>
        <w:ind w:right="140" w:firstLine="399"/>
        <w:spacing w:after="0" w:line="268" w:lineRule="auto"/>
        <w:rPr>
          <w:sz w:val="20"/>
          <w:szCs w:val="20"/>
          <w:color w:val="auto"/>
        </w:rPr>
      </w:pPr>
      <w:r>
        <w:rPr>
          <w:rFonts w:ascii="Arial" w:cs="Arial" w:eastAsia="Arial" w:hAnsi="Arial"/>
          <w:sz w:val="13"/>
          <w:szCs w:val="13"/>
          <w:color w:val="auto"/>
        </w:rPr>
        <w:t>Mr. Baltimore, Dr. Bradley and Mr. Moszkowski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Review and Approval of Related Person Transactions</w:t>
      </w:r>
    </w:p>
    <w:p>
      <w:pPr>
        <w:spacing w:after="0" w:line="103" w:lineRule="exact"/>
        <w:rPr>
          <w:sz w:val="20"/>
          <w:szCs w:val="20"/>
          <w:color w:val="auto"/>
        </w:rPr>
      </w:pPr>
    </w:p>
    <w:p>
      <w:pPr>
        <w:jc w:val="both"/>
        <w:ind w:right="40" w:firstLine="399"/>
        <w:spacing w:after="0" w:line="274" w:lineRule="auto"/>
        <w:rPr>
          <w:sz w:val="20"/>
          <w:szCs w:val="20"/>
          <w:color w:val="auto"/>
        </w:rPr>
      </w:pPr>
      <w:r>
        <w:rPr>
          <w:rFonts w:ascii="Arial" w:cs="Arial" w:eastAsia="Arial" w:hAnsi="Arial"/>
          <w:sz w:val="13"/>
          <w:szCs w:val="13"/>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59" w:lineRule="exact"/>
        <w:rPr>
          <w:sz w:val="20"/>
          <w:szCs w:val="20"/>
          <w:color w:val="auto"/>
        </w:rPr>
      </w:pPr>
    </w:p>
    <w:p>
      <w:pPr>
        <w:ind w:left="400" w:right="160" w:firstLine="390"/>
        <w:spacing w:after="0" w:line="291" w:lineRule="auto"/>
        <w:tabs>
          <w:tab w:leader="none" w:pos="965"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person who is, or at any time since the beginning of the Company’s last fiscal year was, a director or executive officer of the Company or a nominee to become a director of the Company;</w:t>
      </w:r>
    </w:p>
    <w:p>
      <w:pPr>
        <w:spacing w:after="0" w:line="48" w:lineRule="exact"/>
        <w:rPr>
          <w:rFonts w:ascii="Arial" w:cs="Arial" w:eastAsia="Arial" w:hAnsi="Arial"/>
          <w:sz w:val="13"/>
          <w:szCs w:val="13"/>
          <w:color w:val="auto"/>
        </w:rPr>
      </w:pPr>
    </w:p>
    <w:p>
      <w:pPr>
        <w:ind w:left="980" w:hanging="190"/>
        <w:spacing w:after="0"/>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person who is known to be the beneficial owner of more than 5% of any class of the Company’s voting securities;</w:t>
      </w:r>
    </w:p>
    <w:p>
      <w:pPr>
        <w:spacing w:after="0" w:line="100" w:lineRule="exact"/>
        <w:rPr>
          <w:rFonts w:ascii="Arial" w:cs="Arial" w:eastAsia="Arial" w:hAnsi="Arial"/>
          <w:sz w:val="13"/>
          <w:szCs w:val="13"/>
          <w:color w:val="auto"/>
        </w:rPr>
      </w:pPr>
    </w:p>
    <w:p>
      <w:pPr>
        <w:ind w:left="980" w:hanging="190"/>
        <w:spacing w:after="0"/>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immediate family member of any of the foregoing persons; and</w:t>
      </w:r>
    </w:p>
    <w:p>
      <w:pPr>
        <w:spacing w:after="0" w:line="100" w:lineRule="exact"/>
        <w:rPr>
          <w:rFonts w:ascii="Arial" w:cs="Arial" w:eastAsia="Arial" w:hAnsi="Arial"/>
          <w:sz w:val="13"/>
          <w:szCs w:val="13"/>
          <w:color w:val="auto"/>
        </w:rPr>
      </w:pPr>
    </w:p>
    <w:p>
      <w:pPr>
        <w:ind w:left="400" w:right="40" w:firstLine="390"/>
        <w:spacing w:after="0" w:line="291" w:lineRule="auto"/>
        <w:tabs>
          <w:tab w:leader="none" w:pos="972"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firm, corporation or other entity in which any of the foregoing persons is employed or is a partner or principal or in a similar position or in which such person has a 5% or greater beneficial ownership interest.</w:t>
      </w:r>
    </w:p>
    <w:p>
      <w:pPr>
        <w:spacing w:after="0" w:line="48" w:lineRule="exact"/>
        <w:rPr>
          <w:sz w:val="20"/>
          <w:szCs w:val="20"/>
          <w:color w:val="auto"/>
        </w:rPr>
      </w:pPr>
    </w:p>
    <w:p>
      <w:pPr>
        <w:ind w:right="160" w:firstLine="399"/>
        <w:spacing w:after="0" w:line="291" w:lineRule="auto"/>
        <w:rPr>
          <w:sz w:val="20"/>
          <w:szCs w:val="20"/>
          <w:color w:val="auto"/>
        </w:rPr>
      </w:pPr>
      <w:r>
        <w:rPr>
          <w:rFonts w:ascii="Arial" w:cs="Arial" w:eastAsia="Arial" w:hAnsi="Arial"/>
          <w:sz w:val="13"/>
          <w:szCs w:val="13"/>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8"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5" w:lineRule="exact"/>
        <w:rPr>
          <w:sz w:val="20"/>
          <w:szCs w:val="20"/>
          <w:color w:val="auto"/>
        </w:rPr>
      </w:pPr>
    </w:p>
    <w:p>
      <w:pPr>
        <w:jc w:val="both"/>
        <w:ind w:right="80" w:firstLine="399"/>
        <w:spacing w:after="0" w:line="307" w:lineRule="auto"/>
        <w:rPr>
          <w:sz w:val="20"/>
          <w:szCs w:val="20"/>
          <w:color w:val="auto"/>
        </w:rPr>
      </w:pPr>
      <w:r>
        <w:rPr>
          <w:rFonts w:ascii="Arial" w:cs="Arial" w:eastAsia="Arial" w:hAnsi="Arial"/>
          <w:sz w:val="12"/>
          <w:szCs w:val="12"/>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Related Person Transactions</w:t>
      </w:r>
    </w:p>
    <w:p>
      <w:pPr>
        <w:spacing w:after="0" w:line="103"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the Chairman and a principal stockholder of the Company. Dr. Caruso is the President of Provco Industries. The Company paid $250,830 in rent for this facility during 2010.</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58" w:right="10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3"/>
          <w:szCs w:val="13"/>
          <w:b w:val="1"/>
          <w:bCs w:val="1"/>
          <w:color w:val="auto"/>
        </w:rPr>
        <w:t>AUDIT COMMITTEE REPORT</w:t>
      </w:r>
    </w:p>
    <w:p>
      <w:pPr>
        <w:spacing w:after="0" w:line="103" w:lineRule="exact"/>
        <w:rPr>
          <w:sz w:val="20"/>
          <w:szCs w:val="20"/>
          <w:color w:val="auto"/>
        </w:rPr>
      </w:pPr>
    </w:p>
    <w:p>
      <w:pPr>
        <w:jc w:val="both"/>
        <w:ind w:right="100" w:firstLine="399"/>
        <w:spacing w:after="0" w:line="268" w:lineRule="auto"/>
        <w:rPr>
          <w:sz w:val="20"/>
          <w:szCs w:val="20"/>
          <w:color w:val="auto"/>
        </w:rPr>
      </w:pPr>
      <w:r>
        <w:rPr>
          <w:rFonts w:ascii="Arial" w:cs="Arial" w:eastAsia="Arial" w:hAnsi="Arial"/>
          <w:sz w:val="13"/>
          <w:szCs w:val="13"/>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63" w:lineRule="exact"/>
        <w:rPr>
          <w:sz w:val="20"/>
          <w:szCs w:val="20"/>
          <w:color w:val="auto"/>
        </w:rPr>
      </w:pPr>
    </w:p>
    <w:p>
      <w:pPr>
        <w:ind w:right="280" w:firstLine="399"/>
        <w:spacing w:after="0" w:line="336" w:lineRule="auto"/>
        <w:rPr>
          <w:sz w:val="20"/>
          <w:szCs w:val="20"/>
          <w:color w:val="auto"/>
        </w:rPr>
      </w:pPr>
      <w:r>
        <w:rPr>
          <w:rFonts w:ascii="Arial" w:cs="Arial" w:eastAsia="Arial" w:hAnsi="Arial"/>
          <w:sz w:val="12"/>
          <w:szCs w:val="12"/>
          <w:color w:val="auto"/>
        </w:rPr>
        <w:t>The purpose of the Audit Committee is to oversee the Company’s accounting and financial reporting process and the audits of the Company’s financial statements. The Audit Committee operates pursuant to a Charter that the Board amended and restated on October 29, 2010, a copy of which is available on the Company’s website.</w:t>
      </w:r>
    </w:p>
    <w:p>
      <w:pPr>
        <w:spacing w:after="0" w:line="24"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generally accepted accounting principles and on the effectiveness of the Company’s internal control over financial reporting. The Audit Committee’s responsibility is to monitor and oversee the Company’s financial reporting process.</w:t>
      </w:r>
    </w:p>
    <w:p>
      <w:pPr>
        <w:spacing w:after="0" w:line="66"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w:t>
      </w:r>
      <w:r>
        <w:rPr>
          <w:rFonts w:ascii="Arial" w:cs="Arial" w:eastAsia="Arial" w:hAnsi="Arial"/>
          <w:sz w:val="13"/>
          <w:szCs w:val="13"/>
          <w:i w:val="1"/>
          <w:iCs w:val="1"/>
          <w:color w:val="auto"/>
        </w:rPr>
        <w:t>,</w:t>
      </w:r>
      <w:r>
        <w:rPr>
          <w:rFonts w:ascii="Arial" w:cs="Arial" w:eastAsia="Arial" w:hAnsi="Arial"/>
          <w:sz w:val="13"/>
          <w:szCs w:val="13"/>
          <w:color w:val="auto"/>
        </w:rPr>
        <w:t xml:space="preserve">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67" w:lineRule="exact"/>
        <w:rPr>
          <w:sz w:val="20"/>
          <w:szCs w:val="20"/>
          <w:color w:val="auto"/>
        </w:rPr>
      </w:pPr>
    </w:p>
    <w:p>
      <w:pPr>
        <w:ind w:right="140" w:firstLine="399"/>
        <w:spacing w:after="0" w:line="274" w:lineRule="auto"/>
        <w:rPr>
          <w:sz w:val="20"/>
          <w:szCs w:val="20"/>
          <w:color w:val="auto"/>
        </w:rPr>
      </w:pPr>
      <w:r>
        <w:rPr>
          <w:rFonts w:ascii="Arial" w:cs="Arial" w:eastAsia="Arial" w:hAnsi="Arial"/>
          <w:sz w:val="13"/>
          <w:szCs w:val="13"/>
          <w:color w:val="auto"/>
        </w:rPr>
        <w:t>Based upon the review and discussions referred to above, the Audit Committee recommended to the Board of Directors that the audited financial statements of the Company for the fiscal year ended December 31, 2010 be included in the Company’s Annual Report on Form 10-K for such fiscal year, as filed with the Securities and Exchange Commission on February 24, 2011.</w:t>
      </w:r>
    </w:p>
    <w:p>
      <w:pPr>
        <w:spacing w:after="0" w:line="5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The Audit Committee of the Board of Directors</w:t>
      </w: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ANNE M. VANLENT (CHAIR)</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RAYMOND G. MURPHY</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CHRISTIAN S. SCHADE</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JAMES M. SULLIVAN</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58" w:right="10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3"/>
          <w:szCs w:val="13"/>
          <w:b w:val="1"/>
          <w:bCs w:val="1"/>
          <w:color w:val="auto"/>
        </w:rPr>
        <w:t>PRINCIPAL STOCKHOLDERS</w:t>
      </w:r>
    </w:p>
    <w:p>
      <w:pPr>
        <w:spacing w:after="0" w:line="103" w:lineRule="exact"/>
        <w:rPr>
          <w:sz w:val="20"/>
          <w:szCs w:val="20"/>
          <w:color w:val="auto"/>
        </w:rPr>
      </w:pPr>
    </w:p>
    <w:p>
      <w:pPr>
        <w:ind w:right="20" w:firstLine="399"/>
        <w:spacing w:after="0" w:line="293" w:lineRule="auto"/>
        <w:rPr>
          <w:sz w:val="20"/>
          <w:szCs w:val="20"/>
          <w:color w:val="auto"/>
        </w:rPr>
      </w:pPr>
      <w:r>
        <w:rPr>
          <w:rFonts w:ascii="Arial" w:cs="Arial" w:eastAsia="Arial" w:hAnsi="Arial"/>
          <w:sz w:val="12"/>
          <w:szCs w:val="12"/>
          <w:color w:val="auto"/>
        </w:rPr>
        <w:t>The following table sets forth certain information regarding the beneficial ownership of common stock as of February 28, 2011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0"/>
              </w:rPr>
              <w:t>Amount and Nature of Beneficial Ownership</w:t>
            </w:r>
          </w:p>
        </w:tc>
        <w:tc>
          <w:tcPr>
            <w:tcW w:w="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18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 and Address of Beneficial Owner</w:t>
            </w:r>
          </w:p>
        </w:tc>
        <w:tc>
          <w:tcPr>
            <w:tcW w:w="1780" w:type="dxa"/>
            <w:vAlign w:val="bottom"/>
            <w:gridSpan w:val="2"/>
          </w:tcPr>
          <w:p>
            <w:pPr>
              <w:jc w:val="right"/>
              <w:ind w:right="900"/>
              <w:spacing w:after="0" w:line="93" w:lineRule="exact"/>
              <w:rPr>
                <w:sz w:val="20"/>
                <w:szCs w:val="20"/>
                <w:color w:val="auto"/>
              </w:rPr>
            </w:pPr>
            <w:r>
              <w:rPr>
                <w:rFonts w:ascii="Arial" w:cs="Arial" w:eastAsia="Arial" w:hAnsi="Arial"/>
                <w:sz w:val="10"/>
                <w:szCs w:val="10"/>
                <w:b w:val="1"/>
                <w:bCs w:val="1"/>
                <w:color w:val="auto"/>
              </w:rPr>
              <w:t>Number of</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jc w:val="right"/>
              <w:ind w:right="95"/>
              <w:spacing w:after="0" w:line="93" w:lineRule="exact"/>
              <w:rPr>
                <w:sz w:val="20"/>
                <w:szCs w:val="20"/>
                <w:color w:val="auto"/>
              </w:rPr>
            </w:pPr>
            <w:r>
              <w:rPr>
                <w:rFonts w:ascii="Arial" w:cs="Arial" w:eastAsia="Arial" w:hAnsi="Arial"/>
                <w:sz w:val="10"/>
                <w:szCs w:val="10"/>
                <w:b w:val="1"/>
                <w:bCs w:val="1"/>
                <w:color w:val="auto"/>
              </w:rPr>
              <w:t>Percent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180" w:type="dxa"/>
            <w:vAlign w:val="bottom"/>
            <w:gridSpan w:val="2"/>
            <w:vMerge w:val="continue"/>
          </w:tcPr>
          <w:p>
            <w:pPr>
              <w:spacing w:after="0"/>
              <w:rPr>
                <w:sz w:val="11"/>
                <w:szCs w:val="11"/>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Shares Owned(1)</w:t>
            </w:r>
          </w:p>
        </w:tc>
        <w:tc>
          <w:tcPr>
            <w:tcW w:w="2140" w:type="dxa"/>
            <w:vAlign w:val="bottom"/>
            <w:gridSpan w:val="3"/>
          </w:tcPr>
          <w:p>
            <w:pPr>
              <w:ind w:left="280"/>
              <w:spacing w:after="0"/>
              <w:rPr>
                <w:sz w:val="20"/>
                <w:szCs w:val="20"/>
                <w:color w:val="auto"/>
              </w:rPr>
            </w:pPr>
            <w:r>
              <w:rPr>
                <w:rFonts w:ascii="Arial" w:cs="Arial" w:eastAsia="Arial" w:hAnsi="Arial"/>
                <w:sz w:val="11"/>
                <w:szCs w:val="11"/>
                <w:b w:val="1"/>
                <w:bCs w:val="1"/>
                <w:color w:val="auto"/>
              </w:rPr>
              <w:t>Right to Acquire(2)</w:t>
            </w:r>
          </w:p>
        </w:tc>
        <w:tc>
          <w:tcPr>
            <w:tcW w:w="1100" w:type="dxa"/>
            <w:vAlign w:val="bottom"/>
            <w:gridSpan w:val="2"/>
          </w:tcPr>
          <w:p>
            <w:pPr>
              <w:jc w:val="right"/>
              <w:ind w:right="800"/>
              <w:spacing w:after="0"/>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9"/>
              </w:rPr>
              <w:t>of Class(3)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14,034</w:t>
            </w:r>
          </w:p>
        </w:tc>
        <w:tc>
          <w:tcPr>
            <w:tcW w:w="52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14,034</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Keith Bradley, Ph.D.</w:t>
            </w:r>
          </w:p>
        </w:tc>
        <w:tc>
          <w:tcPr>
            <w:tcW w:w="1260" w:type="dxa"/>
            <w:vAlign w:val="bottom"/>
          </w:tcPr>
          <w:p>
            <w:pPr>
              <w:jc w:val="right"/>
              <w:spacing w:after="0"/>
              <w:rPr>
                <w:sz w:val="20"/>
                <w:szCs w:val="20"/>
                <w:color w:val="auto"/>
              </w:rPr>
            </w:pPr>
            <w:r>
              <w:rPr>
                <w:rFonts w:ascii="Arial" w:cs="Arial" w:eastAsia="Arial" w:hAnsi="Arial"/>
                <w:sz w:val="13"/>
                <w:szCs w:val="13"/>
                <w:color w:val="auto"/>
              </w:rPr>
              <w:t>446</w:t>
            </w:r>
          </w:p>
        </w:tc>
        <w:tc>
          <w:tcPr>
            <w:tcW w:w="5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5,625</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6,071</w:t>
            </w:r>
          </w:p>
        </w:tc>
        <w:tc>
          <w:tcPr>
            <w:tcW w:w="5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Richard E. Caruso, Ph.D.</w:t>
            </w: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6,661,614(4)</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26,851</w:t>
            </w: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6,688,465(4)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Stuart M. Essig</w:t>
            </w:r>
          </w:p>
        </w:tc>
        <w:tc>
          <w:tcPr>
            <w:tcW w:w="1780" w:type="dxa"/>
            <w:vAlign w:val="bottom"/>
            <w:gridSpan w:val="2"/>
          </w:tcPr>
          <w:p>
            <w:pPr>
              <w:jc w:val="right"/>
              <w:ind w:right="360"/>
              <w:spacing w:after="0"/>
              <w:rPr>
                <w:sz w:val="20"/>
                <w:szCs w:val="20"/>
                <w:color w:val="auto"/>
              </w:rPr>
            </w:pPr>
            <w:r>
              <w:rPr>
                <w:rFonts w:ascii="Arial" w:cs="Arial" w:eastAsia="Arial" w:hAnsi="Arial"/>
                <w:sz w:val="13"/>
                <w:szCs w:val="13"/>
                <w:color w:val="auto"/>
              </w:rPr>
              <w:t>840,312(5)</w:t>
            </w:r>
          </w:p>
        </w:tc>
        <w:tc>
          <w:tcPr>
            <w:tcW w:w="1940" w:type="dxa"/>
            <w:vAlign w:val="bottom"/>
            <w:gridSpan w:val="2"/>
          </w:tcPr>
          <w:p>
            <w:pPr>
              <w:jc w:val="right"/>
              <w:ind w:right="340"/>
              <w:spacing w:after="0"/>
              <w:rPr>
                <w:sz w:val="20"/>
                <w:szCs w:val="20"/>
                <w:color w:val="auto"/>
              </w:rPr>
            </w:pPr>
            <w:r>
              <w:rPr>
                <w:rFonts w:ascii="Arial" w:cs="Arial" w:eastAsia="Arial" w:hAnsi="Arial"/>
                <w:sz w:val="13"/>
                <w:szCs w:val="13"/>
                <w:color w:val="auto"/>
              </w:rPr>
              <w:t>1,114,880(6)</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1,955,192(5)</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Neal Moszkowski</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61,936</w:t>
            </w: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65,447</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Raymond G. Murphy</w:t>
            </w:r>
          </w:p>
        </w:tc>
        <w:tc>
          <w:tcPr>
            <w:tcW w:w="1260" w:type="dxa"/>
            <w:vAlign w:val="bottom"/>
          </w:tcPr>
          <w:p>
            <w:pPr>
              <w:jc w:val="right"/>
              <w:spacing w:after="0"/>
              <w:rPr>
                <w:sz w:val="20"/>
                <w:szCs w:val="20"/>
                <w:color w:val="auto"/>
              </w:rPr>
            </w:pPr>
            <w:r>
              <w:rPr>
                <w:rFonts w:ascii="Arial" w:cs="Arial" w:eastAsia="Arial" w:hAnsi="Arial"/>
                <w:sz w:val="13"/>
                <w:szCs w:val="13"/>
                <w:color w:val="auto"/>
              </w:rPr>
              <w:t>5,731</w:t>
            </w:r>
          </w:p>
        </w:tc>
        <w:tc>
          <w:tcPr>
            <w:tcW w:w="5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7,500</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13,231</w:t>
            </w:r>
          </w:p>
        </w:tc>
        <w:tc>
          <w:tcPr>
            <w:tcW w:w="5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Christian S. Schade</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35,625</w:t>
            </w: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40,125</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James M. Sullivan</w:t>
            </w:r>
          </w:p>
        </w:tc>
        <w:tc>
          <w:tcPr>
            <w:tcW w:w="1260" w:type="dxa"/>
            <w:vAlign w:val="bottom"/>
          </w:tcPr>
          <w:p>
            <w:pPr>
              <w:jc w:val="right"/>
              <w:spacing w:after="0"/>
              <w:rPr>
                <w:sz w:val="20"/>
                <w:szCs w:val="20"/>
                <w:color w:val="auto"/>
              </w:rPr>
            </w:pPr>
            <w:r>
              <w:rPr>
                <w:rFonts w:ascii="Arial" w:cs="Arial" w:eastAsia="Arial" w:hAnsi="Arial"/>
                <w:sz w:val="13"/>
                <w:szCs w:val="13"/>
                <w:color w:val="auto"/>
              </w:rPr>
              <w:t>8,671</w:t>
            </w:r>
          </w:p>
        </w:tc>
        <w:tc>
          <w:tcPr>
            <w:tcW w:w="5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25,664</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34,335</w:t>
            </w:r>
          </w:p>
        </w:tc>
        <w:tc>
          <w:tcPr>
            <w:tcW w:w="5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52,585</w:t>
            </w: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56,063</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Peter J. Arduini</w:t>
            </w:r>
          </w:p>
        </w:tc>
        <w:tc>
          <w:tcPr>
            <w:tcW w:w="178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2140" w:type="dxa"/>
            <w:vAlign w:val="bottom"/>
            <w:gridSpan w:val="3"/>
          </w:tcPr>
          <w:p>
            <w:pPr>
              <w:ind w:left="1300"/>
              <w:spacing w:after="0"/>
              <w:rPr>
                <w:sz w:val="20"/>
                <w:szCs w:val="20"/>
                <w:color w:val="auto"/>
              </w:rPr>
            </w:pPr>
            <w:r>
              <w:rPr>
                <w:rFonts w:ascii="Arial" w:cs="Arial" w:eastAsia="Arial" w:hAnsi="Arial"/>
                <w:sz w:val="13"/>
                <w:szCs w:val="13"/>
                <w:color w:val="auto"/>
              </w:rPr>
              <w:t>—(7)</w:t>
            </w:r>
          </w:p>
        </w:tc>
        <w:tc>
          <w:tcPr>
            <w:tcW w:w="11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120,656</w:t>
            </w:r>
          </w:p>
        </w:tc>
        <w:tc>
          <w:tcPr>
            <w:tcW w:w="5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40,625(8)</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161,281</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Gerard S. Carlozzi(9)</w:t>
            </w:r>
          </w:p>
        </w:tc>
        <w:tc>
          <w:tcPr>
            <w:tcW w:w="178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2140" w:type="dxa"/>
            <w:vAlign w:val="bottom"/>
            <w:gridSpan w:val="3"/>
          </w:tcPr>
          <w:p>
            <w:pPr>
              <w:ind w:left="1300"/>
              <w:spacing w:after="0"/>
              <w:rPr>
                <w:sz w:val="20"/>
                <w:szCs w:val="20"/>
                <w:color w:val="auto"/>
              </w:rPr>
            </w:pPr>
            <w:r>
              <w:rPr>
                <w:rFonts w:ascii="Arial" w:cs="Arial" w:eastAsia="Arial" w:hAnsi="Arial"/>
                <w:sz w:val="13"/>
                <w:szCs w:val="13"/>
                <w:color w:val="auto"/>
              </w:rPr>
              <w:t>—(8)</w:t>
            </w:r>
          </w:p>
        </w:tc>
        <w:tc>
          <w:tcPr>
            <w:tcW w:w="11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12,012</w:t>
            </w:r>
          </w:p>
        </w:tc>
        <w:tc>
          <w:tcPr>
            <w:tcW w:w="52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12,012</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Judith E. O’Grady</w:t>
            </w:r>
          </w:p>
        </w:tc>
        <w:tc>
          <w:tcPr>
            <w:tcW w:w="1260" w:type="dxa"/>
            <w:vAlign w:val="bottom"/>
          </w:tcPr>
          <w:p>
            <w:pPr>
              <w:jc w:val="right"/>
              <w:spacing w:after="0"/>
              <w:rPr>
                <w:sz w:val="20"/>
                <w:szCs w:val="20"/>
                <w:color w:val="auto"/>
              </w:rPr>
            </w:pPr>
            <w:r>
              <w:rPr>
                <w:rFonts w:ascii="Arial" w:cs="Arial" w:eastAsia="Arial" w:hAnsi="Arial"/>
                <w:sz w:val="13"/>
                <w:szCs w:val="13"/>
                <w:color w:val="auto"/>
              </w:rPr>
              <w:t>33,095</w:t>
            </w:r>
          </w:p>
        </w:tc>
        <w:tc>
          <w:tcPr>
            <w:tcW w:w="5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7,500</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40,595</w:t>
            </w:r>
          </w:p>
        </w:tc>
        <w:tc>
          <w:tcPr>
            <w:tcW w:w="5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All directors, nominees for director and executive officers as a group</w:t>
            </w:r>
          </w:p>
        </w:tc>
        <w:tc>
          <w:tcPr>
            <w:tcW w:w="1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(14 persons)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7,708,060(10)</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1,378,791(11)</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9,086,851(10)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FMR LLC and Edward C. Johnson 3d 82 Devonshire Street</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Boston, MA 02109</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2,398,244(12)</w:t>
            </w:r>
          </w:p>
        </w:tc>
        <w:tc>
          <w:tcPr>
            <w:tcW w:w="2140" w:type="dxa"/>
            <w:vAlign w:val="bottom"/>
            <w:gridSpan w:val="3"/>
          </w:tcPr>
          <w:p>
            <w:pPr>
              <w:jc w:val="right"/>
              <w:ind w:right="7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w w:val="96"/>
              </w:rPr>
              <w:t>2,398,244(12)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Provco Leasing Corporation</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1105 N. Market Street</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Suite 602</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Wilmington, DE 19801</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6,614,543(13)</w:t>
            </w: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6,614,543(13)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Tru St Partnership, L.P.</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795 East Lancaster Avenue Suite 200 Villanova, PA 19085</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6,591,205(14)</w:t>
            </w:r>
          </w:p>
        </w:tc>
        <w:tc>
          <w:tcPr>
            <w:tcW w:w="2140" w:type="dxa"/>
            <w:vAlign w:val="bottom"/>
            <w:gridSpan w:val="3"/>
          </w:tcPr>
          <w:p>
            <w:pPr>
              <w:jc w:val="right"/>
              <w:ind w:right="7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w w:val="96"/>
              </w:rPr>
              <w:t>6,591,205(14)</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Capital Research Global Investors</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333 South Hope Street Los Angeles, CA 90071</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2,387,096(15)</w:t>
            </w: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2,387,096(15)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BlackRock, Inc.</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55 East 52nd Street New York, NY 10055</w:t>
            </w:r>
          </w:p>
        </w:tc>
        <w:tc>
          <w:tcPr>
            <w:tcW w:w="1780" w:type="dxa"/>
            <w:vAlign w:val="bottom"/>
            <w:gridSpan w:val="2"/>
          </w:tcPr>
          <w:p>
            <w:pPr>
              <w:jc w:val="right"/>
              <w:ind w:right="300"/>
              <w:spacing w:after="0"/>
              <w:rPr>
                <w:sz w:val="20"/>
                <w:szCs w:val="20"/>
                <w:color w:val="auto"/>
              </w:rPr>
            </w:pPr>
            <w:r>
              <w:rPr>
                <w:rFonts w:ascii="Arial" w:cs="Arial" w:eastAsia="Arial" w:hAnsi="Arial"/>
                <w:sz w:val="13"/>
                <w:szCs w:val="13"/>
                <w:color w:val="auto"/>
              </w:rPr>
              <w:t>1,802,903(16)</w:t>
            </w:r>
          </w:p>
        </w:tc>
        <w:tc>
          <w:tcPr>
            <w:tcW w:w="2140" w:type="dxa"/>
            <w:vAlign w:val="bottom"/>
            <w:gridSpan w:val="3"/>
          </w:tcPr>
          <w:p>
            <w:pPr>
              <w:jc w:val="right"/>
              <w:ind w:right="7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w w:val="96"/>
              </w:rPr>
              <w:t>1,802,093(16)</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82042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30"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51" w:lineRule="exact"/>
        <w:rPr>
          <w:sz w:val="20"/>
          <w:szCs w:val="20"/>
          <w:color w:val="auto"/>
        </w:rPr>
      </w:pPr>
    </w:p>
    <w:p>
      <w:pPr>
        <w:ind w:left="4920" w:right="3540" w:hanging="4767"/>
        <w:spacing w:after="0" w:line="758" w:lineRule="auto"/>
        <w:tabs>
          <w:tab w:leader="none" w:pos="399"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Excludes shares that may be acquired through stock option exercises, restricted stock units or performance stock.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-105410</wp:posOffset>
            </wp:positionV>
            <wp:extent cx="72885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58" w:right="1019" w:bottom="1440" w:gutter="0" w:footer="0" w:header="0"/>
        </w:sectPr>
      </w:pPr>
    </w:p>
    <w:bookmarkStart w:id="63" w:name="page64"/>
    <w:bookmarkEnd w:id="63"/>
    <w:p>
      <w:pPr>
        <w:ind w:left="320" w:hanging="247"/>
        <w:spacing w:after="0" w:line="313"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Shares not outstanding but deemed beneficially owned by virtue of the right of an individual to acquire them within 60 days of February 28, 2011 upon the exercise of an option or other convertible security are treated as outstanding for purposes of determining beneficial ownership and the percentage beneficially owned by such individual.</w:t>
      </w:r>
    </w:p>
    <w:p>
      <w:pPr>
        <w:ind w:left="320" w:hanging="247"/>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As of February 28, 2011, we had 28,610,636 shares of common stock outstanding.</w:t>
      </w:r>
    </w:p>
    <w:p>
      <w:pPr>
        <w:spacing w:after="0" w:line="50" w:lineRule="exact"/>
        <w:rPr>
          <w:rFonts w:ascii="Arial" w:cs="Arial" w:eastAsia="Arial" w:hAnsi="Arial"/>
          <w:sz w:val="13"/>
          <w:szCs w:val="13"/>
          <w:color w:val="auto"/>
        </w:rPr>
      </w:pPr>
    </w:p>
    <w:p>
      <w:pPr>
        <w:ind w:left="320" w:right="40" w:hanging="247"/>
        <w:spacing w:after="0" w:line="292"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6,591,205 shares held by Tru St Partnership, L.P., a Pennsylvania limited partnership (“Tru St”) (also see footnote 13 below). Also includes 23,338 shares held by Provco Leasing Corporation (“Provco”), of which Dr. Caruso is President and sole director and 9,000 shares held by The Uncommon Individual Foundation, of which Dr. Caruso is the Chief Executive Officer. Provco is the corporate general partner of Tru St. Dr. Caruso may be deemed to have shared voting and dispositive power over the shares held by TRU ST and Provco. Also includes 38,071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1" w:lineRule="exact"/>
        <w:rPr>
          <w:rFonts w:ascii="Arial" w:cs="Arial" w:eastAsia="Arial" w:hAnsi="Arial"/>
          <w:sz w:val="12"/>
          <w:szCs w:val="12"/>
          <w:color w:val="auto"/>
        </w:rPr>
      </w:pPr>
    </w:p>
    <w:p>
      <w:pPr>
        <w:ind w:left="320" w:hanging="247"/>
        <w:spacing w:after="0" w:line="274"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w:t>
      </w:r>
    </w:p>
    <w:p>
      <w:pPr>
        <w:spacing w:after="0" w:line="8" w:lineRule="exact"/>
        <w:rPr>
          <w:rFonts w:ascii="Arial" w:cs="Arial" w:eastAsia="Arial" w:hAnsi="Arial"/>
          <w:sz w:val="13"/>
          <w:szCs w:val="13"/>
          <w:color w:val="auto"/>
        </w:rPr>
      </w:pPr>
    </w:p>
    <w:p>
      <w:pPr>
        <w:ind w:left="320" w:right="80" w:hanging="247"/>
        <w:spacing w:after="0" w:line="263"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Excludes outstanding Restricted Stock Units awarded to Mr. Essig in 2004, which entitle him to receive an aggregate of 750,000 shares of common stock. These 750,000 Restricted Stock Units held by Mr. Essig vested on the grant date, but are not yet deliverable and do not give him the right to acquire any shares within 60 days of February 28, 2011. Also excludes outstanding Restricted Stock Units awarded to Mr. Essig in August 2008, which entitle him to receive an aggregate of 375,000 shares of common stock. These 375,000 Restricted Stock Units held by Mr. Essig vested on the grant date, but are not yet deliverable and do not give him the right to acquire any shares within 60 days of February 28, 2011. Also excludes outstanding Restricted Stock Units awarded to Mr. Essig in December 2008 and December 2009, of which 33,334 units vested in December 2009 and 66,667 units vested in December 2010. These vested Restricted Stock Units are not yet deliverable and do not give him the right to acquire any shares within 60 days of February 28, 2011.</w:t>
      </w:r>
    </w:p>
    <w:p>
      <w:pPr>
        <w:spacing w:after="0" w:line="15" w:lineRule="exact"/>
        <w:rPr>
          <w:rFonts w:ascii="Arial" w:cs="Arial" w:eastAsia="Arial" w:hAnsi="Arial"/>
          <w:sz w:val="13"/>
          <w:szCs w:val="13"/>
          <w:color w:val="auto"/>
        </w:rPr>
      </w:pPr>
    </w:p>
    <w:p>
      <w:pPr>
        <w:ind w:left="320" w:right="140" w:hanging="247"/>
        <w:spacing w:after="0" w:line="313"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Excludes outstanding Restricted Stock Units awarded to the executive in November 2010 which entitle him to an aggregate of 34,130 shares of common stock. These Restricted Stock Units vested on the grant date, but are not yet deliverable and do not give the executive the right to acquire any shares within 60 days of February 28, 2011.</w:t>
      </w:r>
    </w:p>
    <w:p>
      <w:pPr>
        <w:ind w:left="320" w:right="200" w:hanging="247"/>
        <w:spacing w:after="0" w:line="313"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Excludes outstanding Restricted Stock Units awarded to the executive in December 2008 of which 44,439 units vested in December 2009 and 44,438 units vested in December 2010. These vested Restricted Stock Units are not yet deliverable and do not give the executive the right to acquire any shares within 60 days of February 28, 2011.</w:t>
      </w:r>
    </w:p>
    <w:p>
      <w:pPr>
        <w:ind w:left="320" w:hanging="247"/>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Carlozzi served as Chief Operating Officer until November 1, 2010 and as Executive Vice President until his retirement on January 4, 2011.</w:t>
      </w:r>
    </w:p>
    <w:p>
      <w:pPr>
        <w:spacing w:after="0" w:line="50" w:lineRule="exact"/>
        <w:rPr>
          <w:rFonts w:ascii="Arial" w:cs="Arial" w:eastAsia="Arial" w:hAnsi="Arial"/>
          <w:sz w:val="13"/>
          <w:szCs w:val="13"/>
          <w:color w:val="auto"/>
        </w:rPr>
      </w:pPr>
    </w:p>
    <w:p>
      <w:pPr>
        <w:ind w:left="320" w:hanging="314"/>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footnotes 4 and 5 above.</w:t>
      </w:r>
    </w:p>
    <w:p>
      <w:pPr>
        <w:spacing w:after="0" w:line="50" w:lineRule="exact"/>
        <w:rPr>
          <w:rFonts w:ascii="Arial" w:cs="Arial" w:eastAsia="Arial" w:hAnsi="Arial"/>
          <w:sz w:val="13"/>
          <w:szCs w:val="13"/>
          <w:color w:val="auto"/>
        </w:rPr>
      </w:pPr>
    </w:p>
    <w:p>
      <w:pPr>
        <w:ind w:left="320" w:hanging="309"/>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footnotes 6, 7 and 8 above.</w:t>
      </w:r>
    </w:p>
    <w:p>
      <w:pPr>
        <w:spacing w:after="0" w:line="50" w:lineRule="exact"/>
        <w:rPr>
          <w:rFonts w:ascii="Arial" w:cs="Arial" w:eastAsia="Arial" w:hAnsi="Arial"/>
          <w:sz w:val="13"/>
          <w:szCs w:val="13"/>
          <w:color w:val="auto"/>
        </w:rPr>
      </w:pPr>
    </w:p>
    <w:p>
      <w:pPr>
        <w:ind w:left="320" w:right="80" w:hanging="314"/>
        <w:spacing w:after="0" w:line="262"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FMR LLC, a holding company of investment companies, and Edward C. Johnson 3d each report beneficially owning and having sole dispositive power over 2,398,244 shares of which FMC LLC has sole voting power over 2,580 shares. Of the 2,398,244 shares, Fidelity Management &amp; Research Company (“Fidelity”), a wholly-owned subsidiary of FMR LLC and an investment adviser registered under Section 203 of the Investment Advisers Act of 1940 (the “1940 Act”), is the beneficial owner of 2,395,664 shares as a result of acting as such an investment advisor, Fidelity Magellan Fund (an investment company) owns 1,500,000 shares, Edward C. Johnson 3d and FMR LLC, through its control of Fidelity, and the funds each has sole dispositive power over 2,395,664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w:t>
      </w: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112395</wp:posOffset>
            </wp:positionV>
            <wp:extent cx="728853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00"/>
          </w:cols>
          <w:pgMar w:left="980" w:top="740" w:right="1019" w:bottom="1440" w:gutter="0" w:footer="0" w:header="0"/>
        </w:sectPr>
      </w:pPr>
    </w:p>
    <w:bookmarkStart w:id="64" w:name="page65"/>
    <w:bookmarkEnd w:id="64"/>
    <w:p>
      <w:pPr>
        <w:ind w:left="400" w:right="20"/>
        <w:spacing w:after="0" w:line="292" w:lineRule="auto"/>
        <w:rPr>
          <w:sz w:val="20"/>
          <w:szCs w:val="20"/>
          <w:color w:val="auto"/>
        </w:rPr>
      </w:pPr>
      <w:r>
        <w:rPr>
          <w:rFonts w:ascii="Arial" w:cs="Arial" w:eastAsia="Arial" w:hAnsi="Arial"/>
          <w:sz w:val="12"/>
          <w:szCs w:val="12"/>
          <w:color w:val="auto"/>
        </w:rPr>
        <w:t>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Strategic Advisers, Inc., a wholly</w:t>
      </w:r>
      <w:r>
        <w:rPr>
          <w:rFonts w:ascii="Arial" w:cs="Arial" w:eastAsia="Arial" w:hAnsi="Arial"/>
          <w:sz w:val="12"/>
          <w:szCs w:val="12"/>
          <w:b w:val="1"/>
          <w:bCs w:val="1"/>
          <w:color w:val="auto"/>
        </w:rPr>
        <w:t>-</w:t>
      </w:r>
      <w:r>
        <w:rPr>
          <w:rFonts w:ascii="Arial" w:cs="Arial" w:eastAsia="Arial" w:hAnsi="Arial"/>
          <w:sz w:val="12"/>
          <w:szCs w:val="12"/>
          <w:color w:val="auto"/>
        </w:rPr>
        <w:t>owned subsidiary of FMR LLC and an investment adviser registered under the 1940 Act, is the beneficial owner of 2,580 shares as a result of its serving as an investment advisor. The foregoing information has been included solely in reliance upon, and without independent investigation of, the disclosures contained in the Schedule 13G/A filed by FMR LLC with the Securities and Exchange Commission on February 14, 2011.</w:t>
      </w:r>
    </w:p>
    <w:p>
      <w:pPr>
        <w:spacing w:after="0" w:line="2" w:lineRule="exact"/>
        <w:rPr>
          <w:sz w:val="20"/>
          <w:szCs w:val="20"/>
          <w:color w:val="auto"/>
        </w:rPr>
      </w:pPr>
    </w:p>
    <w:p>
      <w:pPr>
        <w:ind w:left="400" w:right="80" w:hanging="314"/>
        <w:spacing w:after="0" w:line="289"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6,591,205 shares held by Tru St (see footnote 14 below), of which Provco is the general corporate partner. Provco may be deemed to have shared voting and dispositive power over these shares.</w:t>
      </w:r>
    </w:p>
    <w:p>
      <w:pPr>
        <w:ind w:left="400" w:right="200" w:hanging="314"/>
        <w:spacing w:after="0" w:line="274"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8" w:lineRule="exact"/>
        <w:rPr>
          <w:rFonts w:ascii="Arial" w:cs="Arial" w:eastAsia="Arial" w:hAnsi="Arial"/>
          <w:sz w:val="13"/>
          <w:szCs w:val="13"/>
          <w:color w:val="auto"/>
        </w:rPr>
      </w:pPr>
    </w:p>
    <w:p>
      <w:pPr>
        <w:jc w:val="both"/>
        <w:ind w:left="400" w:right="100" w:hanging="314"/>
        <w:spacing w:after="0" w:line="274"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Capital Research Global Investors, a division of Capital Research and Management Company, has sole voting and sole dispositive power over all of these shares. The foregoing information has been included solely in reliance upon, and without independent investigation of, the disclosures contained in the Schedule 13G filed by Capital Research Global Investors with the Securities and Exchange Commission on February 11, 2011.</w:t>
      </w:r>
    </w:p>
    <w:p>
      <w:pPr>
        <w:spacing w:after="0" w:line="8" w:lineRule="exact"/>
        <w:rPr>
          <w:rFonts w:ascii="Arial" w:cs="Arial" w:eastAsia="Arial" w:hAnsi="Arial"/>
          <w:sz w:val="13"/>
          <w:szCs w:val="13"/>
          <w:color w:val="auto"/>
        </w:rPr>
      </w:pPr>
    </w:p>
    <w:p>
      <w:pPr>
        <w:ind w:left="400" w:right="260" w:hanging="314"/>
        <w:spacing w:after="0" w:line="336" w:lineRule="auto"/>
        <w:tabs>
          <w:tab w:leader="none" w:pos="4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BlackRock, Inc. has sole voting and dispositive power over all of these shares. The foregoing information has been included solely in reliance upon, and without independent investigation of, the disclosures contained in the Schedule 13G filed by BlackRock, Inc. with the Securities and Exchange Commission on February 4, 2011.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3" w:lineRule="exact"/>
        <w:rPr>
          <w:sz w:val="20"/>
          <w:szCs w:val="20"/>
          <w:color w:val="auto"/>
        </w:rPr>
      </w:pPr>
    </w:p>
    <w:p>
      <w:pPr>
        <w:jc w:val="both"/>
        <w:ind w:right="60" w:firstLine="399"/>
        <w:spacing w:after="0" w:line="274" w:lineRule="auto"/>
        <w:rPr>
          <w:sz w:val="20"/>
          <w:szCs w:val="20"/>
          <w:color w:val="auto"/>
        </w:rPr>
      </w:pPr>
      <w:r>
        <w:rPr>
          <w:rFonts w:ascii="Arial" w:cs="Arial" w:eastAsia="Arial" w:hAnsi="Arial"/>
          <w:sz w:val="13"/>
          <w:szCs w:val="13"/>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59" w:lineRule="exact"/>
        <w:rPr>
          <w:sz w:val="20"/>
          <w:szCs w:val="20"/>
          <w:color w:val="auto"/>
        </w:rPr>
      </w:pPr>
    </w:p>
    <w:p>
      <w:pPr>
        <w:ind w:right="500" w:firstLine="399"/>
        <w:spacing w:after="0" w:line="291" w:lineRule="auto"/>
        <w:rPr>
          <w:sz w:val="20"/>
          <w:szCs w:val="20"/>
          <w:color w:val="auto"/>
        </w:rPr>
      </w:pPr>
      <w:r>
        <w:rPr>
          <w:rFonts w:ascii="Arial" w:cs="Arial" w:eastAsia="Arial" w:hAnsi="Arial"/>
          <w:sz w:val="13"/>
          <w:szCs w:val="13"/>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2010.</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STOCKHOLDER PROPOSALS</w:t>
      </w:r>
    </w:p>
    <w:p>
      <w:pPr>
        <w:spacing w:after="0" w:line="103"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color w:val="auto"/>
        </w:rPr>
        <w:t>The deadline for stockholders to submit proposals pursuant to Rule 14a-8 of the Exchange Act for inclusion in the Company’s proxy statement and form of proxy for the 2012 Annual Meeting of Stockholders is December 21, 2011. Such proposals must be sent to: Integra LifeSciences Holdings Corporation, 311 Enterprise Drive, Plainsboro, New Jersey 08536, Attention: Senior Vice President, General Counsel, Human Resources and Secretary. The date after which notice of a stockholder proposal submitted outside of the processes of</w:t>
      </w:r>
    </w:p>
    <w:p>
      <w:pPr>
        <w:spacing w:after="0" w:line="2" w:lineRule="exact"/>
        <w:rPr>
          <w:sz w:val="20"/>
          <w:szCs w:val="20"/>
          <w:color w:val="auto"/>
        </w:rPr>
      </w:pPr>
    </w:p>
    <w:p>
      <w:pPr>
        <w:jc w:val="both"/>
        <w:ind w:right="160"/>
        <w:spacing w:after="0" w:line="265" w:lineRule="auto"/>
        <w:rPr>
          <w:sz w:val="20"/>
          <w:szCs w:val="20"/>
          <w:color w:val="auto"/>
        </w:rPr>
      </w:pPr>
      <w:r>
        <w:rPr>
          <w:rFonts w:ascii="Arial" w:cs="Arial" w:eastAsia="Arial" w:hAnsi="Arial"/>
          <w:sz w:val="13"/>
          <w:szCs w:val="13"/>
          <w:color w:val="auto"/>
        </w:rPr>
        <w:t>Rule 14a-8 of the Exchange Act is considered untimely is December 21, 2011. If notice of a stockholder proposal submitted outside of the processes of Rule 14a-8 of the Exchange is received by the Company after December 21, 2011, then the Company’s proxy for the 2012 Annual Meeting of Stockholders may confer discretionary authority to vote on such matter without any discussion of such matter in the proxy statement for such annual meeting of stockholders.</w:t>
      </w:r>
    </w:p>
    <w:p>
      <w:pPr>
        <w:spacing w:after="0" w:line="65"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Our Bylaws require, among other things, that a stockholder may present a proposal at the 2012 Annual Meeting that is not included in the proxy statement if proper written notice is received by our Senior Vice President, General Counsel, Human Resources and Secretary at our principal executive offices between January 18, 2012 and the close of business on February 17, 2012. The proposal must contain the specific information required by our Bylaws. You may obtain a copy of the Bylaws by writing to our Senior Vice President, General Counsel, Human Resources and Secretary.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13"/>
          <w:szCs w:val="13"/>
          <w:b w:val="1"/>
          <w:bCs w:val="1"/>
          <w:color w:val="auto"/>
        </w:rPr>
        <w:t>OTHER MATTERS</w:t>
      </w:r>
    </w:p>
    <w:p>
      <w:pPr>
        <w:spacing w:after="0" w:line="103"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 xml:space="preserve">A copy of the Company’s 2010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t>
      </w:r>
      <w:r>
        <w:rPr>
          <w:rFonts w:ascii="Arial" w:cs="Arial" w:eastAsia="Arial" w:hAnsi="Arial"/>
          <w:sz w:val="12"/>
          <w:szCs w:val="12"/>
          <w:u w:val="single" w:color="auto"/>
          <w:color w:val="auto"/>
        </w:rPr>
        <w:t>www.integralife.com</w:t>
      </w:r>
      <w:r>
        <w:rPr>
          <w:rFonts w:ascii="Arial" w:cs="Arial" w:eastAsia="Arial" w:hAnsi="Arial"/>
          <w:sz w:val="12"/>
          <w:szCs w:val="12"/>
          <w:color w:val="auto"/>
        </w:rPr>
        <w:t xml:space="preserve"> through the “Investor Relations” link under the heading “Corporate Governance.”</w:t>
      </w:r>
    </w:p>
    <w:p>
      <w:pPr>
        <w:spacing w:after="0" w:line="39" w:lineRule="exact"/>
        <w:rPr>
          <w:sz w:val="20"/>
          <w:szCs w:val="20"/>
          <w:color w:val="auto"/>
        </w:rPr>
      </w:pPr>
    </w:p>
    <w:p>
      <w:pPr>
        <w:ind w:right="120" w:firstLine="399"/>
        <w:spacing w:after="0" w:line="269" w:lineRule="auto"/>
        <w:rPr>
          <w:sz w:val="20"/>
          <w:szCs w:val="20"/>
          <w:color w:val="auto"/>
        </w:rPr>
      </w:pPr>
      <w:r>
        <w:rPr>
          <w:rFonts w:ascii="Arial" w:cs="Arial" w:eastAsia="Arial" w:hAnsi="Arial"/>
          <w:sz w:val="13"/>
          <w:szCs w:val="13"/>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2010 as filed with the Securities and Exchange Commission on February 24, 2011.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03"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Richard D. Gorelick</w:t>
      </w:r>
    </w:p>
    <w:p>
      <w:pPr>
        <w:spacing w:after="0" w:line="31"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-93980</wp:posOffset>
            </wp:positionV>
            <wp:extent cx="37217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11" w:lineRule="exact"/>
        <w:rPr>
          <w:sz w:val="20"/>
          <w:szCs w:val="20"/>
          <w:color w:val="auto"/>
        </w:rPr>
      </w:pPr>
    </w:p>
    <w:p>
      <w:pPr>
        <w:ind w:left="5000"/>
        <w:spacing w:after="0"/>
        <w:rPr>
          <w:sz w:val="20"/>
          <w:szCs w:val="20"/>
          <w:color w:val="auto"/>
        </w:rPr>
      </w:pPr>
      <w:r>
        <w:rPr>
          <w:rFonts w:ascii="Arial" w:cs="Arial" w:eastAsia="Arial" w:hAnsi="Arial"/>
          <w:sz w:val="13"/>
          <w:szCs w:val="13"/>
          <w:i w:val="1"/>
          <w:iCs w:val="1"/>
          <w:color w:val="auto"/>
        </w:rPr>
        <w:t>Human Resources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Plainsboro, New Jersey</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April 14, 2011</w:t>
      </w: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00"/>
          </w:cols>
          <w:pgMar w:left="900" w:top="758" w:right="10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6"/>
          <w:szCs w:val="16"/>
          <w:b w:val="1"/>
          <w:bCs w:val="1"/>
          <w:color w:val="auto"/>
        </w:rPr>
        <w:t>ANNUAL MEETING OF STOCKHOLDERS 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May 17, 2011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NOTICE OF INTERNET AVAILABILITY OF PROXY MATERIAL</w:t>
      </w:r>
      <w:r>
        <w:rPr>
          <w:rFonts w:ascii="Arial" w:cs="Arial" w:eastAsia="Arial" w:hAnsi="Arial"/>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Notice of Meeting, proxy statement and proxy card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are available at http://investor.integralife.com/financials.cfm</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Your vote is very important to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Please sign, date and mail</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your proxy card in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envelope provided as soon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as possible.</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160" w:type="dxa"/>
            <w:vAlign w:val="bottom"/>
          </w:tcPr>
          <w:p>
            <w:pPr>
              <w:spacing w:after="0"/>
              <w:rPr>
                <w:sz w:val="12"/>
                <w:szCs w:val="12"/>
                <w:color w:val="auto"/>
              </w:rPr>
            </w:pPr>
          </w:p>
        </w:tc>
        <w:tc>
          <w:tcPr>
            <w:tcW w:w="4660" w:type="dxa"/>
            <w:vAlign w:val="bottom"/>
          </w:tcPr>
          <w:p>
            <w:pPr>
              <w:jc w:val="right"/>
              <w:ind w:right="273"/>
              <w:spacing w:after="0"/>
              <w:rPr>
                <w:sz w:val="20"/>
                <w:szCs w:val="20"/>
                <w:color w:val="auto"/>
              </w:rPr>
            </w:pPr>
            <w:r>
              <w:rPr>
                <w:rFonts w:ascii="Arial" w:cs="Arial" w:eastAsia="Arial" w:hAnsi="Arial"/>
                <w:sz w:val="11"/>
                <w:szCs w:val="11"/>
                <w:b w:val="1"/>
                <w:bCs w:val="1"/>
                <w:color w:val="auto"/>
              </w:rPr>
              <w:t xml:space="preserve">â </w:t>
            </w:r>
            <w:r>
              <w:rPr>
                <w:rFonts w:ascii="Arial" w:cs="Arial" w:eastAsia="Arial" w:hAnsi="Arial"/>
                <w:sz w:val="11"/>
                <w:szCs w:val="11"/>
                <w:color w:val="auto"/>
              </w:rPr>
              <w:t>Please detach along perforated line and mail in the envelope provided.</w:t>
            </w:r>
            <w:r>
              <w:rPr>
                <w:rFonts w:ascii="Arial" w:cs="Arial" w:eastAsia="Arial" w:hAnsi="Arial"/>
                <w:sz w:val="11"/>
                <w:szCs w:val="11"/>
                <w:b w:val="1"/>
                <w:bCs w:val="1"/>
                <w:color w:val="auto"/>
              </w:rPr>
              <w:t xml:space="preserve"> â</w:t>
            </w:r>
          </w:p>
        </w:tc>
      </w:tr>
      <w:tr>
        <w:trPr>
          <w:trHeight w:val="474"/>
        </w:trPr>
        <w:tc>
          <w:tcPr>
            <w:tcW w:w="3160" w:type="dxa"/>
            <w:vAlign w:val="bottom"/>
          </w:tcPr>
          <w:p>
            <w:pPr>
              <w:spacing w:after="0"/>
              <w:rPr>
                <w:sz w:val="20"/>
                <w:szCs w:val="20"/>
                <w:color w:val="auto"/>
              </w:rPr>
            </w:pPr>
            <w:r>
              <w:rPr>
                <w:rFonts w:ascii="Arial" w:cs="Arial" w:eastAsia="Arial" w:hAnsi="Arial"/>
                <w:sz w:val="40"/>
                <w:szCs w:val="40"/>
                <w:color w:val="auto"/>
                <w:vertAlign w:val="subscript"/>
              </w:rPr>
              <w:t>n</w:t>
            </w:r>
            <w:r>
              <w:rPr>
                <w:rFonts w:ascii="Arial" w:cs="Arial" w:eastAsia="Arial" w:hAnsi="Arial"/>
                <w:sz w:val="16"/>
                <w:szCs w:val="16"/>
                <w:color w:val="auto"/>
              </w:rPr>
              <w:t xml:space="preserve">  00003333333333304000  8</w:t>
            </w:r>
          </w:p>
        </w:tc>
        <w:tc>
          <w:tcPr>
            <w:tcW w:w="4660" w:type="dxa"/>
            <w:vAlign w:val="bottom"/>
          </w:tcPr>
          <w:p>
            <w:pPr>
              <w:jc w:val="right"/>
              <w:spacing w:after="0"/>
              <w:rPr>
                <w:sz w:val="20"/>
                <w:szCs w:val="20"/>
                <w:color w:val="auto"/>
              </w:rPr>
            </w:pPr>
            <w:r>
              <w:rPr>
                <w:rFonts w:ascii="Arial" w:cs="Arial" w:eastAsia="Arial" w:hAnsi="Arial"/>
                <w:sz w:val="16"/>
                <w:szCs w:val="16"/>
                <w:color w:val="auto"/>
              </w:rPr>
              <w:t>051711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821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2180" cy="6350"/>
                    </a:xfrm>
                    <a:prstGeom prst="rect">
                      <a:avLst/>
                    </a:prstGeom>
                    <a:noFill/>
                  </pic:spPr>
                </pic:pic>
              </a:graphicData>
            </a:graphic>
          </wp:anchor>
        </w:drawing>
      </w:r>
    </w:p>
    <w:p>
      <w:pPr>
        <w:jc w:val="center"/>
        <w:ind w:right="-19"/>
        <w:spacing w:after="0" w:line="232" w:lineRule="auto"/>
        <w:rPr>
          <w:sz w:val="20"/>
          <w:szCs w:val="20"/>
          <w:color w:val="auto"/>
        </w:rPr>
      </w:pPr>
      <w:r>
        <w:rPr>
          <w:rFonts w:ascii="Arial" w:cs="Arial" w:eastAsia="Arial" w:hAnsi="Arial"/>
          <w:sz w:val="9"/>
          <w:szCs w:val="9"/>
          <w:b w:val="1"/>
          <w:bCs w:val="1"/>
          <w:color w:val="auto"/>
        </w:rPr>
        <w:t>THE BOARD OF DIRECTORS RECOMMENDS A VOTE “FOR” ALL THE NOMINEES LISTED AND “FOR” PROPOSALS 2 AND 3.</w:t>
      </w:r>
    </w:p>
    <w:p>
      <w:pPr>
        <w:jc w:val="center"/>
        <w:ind w:right="-19"/>
        <w:spacing w:after="0"/>
        <w:rPr>
          <w:sz w:val="20"/>
          <w:szCs w:val="20"/>
          <w:color w:val="auto"/>
        </w:rPr>
      </w:pPr>
      <w:r>
        <w:rPr>
          <w:rFonts w:ascii="Arial" w:cs="Arial" w:eastAsia="Arial" w:hAnsi="Arial"/>
          <w:sz w:val="9"/>
          <w:szCs w:val="9"/>
          <w:b w:val="1"/>
          <w:bCs w:val="1"/>
          <w:color w:val="auto"/>
        </w:rPr>
        <w:t>NO RECOMMENDATION IS BEING MADE BY THE BOARD ON PROPOSAL 4.</w:t>
      </w:r>
    </w:p>
    <w:p>
      <w:pPr>
        <w:spacing w:after="0" w:line="9" w:lineRule="exact"/>
        <w:rPr>
          <w:sz w:val="20"/>
          <w:szCs w:val="20"/>
          <w:color w:val="auto"/>
        </w:rPr>
      </w:pPr>
    </w:p>
    <w:p>
      <w:pPr>
        <w:jc w:val="center"/>
        <w:ind w:right="-19"/>
        <w:spacing w:after="0" w:line="184" w:lineRule="exact"/>
        <w:rPr>
          <w:sz w:val="20"/>
          <w:szCs w:val="20"/>
          <w:color w:val="auto"/>
        </w:rPr>
      </w:pPr>
      <w:r>
        <w:rPr>
          <w:rFonts w:ascii="Arial" w:cs="Arial" w:eastAsia="Arial" w:hAnsi="Arial"/>
          <w:sz w:val="9"/>
          <w:szCs w:val="9"/>
          <w:b w:val="1"/>
          <w:bCs w:val="1"/>
          <w:color w:val="auto"/>
        </w:rPr>
        <w:t xml:space="preserve">PLEASE SIGN, DATE AND RETURN PROMPTLY IN THE ENCLOSED ENVELOPE. PLEASE MARK YOUR VOTE IN BLUE OR BLACK INK AS SHOWN HERE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82180" cy="2811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2180" cy="2811145"/>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p>
      <w:pPr>
        <w:spacing w:after="0" w:line="132" w:lineRule="exact"/>
        <w:rPr>
          <w:sz w:val="20"/>
          <w:szCs w:val="20"/>
          <w:color w:val="auto"/>
        </w:rPr>
      </w:pPr>
    </w:p>
    <w:p>
      <w:pPr>
        <w:ind w:left="6440" w:right="2560" w:hanging="526"/>
        <w:spacing w:after="0" w:line="499" w:lineRule="auto"/>
        <w:tabs>
          <w:tab w:leader="none" w:pos="6234"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Election of Directors: Thomas J. Baltimore, Jr. Keith Bradley Richard E. Caruso Stuart M. Essig</w:t>
      </w:r>
    </w:p>
    <w:p>
      <w:pPr>
        <w:spacing w:after="0" w:line="7" w:lineRule="exact"/>
        <w:rPr>
          <w:rFonts w:ascii="Arial" w:cs="Arial" w:eastAsia="Arial" w:hAnsi="Arial"/>
          <w:sz w:val="11"/>
          <w:szCs w:val="11"/>
          <w:color w:val="auto"/>
        </w:rPr>
      </w:pPr>
    </w:p>
    <w:p>
      <w:pPr>
        <w:ind w:left="6440" w:right="2740" w:firstLine="6"/>
        <w:spacing w:after="0" w:line="568" w:lineRule="auto"/>
        <w:rPr>
          <w:rFonts w:ascii="Arial" w:cs="Arial" w:eastAsia="Arial" w:hAnsi="Arial"/>
          <w:sz w:val="11"/>
          <w:szCs w:val="11"/>
          <w:color w:val="auto"/>
        </w:rPr>
      </w:pPr>
      <w:r>
        <w:rPr>
          <w:rFonts w:ascii="Arial" w:cs="Arial" w:eastAsia="Arial" w:hAnsi="Arial"/>
          <w:sz w:val="10"/>
          <w:szCs w:val="10"/>
          <w:color w:val="auto"/>
        </w:rPr>
        <w:t>Neal Moszkowski Raymond G. Murphy Christian S. Schade James M. Sullivan Anne M. VanLent</w:t>
      </w:r>
    </w:p>
    <w:p>
      <w:pPr>
        <w:spacing w:after="0" w:line="1" w:lineRule="exact"/>
        <w:rPr>
          <w:rFonts w:ascii="Arial" w:cs="Arial" w:eastAsia="Arial" w:hAnsi="Arial"/>
          <w:sz w:val="11"/>
          <w:szCs w:val="11"/>
          <w:color w:val="auto"/>
        </w:rPr>
      </w:pPr>
    </w:p>
    <w:p>
      <w:pPr>
        <w:ind w:left="6240" w:hanging="326"/>
        <w:spacing w:after="0" w:line="279" w:lineRule="auto"/>
        <w:tabs>
          <w:tab w:leader="none" w:pos="6240"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Proposal to ratify the appointment of PricewaterhouseCoopers LLP as the Company’s independent registered public accounting firm for the fiscal year 2011;</w:t>
      </w:r>
    </w:p>
    <w:p>
      <w:pPr>
        <w:spacing w:after="0" w:line="63" w:lineRule="exact"/>
        <w:rPr>
          <w:rFonts w:ascii="Arial" w:cs="Arial" w:eastAsia="Arial" w:hAnsi="Arial"/>
          <w:sz w:val="10"/>
          <w:szCs w:val="10"/>
          <w:color w:val="auto"/>
        </w:rPr>
      </w:pPr>
    </w:p>
    <w:p>
      <w:pPr>
        <w:ind w:left="6240" w:hanging="326"/>
        <w:spacing w:after="0" w:line="236" w:lineRule="auto"/>
        <w:tabs>
          <w:tab w:leader="none" w:pos="6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 non-binding resolution to approve the compensation of our named executive officers; and</w:t>
      </w:r>
    </w:p>
    <w:p>
      <w:pPr>
        <w:spacing w:after="0" w:line="106" w:lineRule="exact"/>
        <w:rPr>
          <w:sz w:val="20"/>
          <w:szCs w:val="20"/>
          <w:color w:val="auto"/>
        </w:rPr>
      </w:pPr>
    </w:p>
    <w:tbl>
      <w:tblPr>
        <w:tblLayout w:type="fixed"/>
        <w:tblInd w:w="5920" w:type="dxa"/>
        <w:tblCellMar>
          <w:top w:w="0" w:type="dxa"/>
          <w:left w:w="0" w:type="dxa"/>
          <w:bottom w:w="0" w:type="dxa"/>
          <w:right w:w="0" w:type="dxa"/>
        </w:tblCellMar>
      </w:tblPr>
      <w:tr>
        <w:trPr>
          <w:trHeight w:val="97"/>
        </w:trPr>
        <w:tc>
          <w:tcPr>
            <w:tcW w:w="2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60" w:type="dxa"/>
            <w:vAlign w:val="bottom"/>
          </w:tcPr>
          <w:p>
            <w:pPr>
              <w:jc w:val="center"/>
              <w:ind w:left="40"/>
              <w:spacing w:after="0"/>
              <w:rPr>
                <w:sz w:val="20"/>
                <w:szCs w:val="20"/>
                <w:color w:val="auto"/>
              </w:rPr>
            </w:pPr>
            <w:r>
              <w:rPr>
                <w:rFonts w:ascii="Arial" w:cs="Arial" w:eastAsia="Arial" w:hAnsi="Arial"/>
                <w:sz w:val="8"/>
                <w:szCs w:val="8"/>
                <w:color w:val="auto"/>
                <w:w w:val="98"/>
              </w:rPr>
              <w:t>3 years</w:t>
            </w:r>
          </w:p>
        </w:tc>
      </w:tr>
      <w:tr>
        <w:trPr>
          <w:trHeight w:val="160"/>
        </w:trPr>
        <w:tc>
          <w:tcPr>
            <w:tcW w:w="200" w:type="dxa"/>
            <w:vAlign w:val="bottom"/>
          </w:tcPr>
          <w:p>
            <w:pPr>
              <w:jc w:val="right"/>
              <w:ind w:right="72"/>
              <w:spacing w:after="0"/>
              <w:rPr>
                <w:sz w:val="20"/>
                <w:szCs w:val="20"/>
                <w:color w:val="auto"/>
              </w:rPr>
            </w:pPr>
            <w:r>
              <w:rPr>
                <w:rFonts w:ascii="Arial" w:cs="Arial" w:eastAsia="Arial" w:hAnsi="Arial"/>
                <w:sz w:val="10"/>
                <w:szCs w:val="10"/>
                <w:color w:val="auto"/>
                <w:w w:val="71"/>
              </w:rPr>
              <w:t>4.</w:t>
            </w:r>
          </w:p>
        </w:tc>
        <w:tc>
          <w:tcPr>
            <w:tcW w:w="3600" w:type="dxa"/>
            <w:vAlign w:val="bottom"/>
          </w:tcPr>
          <w:p>
            <w:pPr>
              <w:ind w:left="120"/>
              <w:spacing w:after="0"/>
              <w:rPr>
                <w:sz w:val="20"/>
                <w:szCs w:val="20"/>
                <w:color w:val="auto"/>
              </w:rPr>
            </w:pPr>
            <w:r>
              <w:rPr>
                <w:rFonts w:ascii="Arial" w:cs="Arial" w:eastAsia="Arial" w:hAnsi="Arial"/>
                <w:sz w:val="11"/>
                <w:szCs w:val="11"/>
                <w:color w:val="auto"/>
              </w:rPr>
              <w:t>A non-binding Proposal on the frequency of the advisory vote on the</w:t>
            </w:r>
          </w:p>
        </w:tc>
        <w:tc>
          <w:tcPr>
            <w:tcW w:w="360" w:type="dxa"/>
            <w:vAlign w:val="bottom"/>
          </w:tcPr>
          <w:p>
            <w:pPr>
              <w:jc w:val="center"/>
              <w:ind w:left="60"/>
              <w:spacing w:after="0" w:line="160" w:lineRule="exact"/>
              <w:rPr>
                <w:sz w:val="20"/>
                <w:szCs w:val="20"/>
                <w:color w:val="auto"/>
              </w:rPr>
            </w:pPr>
            <w:r>
              <w:rPr>
                <w:rFonts w:ascii="Arial" w:cs="Arial" w:eastAsia="Arial" w:hAnsi="Arial"/>
                <w:sz w:val="16"/>
                <w:szCs w:val="16"/>
                <w:color w:val="auto"/>
                <w:w w:val="89"/>
              </w:rPr>
              <w:t>o</w:t>
            </w:r>
          </w:p>
        </w:tc>
      </w:tr>
      <w:tr>
        <w:trPr>
          <w:trHeight w:val="129"/>
        </w:trPr>
        <w:tc>
          <w:tcPr>
            <w:tcW w:w="200" w:type="dxa"/>
            <w:vAlign w:val="bottom"/>
          </w:tcPr>
          <w:p>
            <w:pPr>
              <w:spacing w:after="0"/>
              <w:rPr>
                <w:sz w:val="11"/>
                <w:szCs w:val="11"/>
                <w:color w:val="auto"/>
              </w:rPr>
            </w:pPr>
          </w:p>
        </w:tc>
        <w:tc>
          <w:tcPr>
            <w:tcW w:w="3600" w:type="dxa"/>
            <w:vAlign w:val="bottom"/>
          </w:tcPr>
          <w:p>
            <w:pPr>
              <w:ind w:left="120"/>
              <w:spacing w:after="0"/>
              <w:rPr>
                <w:sz w:val="20"/>
                <w:szCs w:val="20"/>
                <w:color w:val="auto"/>
              </w:rPr>
            </w:pPr>
            <w:r>
              <w:rPr>
                <w:rFonts w:ascii="Arial" w:cs="Arial" w:eastAsia="Arial" w:hAnsi="Arial"/>
                <w:sz w:val="11"/>
                <w:szCs w:val="11"/>
                <w:color w:val="auto"/>
              </w:rPr>
              <w:t>compensation of our named executive officers.</w:t>
            </w:r>
          </w:p>
        </w:tc>
        <w:tc>
          <w:tcPr>
            <w:tcW w:w="3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7"/>
        </w:trPr>
        <w:tc>
          <w:tcPr>
            <w:tcW w:w="300" w:type="dxa"/>
            <w:vAlign w:val="bottom"/>
          </w:tcPr>
          <w:p>
            <w:pPr>
              <w:jc w:val="center"/>
              <w:spacing w:after="0"/>
              <w:rPr>
                <w:sz w:val="20"/>
                <w:szCs w:val="20"/>
                <w:color w:val="auto"/>
              </w:rPr>
            </w:pPr>
            <w:r>
              <w:rPr>
                <w:rFonts w:ascii="Arial" w:cs="Arial" w:eastAsia="Arial" w:hAnsi="Arial"/>
                <w:sz w:val="8"/>
                <w:szCs w:val="8"/>
                <w:color w:val="auto"/>
                <w:w w:val="94"/>
              </w:rPr>
              <w:t>FOR</w:t>
            </w:r>
          </w:p>
        </w:tc>
        <w:tc>
          <w:tcPr>
            <w:tcW w:w="760" w:type="dxa"/>
            <w:vAlign w:val="bottom"/>
            <w:gridSpan w:val="2"/>
          </w:tcPr>
          <w:p>
            <w:pPr>
              <w:ind w:left="20"/>
              <w:spacing w:after="0"/>
              <w:rPr>
                <w:sz w:val="20"/>
                <w:szCs w:val="20"/>
                <w:color w:val="auto"/>
              </w:rPr>
            </w:pPr>
            <w:r>
              <w:rPr>
                <w:rFonts w:ascii="Arial" w:cs="Arial" w:eastAsia="Arial" w:hAnsi="Arial"/>
                <w:sz w:val="8"/>
                <w:szCs w:val="8"/>
                <w:color w:val="auto"/>
              </w:rPr>
              <w:t>AGAINST ABSTAIN</w:t>
            </w:r>
          </w:p>
        </w:tc>
      </w:tr>
      <w:tr>
        <w:trPr>
          <w:trHeight w:val="214"/>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8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70"/>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331"/>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r>
        <w:trPr>
          <w:trHeight w:val="266"/>
        </w:trPr>
        <w:tc>
          <w:tcPr>
            <w:tcW w:w="300" w:type="dxa"/>
            <w:vAlign w:val="bottom"/>
          </w:tcPr>
          <w:p>
            <w:pPr>
              <w:jc w:val="center"/>
              <w:spacing w:after="0"/>
              <w:rPr>
                <w:sz w:val="20"/>
                <w:szCs w:val="20"/>
                <w:color w:val="auto"/>
              </w:rPr>
            </w:pPr>
            <w:r>
              <w:rPr>
                <w:rFonts w:ascii="Arial" w:cs="Arial" w:eastAsia="Arial" w:hAnsi="Arial"/>
                <w:sz w:val="8"/>
                <w:szCs w:val="8"/>
                <w:color w:val="auto"/>
                <w:w w:val="98"/>
              </w:rPr>
              <w:t>2 years</w:t>
            </w:r>
          </w:p>
        </w:tc>
        <w:tc>
          <w:tcPr>
            <w:tcW w:w="360" w:type="dxa"/>
            <w:vAlign w:val="bottom"/>
          </w:tcPr>
          <w:p>
            <w:pPr>
              <w:jc w:val="center"/>
              <w:spacing w:after="0"/>
              <w:rPr>
                <w:sz w:val="20"/>
                <w:szCs w:val="20"/>
                <w:color w:val="auto"/>
              </w:rPr>
            </w:pPr>
            <w:r>
              <w:rPr>
                <w:rFonts w:ascii="Arial" w:cs="Arial" w:eastAsia="Arial" w:hAnsi="Arial"/>
                <w:sz w:val="8"/>
                <w:szCs w:val="8"/>
                <w:color w:val="auto"/>
                <w:w w:val="98"/>
              </w:rPr>
              <w:t>1 year</w:t>
            </w:r>
          </w:p>
        </w:tc>
        <w:tc>
          <w:tcPr>
            <w:tcW w:w="400" w:type="dxa"/>
            <w:vAlign w:val="bottom"/>
          </w:tcPr>
          <w:p>
            <w:pPr>
              <w:jc w:val="center"/>
              <w:spacing w:after="0"/>
              <w:rPr>
                <w:sz w:val="20"/>
                <w:szCs w:val="20"/>
                <w:color w:val="auto"/>
              </w:rPr>
            </w:pPr>
            <w:r>
              <w:rPr>
                <w:rFonts w:ascii="Arial" w:cs="Arial" w:eastAsia="Arial" w:hAnsi="Arial"/>
                <w:sz w:val="8"/>
                <w:szCs w:val="8"/>
                <w:color w:val="auto"/>
                <w:w w:val="99"/>
              </w:rPr>
              <w:t>ABSTAIN</w:t>
            </w:r>
          </w:p>
        </w:tc>
      </w:tr>
      <w:tr>
        <w:trPr>
          <w:trHeight w:val="224"/>
        </w:trPr>
        <w:tc>
          <w:tcPr>
            <w:tcW w:w="3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o</w:t>
            </w:r>
          </w:p>
        </w:tc>
      </w:tr>
    </w:tbl>
    <w:p>
      <w:pPr>
        <w:spacing w:after="0" w:line="106" w:lineRule="exact"/>
        <w:rPr>
          <w:sz w:val="20"/>
          <w:szCs w:val="20"/>
          <w:color w:val="auto"/>
        </w:rPr>
      </w:pPr>
    </w:p>
    <w:p>
      <w:pPr>
        <w:sectPr>
          <w:pgSz w:w="11900" w:h="16838" w:orient="portrait"/>
          <w:cols w:equalWidth="0" w:num="2">
            <w:col w:w="10160" w:space="140"/>
            <w:col w:w="1160"/>
          </w:cols>
          <w:pgMar w:left="220" w:top="736" w:right="219" w:bottom="1440" w:gutter="0" w:footer="0" w:header="0"/>
          <w:type w:val="continuous"/>
        </w:sectPr>
      </w:pPr>
    </w:p>
    <w:p>
      <w:pPr>
        <w:spacing w:after="0" w:line="20" w:lineRule="exact"/>
        <w:rPr>
          <w:sz w:val="20"/>
          <w:szCs w:val="20"/>
          <w:color w:val="auto"/>
        </w:rPr>
      </w:pPr>
    </w:p>
    <w:p>
      <w:pPr>
        <w:jc w:val="both"/>
        <w:ind w:left="120"/>
        <w:spacing w:after="0" w:line="233" w:lineRule="auto"/>
        <w:rPr>
          <w:sz w:val="20"/>
          <w:szCs w:val="20"/>
          <w:color w:val="auto"/>
        </w:rPr>
      </w:pPr>
      <w:r>
        <w:rPr>
          <w:rFonts w:ascii="Arial" w:cs="Arial" w:eastAsia="Arial" w:hAnsi="Arial"/>
          <w:sz w:val="11"/>
          <w:szCs w:val="11"/>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jc w:val="both"/>
        <w:ind w:right="100"/>
        <w:spacing w:after="0" w:line="233" w:lineRule="auto"/>
        <w:rPr>
          <w:sz w:val="20"/>
          <w:szCs w:val="20"/>
          <w:color w:val="auto"/>
        </w:rPr>
      </w:pPr>
      <w:r>
        <w:rPr>
          <w:rFonts w:ascii="Arial" w:cs="Arial" w:eastAsia="Arial" w:hAnsi="Arial"/>
          <w:sz w:val="11"/>
          <w:szCs w:val="11"/>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85090</wp:posOffset>
            </wp:positionV>
            <wp:extent cx="998220" cy="133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98220" cy="13335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3">
            <w:col w:w="4580" w:space="660"/>
            <w:col w:w="80" w:space="600"/>
            <w:col w:w="5540"/>
          </w:cols>
          <w:pgMar w:left="220" w:top="736" w:right="219" w:bottom="1440" w:gutter="0" w:footer="0" w:header="0"/>
          <w:type w:val="continuous"/>
        </w:sectPr>
      </w:pPr>
    </w:p>
    <w:tbl>
      <w:tblPr>
        <w:tblLayout w:type="fixed"/>
        <w:tblInd w:w="120" w:type="dxa"/>
        <w:tblCellMar>
          <w:top w:w="0" w:type="dxa"/>
          <w:left w:w="0" w:type="dxa"/>
          <w:bottom w:w="0" w:type="dxa"/>
          <w:right w:w="0" w:type="dxa"/>
        </w:tblCellMar>
      </w:tblPr>
      <w:tr>
        <w:trPr>
          <w:trHeight w:val="190"/>
        </w:trPr>
        <w:tc>
          <w:tcPr>
            <w:tcW w:w="92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Signature of Stockholder</w:t>
            </w:r>
          </w:p>
        </w:tc>
        <w:tc>
          <w:tcPr>
            <w:tcW w:w="2820" w:type="dxa"/>
            <w:vAlign w:val="bottom"/>
            <w:tcBorders>
              <w:top w:val="single" w:sz="8" w:color="auto"/>
              <w:bottom w:val="single" w:sz="8" w:color="auto"/>
              <w:right w:val="single" w:sz="8" w:color="auto"/>
            </w:tcBorders>
          </w:tcPr>
          <w:p>
            <w:pPr>
              <w:spacing w:after="0"/>
              <w:rPr>
                <w:sz w:val="16"/>
                <w:szCs w:val="16"/>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Date:</w:t>
            </w:r>
          </w:p>
        </w:tc>
        <w:tc>
          <w:tcPr>
            <w:tcW w:w="1420" w:type="dxa"/>
            <w:vAlign w:val="bottom"/>
            <w:tcBorders>
              <w:top w:val="single" w:sz="8" w:color="auto"/>
              <w:bottom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Signature of Stockholder</w:t>
            </w:r>
          </w:p>
        </w:tc>
        <w:tc>
          <w:tcPr>
            <w:tcW w:w="3080" w:type="dxa"/>
            <w:vAlign w:val="bottom"/>
            <w:tcBorders>
              <w:top w:val="single" w:sz="8" w:color="auto"/>
              <w:bottom w:val="single" w:sz="8" w:color="auto"/>
              <w:right w:val="single" w:sz="8" w:color="auto"/>
            </w:tcBorders>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8"/>
                <w:szCs w:val="8"/>
                <w:color w:val="auto"/>
                <w:w w:val="83"/>
              </w:rPr>
              <w:t>Date: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0" w:type="dxa"/>
            <w:vAlign w:val="bottom"/>
            <w:vMerge w:val="restart"/>
          </w:tcPr>
          <w:p>
            <w:pPr>
              <w:ind w:left="120"/>
              <w:spacing w:after="0" w:line="215" w:lineRule="exact"/>
              <w:rPr>
                <w:sz w:val="20"/>
                <w:szCs w:val="20"/>
                <w:color w:val="auto"/>
              </w:rPr>
            </w:pPr>
            <w:r>
              <w:rPr>
                <w:rFonts w:ascii="Arial" w:cs="Arial" w:eastAsia="Arial" w:hAnsi="Arial"/>
                <w:sz w:val="20"/>
                <w:szCs w:val="20"/>
                <w:color w:val="auto"/>
                <w:w w:val="71"/>
              </w:rPr>
              <w:t>n</w:t>
            </w:r>
          </w:p>
        </w:tc>
        <w:tc>
          <w:tcPr>
            <w:tcW w:w="11000" w:type="dxa"/>
            <w:vAlign w:val="bottom"/>
          </w:tcPr>
          <w:p>
            <w:pPr>
              <w:spacing w:after="0"/>
              <w:rPr>
                <w:sz w:val="20"/>
                <w:szCs w:val="20"/>
                <w:color w:val="auto"/>
              </w:rPr>
            </w:pPr>
            <w:r>
              <w:rPr>
                <w:rFonts w:ascii="Arial" w:cs="Arial" w:eastAsia="Arial" w:hAnsi="Arial"/>
                <w:sz w:val="8"/>
                <w:szCs w:val="8"/>
                <w:b w:val="1"/>
                <w:bCs w:val="1"/>
                <w:color w:val="auto"/>
              </w:rPr>
              <w:t xml:space="preserve">Note:   </w:t>
            </w:r>
            <w:r>
              <w:rPr>
                <w:rFonts w:ascii="Arial" w:cs="Arial" w:eastAsia="Arial" w:hAnsi="Arial"/>
                <w:sz w:val="8"/>
                <w:szCs w:val="8"/>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0" w:type="dxa"/>
            <w:vAlign w:val="bottom"/>
            <w:vMerge w:val="continue"/>
          </w:tcPr>
          <w:p>
            <w:pPr>
              <w:spacing w:after="0"/>
              <w:rPr>
                <w:sz w:val="6"/>
                <w:szCs w:val="6"/>
                <w:color w:val="auto"/>
              </w:rPr>
            </w:pPr>
          </w:p>
        </w:tc>
        <w:tc>
          <w:tcPr>
            <w:tcW w:w="11000" w:type="dxa"/>
            <w:vAlign w:val="bottom"/>
            <w:vMerge w:val="restart"/>
          </w:tcPr>
          <w:p>
            <w:pPr>
              <w:ind w:left="340"/>
              <w:spacing w:after="0"/>
              <w:rPr>
                <w:sz w:val="20"/>
                <w:szCs w:val="20"/>
                <w:color w:val="auto"/>
              </w:rPr>
            </w:pPr>
            <w:r>
              <w:rPr>
                <w:rFonts w:ascii="Arial" w:cs="Arial" w:eastAsia="Arial" w:hAnsi="Arial"/>
                <w:sz w:val="8"/>
                <w:szCs w:val="8"/>
                <w:color w:val="auto"/>
              </w:rPr>
              <w:t>officer, giving full title as such. If signer is a partnership, please sign in partnership name by authorized person.</w:t>
            </w:r>
          </w:p>
        </w:tc>
        <w:tc>
          <w:tcPr>
            <w:tcW w:w="240" w:type="dxa"/>
            <w:vAlign w:val="bottom"/>
            <w:vMerge w:val="restart"/>
          </w:tcPr>
          <w:p>
            <w:pPr>
              <w:ind w:left="40"/>
              <w:spacing w:after="0"/>
              <w:rPr>
                <w:sz w:val="20"/>
                <w:szCs w:val="20"/>
                <w:color w:val="auto"/>
              </w:rPr>
            </w:pPr>
            <w:r>
              <w:rPr>
                <w:rFonts w:ascii="Arial" w:cs="Arial" w:eastAsia="Arial" w:hAnsi="Arial"/>
                <w:sz w:val="20"/>
                <w:szCs w:val="20"/>
                <w:color w:val="auto"/>
              </w:rPr>
              <w:t>n</w:t>
            </w: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110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10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20" w:type="dxa"/>
            <w:vAlign w:val="bottom"/>
            <w:tcBorders>
              <w:bottom w:val="single" w:sz="8" w:color="808080"/>
            </w:tcBorders>
          </w:tcPr>
          <w:p>
            <w:pPr>
              <w:spacing w:after="0"/>
              <w:rPr>
                <w:sz w:val="24"/>
                <w:szCs w:val="24"/>
                <w:color w:val="auto"/>
              </w:rPr>
            </w:pPr>
          </w:p>
        </w:tc>
        <w:tc>
          <w:tcPr>
            <w:tcW w:w="110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CARD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INTEGRA LIFESCIENCES HOLDINGS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311 ENTERPRISE DRIVE</w:t>
      </w:r>
    </w:p>
    <w:p>
      <w:pPr>
        <w:jc w:val="center"/>
        <w:spacing w:after="0" w:line="222" w:lineRule="auto"/>
        <w:rPr>
          <w:sz w:val="20"/>
          <w:szCs w:val="20"/>
          <w:color w:val="auto"/>
        </w:rPr>
      </w:pPr>
      <w:r>
        <w:rPr>
          <w:rFonts w:ascii="Arial" w:cs="Arial" w:eastAsia="Arial" w:hAnsi="Arial"/>
          <w:sz w:val="15"/>
          <w:szCs w:val="15"/>
          <w:b w:val="1"/>
          <w:bCs w:val="1"/>
          <w:color w:val="auto"/>
        </w:rPr>
        <w:t>PLAINSBORO, NEW JERSEY 08536</w:t>
      </w:r>
    </w:p>
    <w:p>
      <w:pPr>
        <w:jc w:val="center"/>
        <w:spacing w:after="0" w:line="223" w:lineRule="auto"/>
        <w:rPr>
          <w:sz w:val="20"/>
          <w:szCs w:val="20"/>
          <w:color w:val="auto"/>
        </w:rPr>
      </w:pPr>
      <w:r>
        <w:rPr>
          <w:rFonts w:ascii="Arial" w:cs="Arial" w:eastAsia="Arial" w:hAnsi="Arial"/>
          <w:sz w:val="15"/>
          <w:szCs w:val="15"/>
          <w:b w:val="1"/>
          <w:bCs w:val="1"/>
          <w:color w:val="auto"/>
        </w:rPr>
        <w:t>PROXY - Annual Meeting of Stockholders - Tuesday, May 17,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ON BEHALF OF THE BOARD OF DIRECTORS</w:t>
      </w:r>
    </w:p>
    <w:p>
      <w:pPr>
        <w:spacing w:after="0" w:line="68" w:lineRule="exact"/>
        <w:rPr>
          <w:sz w:val="20"/>
          <w:szCs w:val="20"/>
          <w:color w:val="auto"/>
        </w:rPr>
      </w:pPr>
    </w:p>
    <w:p>
      <w:pPr>
        <w:jc w:val="both"/>
        <w:ind w:firstLine="330"/>
        <w:spacing w:after="0" w:line="230" w:lineRule="auto"/>
        <w:rPr>
          <w:sz w:val="20"/>
          <w:szCs w:val="20"/>
          <w:color w:val="auto"/>
        </w:rPr>
      </w:pPr>
      <w:r>
        <w:rPr>
          <w:rFonts w:ascii="Arial" w:cs="Arial" w:eastAsia="Arial" w:hAnsi="Arial"/>
          <w:sz w:val="15"/>
          <w:szCs w:val="15"/>
          <w:color w:val="auto"/>
        </w:rPr>
        <w:t>The undersigned hereby appoints Stuart M. Essig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2011 at the Annual Meeting of Stockholders to be held on Tuesday, May 17, 2011 or at any adjournment or postponement thereof.</w:t>
      </w:r>
    </w:p>
    <w:p>
      <w:pPr>
        <w:spacing w:after="0" w:line="47" w:lineRule="exact"/>
        <w:rPr>
          <w:sz w:val="20"/>
          <w:szCs w:val="20"/>
          <w:color w:val="auto"/>
        </w:rPr>
      </w:pPr>
    </w:p>
    <w:p>
      <w:pPr>
        <w:jc w:val="both"/>
        <w:ind w:firstLine="245"/>
        <w:spacing w:after="0" w:line="25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MADE ON THIS PROXY WHEN PROPERLY EXECUTED, THIS PROXY WILL BE VOTED IN FAVOR OF PROPOSALS 2 AND 3, BUT WILL NOT BE VOTED FOR ANY VOTING FREQUENCY ON PROPOSAL 4; FOR ALL NOMINEES LISTED FOR ELECTION OF DIRECTORS UNDER PROPOSAL 1; AND IN ACCORDANCE WITH THE PROXIES’ JUDGMENT UPON OTHER MATTERS PROPERLY COMING BEFORE THE MEETING AND ANY ADJOURNMENT OR POSTPONEMENT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signed on the reverse side.)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tcPr>
          <w:p>
            <w:pPr>
              <w:spacing w:after="0"/>
              <w:rPr>
                <w:sz w:val="20"/>
                <w:szCs w:val="20"/>
                <w:color w:val="auto"/>
              </w:rPr>
            </w:pPr>
            <w:r>
              <w:rPr>
                <w:rFonts w:ascii="Arial" w:cs="Arial" w:eastAsia="Arial" w:hAnsi="Arial"/>
                <w:sz w:val="20"/>
                <w:szCs w:val="20"/>
                <w:color w:val="auto"/>
              </w:rPr>
              <w:t>n</w:t>
            </w:r>
          </w:p>
        </w:tc>
        <w:tc>
          <w:tcPr>
            <w:tcW w:w="5840" w:type="dxa"/>
            <w:vAlign w:val="bottom"/>
            <w:vMerge w:val="restart"/>
          </w:tcPr>
          <w:p>
            <w:pPr>
              <w:jc w:val="right"/>
              <w:spacing w:after="0"/>
              <w:rPr>
                <w:sz w:val="20"/>
                <w:szCs w:val="20"/>
                <w:color w:val="auto"/>
              </w:rPr>
            </w:pPr>
            <w:r>
              <w:rPr>
                <w:rFonts w:ascii="Arial" w:cs="Arial" w:eastAsia="Arial" w:hAnsi="Arial"/>
                <w:sz w:val="16"/>
                <w:szCs w:val="16"/>
                <w:color w:val="auto"/>
              </w:rPr>
              <w:t>14475</w:t>
            </w:r>
          </w:p>
        </w:tc>
        <w:tc>
          <w:tcPr>
            <w:tcW w:w="160" w:type="dxa"/>
            <w:vAlign w:val="bottom"/>
            <w:vMerge w:val="restart"/>
          </w:tcPr>
          <w:p>
            <w:pPr>
              <w:ind w:left="60"/>
              <w:spacing w:after="0"/>
              <w:rPr>
                <w:sz w:val="20"/>
                <w:szCs w:val="20"/>
                <w:color w:val="auto"/>
              </w:rPr>
            </w:pPr>
            <w:r>
              <w:rPr>
                <w:rFonts w:ascii="Arial" w:cs="Arial" w:eastAsia="Arial" w:hAnsi="Arial"/>
                <w:sz w:val="20"/>
                <w:szCs w:val="20"/>
                <w:color w:val="auto"/>
                <w:w w:val="71"/>
              </w:rPr>
              <w:t>n</w:t>
            </w: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o"/>
      <w:numFmt w:val="bullet"/>
      <w:start w:val="1"/>
    </w:lvl>
    <w:lvl w:ilvl="1">
      <w:lvlJc w:val="left"/>
      <w:lvlText w:val="(%2)"/>
      <w:numFmt w:val="decimal"/>
      <w:start w:val="1"/>
    </w:lvl>
  </w:abstractNum>
  <w:abstractNum w:abstractNumId="3">
    <w:nsid w:val="75A2A8D4"/>
    <w:multiLevelType w:val="hybridMultilevel"/>
    <w:lvl w:ilvl="0">
      <w:lvlJc w:val="left"/>
      <w:lvlText w:val="(%1)"/>
      <w:numFmt w:val="lowerRoman"/>
      <w:start w:val="1"/>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lvl w:ilvl="1">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2"/>
    </w:lvl>
  </w:abstractNum>
  <w:abstractNum w:abstractNumId="20">
    <w:nsid w:val="22221A70"/>
    <w:multiLevelType w:val="hybridMultilevel"/>
    <w:lvl w:ilvl="0">
      <w:lvlJc w:val="left"/>
      <w:lvlText w:val="(%1)"/>
      <w:numFmt w:val="lowerRoman"/>
      <w:start w:val="2"/>
    </w:lvl>
  </w:abstractNum>
  <w:abstractNum w:abstractNumId="21">
    <w:nsid w:val="4516DDE9"/>
    <w:multiLevelType w:val="hybridMultilevel"/>
    <w:lvl w:ilvl="0">
      <w:lvlJc w:val="left"/>
      <w:lvlText w:val="(%1)"/>
      <w:numFmt w:val="lowerRoman"/>
      <w:start w:val="4"/>
    </w:lvl>
  </w:abstractNum>
  <w:abstractNum w:abstractNumId="22">
    <w:nsid w:val="3006C83E"/>
    <w:multiLevelType w:val="hybridMultilevel"/>
    <w:lvl w:ilvl="0">
      <w:lvlJc w:val="left"/>
      <w:lvlText w:val="(%1)"/>
      <w:numFmt w:val="lowerRoman"/>
      <w:start w:val="2"/>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9"/>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7"/>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lowerRoman"/>
      <w:start w:val="4"/>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lvl w:ilvl="1">
      <w:lvlJc w:val="left"/>
      <w:lvlText w:val="(%2)"/>
      <w:numFmt w:val="lowerLetter"/>
      <w:start w:val="3"/>
    </w:lvl>
  </w:abstractNum>
  <w:abstractNum w:abstractNumId="37">
    <w:nsid w:val="153EA438"/>
    <w:multiLevelType w:val="hybridMultilevel"/>
    <w:lvl w:ilvl="0">
      <w:lvlJc w:val="left"/>
      <w:lvlText w:val="%1"/>
      <w:numFmt w:val="decimal"/>
      <w:start w:val="1"/>
    </w:lvl>
    <w:lvl w:ilvl="1">
      <w:lvlJc w:val="left"/>
      <w:lvlText w:val="(%2)"/>
      <w:numFmt w:val="lowerLetter"/>
      <w:start w:val="3"/>
    </w:lvl>
  </w:abstractNum>
  <w:abstractNum w:abstractNumId="38">
    <w:nsid w:val="3855585C"/>
    <w:multiLevelType w:val="hybridMultilevel"/>
    <w:lvl w:ilvl="0">
      <w:lvlJc w:val="left"/>
      <w:lvlText w:val="(%1)"/>
      <w:numFmt w:val="decimal"/>
      <w:start w:val="3"/>
    </w:lvl>
    <w:lvl w:ilvl="1">
      <w:lvlJc w:val="left"/>
      <w:lvlText w:val="%2"/>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1)"/>
      <w:numFmt w:val="decimal"/>
      <w:start w:val="13"/>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2019-12-10T13:13:45Z</dcterms:created>
  <dcterms:modified xsi:type="dcterms:W3CDTF">2019-12-10T13:13:45Z</dcterms:modified>
</cp:coreProperties>
</file>