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July 29, 2010</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Integra LifeSciences Holdings Corporation</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280" w:type="dxa"/>
        <w:tblCellMar>
          <w:top w:w="0" w:type="dxa"/>
          <w:left w:w="0" w:type="dxa"/>
          <w:bottom w:w="0" w:type="dxa"/>
          <w:right w:w="0" w:type="dxa"/>
        </w:tblCellMar>
      </w:tblP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60" w:type="dxa"/>
            <w:vAlign w:val="bottom"/>
          </w:tcPr>
          <w:p>
            <w:pPr>
              <w:jc w:val="right"/>
              <w:ind w:right="1932"/>
              <w:spacing w:after="0"/>
              <w:rPr>
                <w:sz w:val="20"/>
                <w:szCs w:val="20"/>
                <w:color w:val="auto"/>
              </w:rPr>
            </w:pPr>
            <w:r>
              <w:rPr>
                <w:rFonts w:ascii="Arial" w:cs="Arial" w:eastAsia="Arial" w:hAnsi="Arial"/>
                <w:sz w:val="18"/>
                <w:szCs w:val="18"/>
                <w:color w:val="auto"/>
              </w:rPr>
              <w:t>000-26244</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510317849</w:t>
            </w:r>
          </w:p>
        </w:tc>
      </w:tr>
      <w:tr>
        <w:trPr>
          <w:trHeight w:val="216"/>
        </w:trPr>
        <w:tc>
          <w:tcPr>
            <w:tcW w:w="3280" w:type="dxa"/>
            <w:vAlign w:val="bottom"/>
          </w:tcPr>
          <w:p>
            <w:pPr>
              <w:jc w:val="right"/>
              <w:ind w:right="65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80" w:type="dxa"/>
            <w:vAlign w:val="bottom"/>
          </w:tcPr>
          <w:p>
            <w:pPr>
              <w:jc w:val="center"/>
              <w:spacing w:after="0"/>
              <w:rPr>
                <w:sz w:val="20"/>
                <w:szCs w:val="20"/>
                <w:color w:val="auto"/>
              </w:rPr>
            </w:pPr>
            <w:r>
              <w:rPr>
                <w:rFonts w:ascii="Arial" w:cs="Arial" w:eastAsia="Arial" w:hAnsi="Arial"/>
                <w:sz w:val="18"/>
                <w:szCs w:val="18"/>
                <w:color w:val="auto"/>
                <w:w w:val="88"/>
              </w:rPr>
              <w:t>311 Enterprise Drive, Plainsboro, New Jersey</w:t>
            </w:r>
          </w:p>
        </w:tc>
        <w:tc>
          <w:tcPr>
            <w:tcW w:w="456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08536</w:t>
            </w:r>
          </w:p>
        </w:tc>
      </w:tr>
      <w:tr>
        <w:trPr>
          <w:trHeight w:val="216"/>
        </w:trPr>
        <w:tc>
          <w:tcPr>
            <w:tcW w:w="3280" w:type="dxa"/>
            <w:vAlign w:val="bottom"/>
          </w:tcPr>
          <w:p>
            <w:pPr>
              <w:jc w:val="right"/>
              <w:ind w:right="132"/>
              <w:spacing w:after="0"/>
              <w:rPr>
                <w:sz w:val="20"/>
                <w:szCs w:val="20"/>
                <w:color w:val="auto"/>
              </w:rPr>
            </w:pPr>
            <w:r>
              <w:rPr>
                <w:rFonts w:ascii="Arial" w:cs="Arial" w:eastAsia="Arial" w:hAnsi="Arial"/>
                <w:sz w:val="18"/>
                <w:szCs w:val="18"/>
                <w:color w:val="auto"/>
                <w:w w:val="92"/>
              </w:rPr>
              <w:t>_________________________________</w:t>
            </w:r>
          </w:p>
        </w:tc>
        <w:tc>
          <w:tcPr>
            <w:tcW w:w="456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8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40" w:type="dxa"/>
            <w:vAlign w:val="bottom"/>
            <w:gridSpan w:val="2"/>
          </w:tcPr>
          <w:p>
            <w:pPr>
              <w:ind w:left="8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609-275-0500</w:t>
            </w:r>
          </w:p>
        </w:tc>
      </w:tr>
      <w:tr>
        <w:trPr>
          <w:trHeight w:val="426"/>
        </w:trPr>
        <w:tc>
          <w:tcPr>
            <w:tcW w:w="3280" w:type="dxa"/>
            <w:vAlign w:val="bottom"/>
          </w:tcPr>
          <w:p>
            <w:pPr>
              <w:spacing w:after="0"/>
              <w:rPr>
                <w:sz w:val="24"/>
                <w:szCs w:val="24"/>
                <w:color w:val="auto"/>
              </w:rPr>
            </w:pPr>
          </w:p>
        </w:tc>
        <w:tc>
          <w:tcPr>
            <w:tcW w:w="4560" w:type="dxa"/>
            <w:vAlign w:val="bottom"/>
          </w:tcPr>
          <w:p>
            <w:pPr>
              <w:ind w:left="160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456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80" w:type="dxa"/>
            <w:vAlign w:val="bottom"/>
          </w:tcPr>
          <w:p>
            <w:pPr>
              <w:spacing w:after="0"/>
              <w:rPr>
                <w:sz w:val="19"/>
                <w:szCs w:val="19"/>
                <w:color w:val="auto"/>
              </w:rPr>
            </w:pPr>
          </w:p>
        </w:tc>
        <w:tc>
          <w:tcPr>
            <w:tcW w:w="4560" w:type="dxa"/>
            <w:vAlign w:val="bottom"/>
          </w:tcPr>
          <w:p>
            <w:pPr>
              <w:jc w:val="center"/>
              <w:ind w:right="15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July 29, 2010, Integra LifeSciences Holdings Corporation (the "Company") issued a press release announcing financial results for the quarter ended June 30, 2010 (the "Press Release"). A copy of the Press Release is attached as Exhibit 99.1 to this Current Report on Form 8-K and is incorporated by reference into this Item. In the financial statements portion of the Press Release, the Company has included a reconciliation of GAAP revenues to adjusted revenues for the quarter ended June 30, 2010, and GAAP net income to adjusted earnings before interest, taxes, depreciation and amortization ("EBITDA") and adjusted EBITDA excluding stock-based compensation, GAAP net income to adjusted net income, and GAAP earnings per diluted share to adjusted earnings per diluted share used by management for the quarters ended June 30, 2010 and 2009, as well as GAAP net income to adjusted net income and GAAP earnings per diluted share to adjusted earnings per diluted share used by management for guidance for the year ending D ecember 31, 2010.</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Adjusted Financial Measures</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addition to our GAAP results, we provide adjusted revenues, adjusted EBITDA, adjusted EBITDA excluding stock-based compensation, adjusted net income and adjusted earnings per diluted s hare. Adjusted revenues consist of growth in total revenues excluding the effects of currency exchange rates on the current period’s revenues. The various measures of adjusted EBITDA consist of GAAP net income, excluding: (i) depreciation and amortization, (ii) other income (expense), net, (iii) interest income and expense, (iv) income taxes, (v) those operating expenses also excluded from adjusted net income and, as appropriate (vi) stock-based compensation expense. The measure of adjusted net income consists of GAAP net income, excluding: (i) acquisition-related charges; (ii) certain employee termination and related costs; (iii) intangible asset impairment charges; (iv) charges associated with discontinued or withdrawn product lines; (v) systems implementation charges; (vi) facility consolidation, manufacturing and distribution transfer charges; (vii) charges relating to restructuring our European subsidiaries; (viii) gains or losses related to the early extinguishment of convertible notes; (ix) non-cash interest expense related to the application of authoritative guidance for convertible debt instruments that may be settled in cash upon conversion ("FSP APB 14-1"); (x) intangible asset amortization expense; (xi) quarterly adjustments to income tax expense/benefit related to the cumulative impact of changes in estimated tax rates and certain infrequently occurring items; and (xii) the income tax expense/benefit related to these adjustments. The adjusted earnings per diluted share measure is calculated by dividing adjusted net income attributable to diluted shares by diluted weighted average shares outstanding. Reconciliations of GAAP revenues to adjusted revenues for the quarter ended June 30, 2010 and GAAP net income to adjusted EBITDA, adjusted EBITDA excluding stock-based compensation and adjusted net income, and GAAP earnings per diluted share to adjusted earnings per diluted share for the quarters ended June 30, 2010 and 2009 appear in the financial tables in the Press Release.</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 mpany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Management uses non-GAAP financial measures in the form of adjusted revenues, adjusted EBITDA, adjusted EBITDA excluding stock-based compensation, adjusted net income and adjusted earnings per diluted share when evaluating operating performance because we believe that the inclusion or exclusion of the items described below, for which the amounts and/or timing may vary significantly depending upon the Company’s acquisition, integration, and restructuring activities, for which the amounts are non-cash in nature, or for which the amounts are not expected to recur at the same magnitude as we implement certain tax planning strategies, provides a supplemental m easure of our operating results that facilitates comparability of our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Adjusted revenues, adjusted EBITDA, adjusted EBITDA excluding stock-based compensation, adjusted net income and adjusted earnings per diluted share are significant measures used by management for purposes of:</w:t>
      </w:r>
    </w:p>
    <w:p>
      <w:pPr>
        <w:spacing w:after="0" w:line="186"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supplementing the financial results and forecasts reported to the Company’s board of directors;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managing and benchmarking the operating performance of the Company;</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establishing internal operating budgets;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determining compensation under bonus or other incentive programs;</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 nhancing comparability from period to period;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comparing performance with internal forecasts and targeted business models; and</w:t>
      </w:r>
    </w:p>
    <w:p>
      <w:pPr>
        <w:spacing w:after="0" w:line="225"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evaluating and valuing potential acquisition candidates.</w:t>
      </w:r>
    </w:p>
    <w:p>
      <w:pPr>
        <w:spacing w:after="0" w:line="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measure of adjusted revenues that we report reflects the growth in total revenues for the quarter ended June 30, 2010 adjusted for the effects of currency exchange rates on current period revenues. We provide this measure because changes in foreign currency exchange rates can distort our revenue growth favorably or unfavorably, depending upon the strength of the U.S. dollar in relation to the various foreign currencies in which we generate revenues. We generate significant revenues outside the United States in multiple foreign currencies including euros, British pounds, Swiss francs and Australian and Canadian dollars. We believe this measure provides useful information to determine the success of our international selling organizations in increasing sales of products in their local curren cies without regard to fluctuations in currency exchanges rates, for which we have no control over.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measure of adjusted net income reflects GAAP net income adjusted for one or more of the following items, as applicable:</w:t>
      </w:r>
    </w:p>
    <w:p>
      <w:pPr>
        <w:spacing w:after="0" w:line="225" w:lineRule="exact"/>
        <w:rPr>
          <w:sz w:val="20"/>
          <w:szCs w:val="20"/>
          <w:color w:val="auto"/>
        </w:rPr>
      </w:pPr>
    </w:p>
    <w:p>
      <w:pPr>
        <w:ind w:firstLine="8"/>
        <w:spacing w:after="0" w:line="318" w:lineRule="auto"/>
        <w:tabs>
          <w:tab w:leader="none" w:pos="105" w:val="left"/>
        </w:tabs>
        <w:numPr>
          <w:ilvl w:val="0"/>
          <w:numId w:val="3"/>
        </w:numPr>
        <w:rPr>
          <w:rFonts w:ascii="Arial" w:cs="Arial" w:eastAsia="Arial" w:hAnsi="Arial"/>
          <w:sz w:val="15"/>
          <w:szCs w:val="15"/>
          <w:color w:val="auto"/>
        </w:rPr>
      </w:pPr>
      <w:r>
        <w:rPr>
          <w:rFonts w:ascii="Arial" w:cs="Arial" w:eastAsia="Arial" w:hAnsi="Arial"/>
          <w:sz w:val="15"/>
          <w:szCs w:val="15"/>
          <w:color w:val="auto"/>
        </w:rPr>
        <w:t>Acquisition-related charges. Acquisition-related charges include up-front fees and milestone payments that are expensed as incurred in connection with acquiring licenses or rights to technology for which no product has been approved for sale by regulatory authorities and such approval is not reasonably assured at the time such up-front fees or milestone payments are made, and in-process research and development charges when accounting rules require them to be expensed, inventory fair value purchase accounting adjustments, impairments to existing intangible assets in connection with a subsequent acquisition, and legal, accounting and other outside consultants expenses directly related to acquisitions. Inventory fair value purchase accounting adjustments consist of the increase to</w:t>
      </w:r>
    </w:p>
    <w:p>
      <w:pPr>
        <w:sectPr>
          <w:pgSz w:w="11900" w:h="16838" w:orient="portrait"/>
          <w:cols w:equalWidth="0" w:num="1">
            <w:col w:w="11420"/>
          </w:cols>
          <w:pgMar w:left="240" w:top="125" w:right="239" w:bottom="0" w:gutter="0" w:footer="0" w:header="0"/>
        </w:sectPr>
      </w:pPr>
    </w:p>
    <w:bookmarkStart w:id="2" w:name="page3"/>
    <w:bookmarkEnd w:id="2"/>
    <w:p>
      <w:pPr>
        <w:ind w:right="100"/>
        <w:spacing w:after="0" w:line="318" w:lineRule="auto"/>
        <w:rPr>
          <w:sz w:val="20"/>
          <w:szCs w:val="20"/>
          <w:color w:val="auto"/>
        </w:rPr>
      </w:pPr>
      <w:r>
        <w:rPr>
          <w:rFonts w:ascii="Arial" w:cs="Arial" w:eastAsia="Arial" w:hAnsi="Arial"/>
          <w:sz w:val="15"/>
          <w:szCs w:val="15"/>
          <w:color w:val="auto"/>
        </w:rPr>
        <w:t>cost of goods sold that occur as a result of expensing the "step up" in the fair value of inventory that we purchased in connection with acquisitions as that inventory is sold during the financial period. Although recurring given the ongoing character of our development and acquisition programs, these acquisition and in-licensing related charges are not factored into the evaluation of our performance by management after completion of development programs or acquisitions because they are of a temporary nature, they are not related to our core operating performance and the frequency and amount of such charges vary significantly based on the timing and magnitude of our development and acquisition transactions as well as the level of inventory on hand at the time of acquisition.</w:t>
      </w:r>
    </w:p>
    <w:p>
      <w:pPr>
        <w:spacing w:after="0" w:line="154" w:lineRule="exact"/>
        <w:rPr>
          <w:sz w:val="20"/>
          <w:szCs w:val="20"/>
          <w:color w:val="auto"/>
        </w:rPr>
      </w:pPr>
    </w:p>
    <w:p>
      <w:pPr>
        <w:ind w:firstLine="8"/>
        <w:spacing w:after="0" w:line="256"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termination and related costs. Employee termination and related costs consist of charges related to certain significant reductions in force that are not initiated in connection with facility cons olidations or manufacturing transfers and senior management level terminations. Management excludes these items when evaluating the Company’s operating performance because these amounts do not affect our core operations and because of the infrequent and/or large scale nature of these activities.</w:t>
      </w:r>
    </w:p>
    <w:p>
      <w:pPr>
        <w:spacing w:after="0" w:line="197" w:lineRule="exact"/>
        <w:rPr>
          <w:rFonts w:ascii="Arial" w:cs="Arial" w:eastAsia="Arial" w:hAnsi="Arial"/>
          <w:sz w:val="18"/>
          <w:szCs w:val="18"/>
          <w:color w:val="auto"/>
        </w:rPr>
      </w:pPr>
    </w:p>
    <w:p>
      <w:pPr>
        <w:ind w:right="60" w:firstLine="8"/>
        <w:spacing w:after="0" w:line="298"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Intangible asset impairment charges. This represents impairment charges recorded against various intangible assets, including completed or core technology, customer relationships, and tradenames. Such impairments result primarily from management decisions to discontinue or significantly reduce promoting certain product lines or tradenames, the inability to incorporate existing product technologies into product development programs, and other circumstances. Management excludes this item when evaluating the Company’s operating performance because of the infrequent and non-cash nature of this activity.</w:t>
      </w:r>
    </w:p>
    <w:p>
      <w:pPr>
        <w:spacing w:after="0" w:line="166" w:lineRule="exact"/>
        <w:rPr>
          <w:rFonts w:ascii="Arial" w:cs="Arial" w:eastAsia="Arial" w:hAnsi="Arial"/>
          <w:sz w:val="16"/>
          <w:szCs w:val="16"/>
          <w:color w:val="auto"/>
        </w:rPr>
      </w:pPr>
    </w:p>
    <w:p>
      <w:pPr>
        <w:ind w:right="80" w:firstLine="8"/>
        <w:spacing w:after="0" w:line="306"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associated with discontinued or withdrawn product lines. This r epresents charges taken and reductions in revenue recorded in connection with product lines that the Company discontinues or withdraws. Management excludes this item when evaluating the Company’s operating performance because of the infrequent nature of this activity or because many such product discontinuations are related to recent acquisitions.</w:t>
      </w:r>
    </w:p>
    <w:p>
      <w:pPr>
        <w:spacing w:after="0" w:line="160" w:lineRule="exact"/>
        <w:rPr>
          <w:rFonts w:ascii="Arial" w:cs="Arial" w:eastAsia="Arial" w:hAnsi="Arial"/>
          <w:sz w:val="16"/>
          <w:szCs w:val="16"/>
          <w:color w:val="auto"/>
        </w:rPr>
      </w:pPr>
    </w:p>
    <w:p>
      <w:pPr>
        <w:ind w:right="40" w:firstLine="8"/>
        <w:spacing w:after="0" w:line="289"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Systems implementation charges. Systems implementation charges consist of the non-capitalizable portion of internal labor and outside consulting costs related to the implementation of a global enterprise resource planning system. We have inherited many diverse business processes and different information systems through our numerous acquisitions. Accordingly, we are undertaking this initiative in order to standardize business processes globally and to better integrate all of our existing and acquired operations using one information system. Although recurring in nature given the expected timeframe to complete the implementation for our e xisting operations and our expectation to continue to acquire new businesses and operations, management excludes these charges when evaluating the operating performance of the Company because the frequency and amount of such charges vary significantly based on the timing and magnitude of the Company’s implementation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ind w:right="20" w:firstLine="8"/>
        <w:spacing w:after="0" w:line="289"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Facility consolidation, manufacturing and distribution transfer charges. These charges, which include employee termination and other costs associated with exit or disposal activities, costs related to transferring manufacturing and/or distribution activities to different locations, and costs associated with the worldwide implementation of a single enterprise resource planning system, result from rationalizing and enhancing our existing manufacturing, distribution and administrative infrastructure. Many of these cost-saving and efficiency-dr iven activities are identified as opportunities in connection with acquisitions that provide the Company with additional capacity or economies of scale. Although recurring in nature given management’s ongoing review of the efficiency of our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172" w:lineRule="exact"/>
        <w:rPr>
          <w:rFonts w:ascii="Arial" w:cs="Arial" w:eastAsia="Arial" w:hAnsi="Arial"/>
          <w:sz w:val="16"/>
          <w:szCs w:val="16"/>
          <w:color w:val="auto"/>
        </w:rPr>
      </w:pPr>
    </w:p>
    <w:p>
      <w:pPr>
        <w:ind w:firstLine="8"/>
        <w:spacing w:after="0" w:line="298"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related to restructuring our European subsidiaries. These amounts represent charges recorded in operating or non-operating expenses such as levies and fees paid to government authorities, legal, tax, accounting and consulting fees, and foreign currency gains and losses related to intercompany loan agreements incurred directly as a result of reorganizing our European subsidiaries and transfers of business assets between these legal entities. Management excludes this item when evaluating the Company’s operating performance because of the infrequent nature of this activity.</w:t>
      </w:r>
    </w:p>
    <w:p>
      <w:pPr>
        <w:spacing w:after="0" w:line="166" w:lineRule="exact"/>
        <w:rPr>
          <w:rFonts w:ascii="Arial" w:cs="Arial" w:eastAsia="Arial" w:hAnsi="Arial"/>
          <w:sz w:val="16"/>
          <w:szCs w:val="16"/>
          <w:color w:val="auto"/>
        </w:rPr>
      </w:pPr>
    </w:p>
    <w:p>
      <w:pPr>
        <w:ind w:right="8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Gains or losses related to the early extinguishment of convertible notes. This amount represents the gain/loss recorded by the Company from repurchasing its convertible debt securities for more/less than their face value. Management excludes this item when evaluating the Company’s operating performance because of the infrequent nature of this activity.</w:t>
      </w:r>
    </w:p>
    <w:p>
      <w:pPr>
        <w:spacing w:after="0" w:line="194" w:lineRule="exact"/>
        <w:rPr>
          <w:rFonts w:ascii="Arial" w:cs="Arial" w:eastAsia="Arial" w:hAnsi="Arial"/>
          <w:sz w:val="18"/>
          <w:szCs w:val="18"/>
          <w:color w:val="auto"/>
        </w:rPr>
      </w:pPr>
    </w:p>
    <w:p>
      <w:pPr>
        <w:ind w:firstLine="8"/>
        <w:spacing w:after="0" w:line="294" w:lineRule="auto"/>
        <w:tabs>
          <w:tab w:leader="none" w:pos="105"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Non-cash interest expense related to the application of FASB Staff Position APB 14-1. FSP APB 14-1, which the Company adopted on January 1, 2009, requires separate accounting for the liability and equity components of the Company’s convertible debt instruments, which may be settled in cash upon conversion, in a manner that reflects an applicabl e nonconvertible debt borrowing rate at the time that we issued such convertible debt instruments. Management excludes this item when evaluating the Company’s operating performance because of the non-cash nature of this activity and because it resulted from a change in accounting principles that were not applicable at the time such convertible notes were issued.</w:t>
      </w:r>
    </w:p>
    <w:p>
      <w:pPr>
        <w:spacing w:after="0" w:line="169" w:lineRule="exact"/>
        <w:rPr>
          <w:rFonts w:ascii="Arial" w:cs="Arial" w:eastAsia="Arial" w:hAnsi="Arial"/>
          <w:sz w:val="16"/>
          <w:szCs w:val="16"/>
          <w:color w:val="auto"/>
        </w:rPr>
      </w:pPr>
    </w:p>
    <w:p>
      <w:pPr>
        <w:ind w:left="120" w:hanging="112"/>
        <w:spacing w:after="0"/>
        <w:tabs>
          <w:tab w:leader="none" w:pos="1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Intangible asset amortization expense. Management excludes this item when evaluating the Company’s operating performance because it is a non-cash expense.</w:t>
      </w:r>
    </w:p>
    <w:p>
      <w:pPr>
        <w:spacing w:after="0" w:line="259" w:lineRule="exact"/>
        <w:rPr>
          <w:rFonts w:ascii="Arial" w:cs="Arial" w:eastAsia="Arial" w:hAnsi="Arial"/>
          <w:sz w:val="15"/>
          <w:szCs w:val="15"/>
          <w:color w:val="auto"/>
        </w:rPr>
      </w:pPr>
    </w:p>
    <w:p>
      <w:pPr>
        <w:ind w:right="60" w:firstLine="8"/>
        <w:spacing w:after="0" w:line="314" w:lineRule="auto"/>
        <w:tabs>
          <w:tab w:leader="none" w:pos="105" w:val="left"/>
        </w:tabs>
        <w:numPr>
          <w:ilvl w:val="0"/>
          <w:numId w:val="4"/>
        </w:numPr>
        <w:rPr>
          <w:rFonts w:ascii="Arial" w:cs="Arial" w:eastAsia="Arial" w:hAnsi="Arial"/>
          <w:sz w:val="15"/>
          <w:szCs w:val="15"/>
          <w:color w:val="auto"/>
        </w:rPr>
      </w:pPr>
      <w:r>
        <w:rPr>
          <w:rFonts w:ascii="Arial" w:cs="Arial" w:eastAsia="Arial" w:hAnsi="Arial"/>
          <w:sz w:val="15"/>
          <w:szCs w:val="15"/>
          <w:color w:val="auto"/>
        </w:rPr>
        <w:t>Quarterly adjustments to income tax expense/benefit related to the cumulative impact of changes in estimated tax rates and certain infrequently occurring items. Income tax expense in the current quarter is adjusted by the cumulative impacts in that quarter of changes in income tax rates (statutory and estimated effective tax rates) and certain other infrequently occurring items (such as penalties, interest, and settlements with government tax authoritie s) that relate to prior periods. Management excludes this item when evaluating the Company’s current quarter operating performance because the cumulative impact in the current quarter of these items applies to prior periods and thus distorts the Company’s adjusted income tax rate in the current quarter. The year-to-date adjusted net income and adjusted diluted earnings per share measures are not adjusted by this item, as the cumulative impacts are properly reflected in the year-to-date adjusted results.</w:t>
      </w:r>
    </w:p>
    <w:p>
      <w:pPr>
        <w:spacing w:after="0" w:line="158" w:lineRule="exact"/>
        <w:rPr>
          <w:rFonts w:ascii="Arial" w:cs="Arial" w:eastAsia="Arial" w:hAnsi="Arial"/>
          <w:sz w:val="15"/>
          <w:szCs w:val="15"/>
          <w:color w:val="auto"/>
        </w:rPr>
      </w:pPr>
    </w:p>
    <w:p>
      <w:pPr>
        <w:ind w:right="300" w:firstLine="8"/>
        <w:spacing w:after="0" w:line="259"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expense (benefit) related to the above adjustments. Income tax expense is adjusted by the amount of additional tax expense or benefit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19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Adjusted revenues, adjusted EBITDA, adjusted EBITDA excluding stock-based compensatio n, adjusted net income and adjusted earnings per diluted share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 justed financial measures are: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 The Company periodically acquires other companies or businesses, and we expect to continue to incur acquisition-related expenses and charges in the future.</w:t>
      </w:r>
    </w:p>
    <w:p>
      <w:pPr>
        <w:sectPr>
          <w:pgSz w:w="11900" w:h="16838" w:orient="portrait"/>
          <w:cols w:equalWidth="0" w:num="1">
            <w:col w:w="11420"/>
          </w:cols>
          <w:pgMar w:left="240" w:top="131" w:right="239" w:bottom="0" w:gutter="0" w:footer="0" w:header="0"/>
        </w:sectPr>
      </w:pPr>
    </w:p>
    <w:bookmarkStart w:id="3" w:name="page4"/>
    <w:bookmarkEnd w:id="3"/>
    <w:p>
      <w:pPr>
        <w:spacing w:after="0" w:line="268" w:lineRule="auto"/>
        <w:rPr>
          <w:sz w:val="20"/>
          <w:szCs w:val="20"/>
          <w:color w:val="auto"/>
        </w:rPr>
      </w:pPr>
      <w:r>
        <w:rPr>
          <w:rFonts w:ascii="Arial" w:cs="Arial" w:eastAsia="Arial" w:hAnsi="Arial"/>
          <w:sz w:val="18"/>
          <w:szCs w:val="18"/>
          <w:color w:val="auto"/>
        </w:rPr>
        <w:t>These costs can directly impact the amount of the Company’s available funds or could include costs for aborted deals which may be significant and reduce GAAP net income.</w:t>
      </w:r>
    </w:p>
    <w:p>
      <w:pPr>
        <w:spacing w:after="0" w:line="186" w:lineRule="exact"/>
        <w:rPr>
          <w:sz w:val="20"/>
          <w:szCs w:val="20"/>
          <w:color w:val="auto"/>
        </w:rPr>
      </w:pPr>
    </w:p>
    <w:p>
      <w:pPr>
        <w:ind w:right="8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initiated a long term effort to implement a global enterprise resource planning system, and we expect to continue to incur significant systems implementation charges until that effort is completed. These costs can directly impact the amount of the Company’s available funds and reduce GAAP net income.</w:t>
      </w:r>
    </w:p>
    <w:p>
      <w:pPr>
        <w:spacing w:after="0" w:line="194" w:lineRule="exact"/>
        <w:rPr>
          <w:rFonts w:ascii="Arial" w:cs="Arial" w:eastAsia="Arial" w:hAnsi="Arial"/>
          <w:sz w:val="18"/>
          <w:szCs w:val="18"/>
          <w:color w:val="auto"/>
        </w:rPr>
      </w:pPr>
    </w:p>
    <w:p>
      <w:pPr>
        <w:jc w:val="both"/>
        <w:ind w:right="240" w:firstLine="8"/>
        <w:spacing w:after="0" w:line="259"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financial tables portion of the Press Release, the Company has included a reconciliation of GAAP reported revenues to adjusted revenues for the quarter ended June 30, 2010 and GAAP net income to adjusted EBITDA and adjusted EBITDA excluding stock-based compensation, GAAP net income to adjusted net income, and GAAP earnings per diluted share to adjusted earnings per diluted share used by management for the quarters ended June 30, 2010 and 2009. Also included are reconciliations for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99.1, and incorporated into this Item 7.01 by reference, is the Press Release issued on July 29, 2010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Press release with attachments, dated July 29, 2010, issued by 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Integra LifeSciences Holdings Corporation</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July 29,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John B. Henneman, III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Executive VP, Finance &amp; Administration, and Chief Financial</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w w:val="86"/>
              </w:rPr>
              <w:t>Press release with attachments, dated July 29, 2010, issued by Integra</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LifeSciences Holdings Corporation</w:t>
            </w:r>
          </w:p>
        </w:tc>
      </w:tr>
    </w:tbl>
    <w:p>
      <w:pPr>
        <w:sectPr>
          <w:pgSz w:w="11900" w:h="16838" w:orient="portrait"/>
          <w:cols w:equalWidth="0" w:num="1">
            <w:col w:w="10219"/>
          </w:cols>
          <w:pgMar w:left="240" w:top="125" w:right="1440" w:bottom="1440" w:gutter="0" w:footer="0" w:header="0"/>
        </w:sectPr>
      </w:pPr>
    </w:p>
    <w:bookmarkStart w:id="6" w:name="page7"/>
    <w:bookmarkEnd w:id="6"/>
    <w:p>
      <w:pPr>
        <w:spacing w:after="0"/>
        <w:rPr>
          <w:sz w:val="20"/>
          <w:szCs w:val="20"/>
          <w:color w:val="auto"/>
        </w:rPr>
      </w:pPr>
      <w:r>
        <w:rPr>
          <w:rFonts w:ascii="Arial" w:cs="Arial" w:eastAsia="Arial" w:hAnsi="Arial"/>
          <w:sz w:val="29"/>
          <w:szCs w:val="29"/>
          <w:i w:val="1"/>
          <w:iCs w:val="1"/>
          <w:color w:val="auto"/>
        </w:rPr>
        <w:t>News Release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500" w:type="dxa"/>
            <w:vAlign w:val="bottom"/>
            <w:gridSpan w:val="2"/>
          </w:tcPr>
          <w:p>
            <w:pPr>
              <w:spacing w:after="0"/>
              <w:rPr>
                <w:sz w:val="20"/>
                <w:szCs w:val="20"/>
                <w:color w:val="auto"/>
              </w:rPr>
            </w:pPr>
            <w:r>
              <w:rPr>
                <w:rFonts w:ascii="Arial" w:cs="Arial" w:eastAsia="Arial" w:hAnsi="Arial"/>
                <w:sz w:val="20"/>
                <w:szCs w:val="20"/>
                <w:color w:val="auto"/>
              </w:rPr>
              <w:t>Contacts:</w:t>
            </w:r>
          </w:p>
        </w:tc>
        <w:tc>
          <w:tcPr>
            <w:tcW w:w="560" w:type="dxa"/>
            <w:vAlign w:val="bottom"/>
          </w:tcPr>
          <w:p>
            <w:pPr>
              <w:spacing w:after="0"/>
              <w:rPr>
                <w:sz w:val="21"/>
                <w:szCs w:val="21"/>
                <w:color w:val="auto"/>
              </w:rPr>
            </w:pPr>
          </w:p>
        </w:tc>
        <w:tc>
          <w:tcPr>
            <w:tcW w:w="5080" w:type="dxa"/>
            <w:vAlign w:val="bottom"/>
          </w:tcPr>
          <w:p>
            <w:pPr>
              <w:spacing w:after="0"/>
              <w:rPr>
                <w:sz w:val="21"/>
                <w:szCs w:val="21"/>
                <w:color w:val="auto"/>
              </w:rPr>
            </w:pPr>
          </w:p>
        </w:tc>
      </w:tr>
      <w:tr>
        <w:trPr>
          <w:trHeight w:val="527"/>
        </w:trPr>
        <w:tc>
          <w:tcPr>
            <w:tcW w:w="5500" w:type="dxa"/>
            <w:vAlign w:val="bottom"/>
            <w:gridSpan w:val="2"/>
          </w:tcPr>
          <w:p>
            <w:pPr>
              <w:spacing w:after="0"/>
              <w:rPr>
                <w:sz w:val="20"/>
                <w:szCs w:val="20"/>
                <w:color w:val="auto"/>
              </w:rPr>
            </w:pPr>
            <w:r>
              <w:rPr>
                <w:rFonts w:ascii="Arial" w:cs="Arial" w:eastAsia="Arial" w:hAnsi="Arial"/>
                <w:sz w:val="20"/>
                <w:szCs w:val="20"/>
                <w:color w:val="auto"/>
              </w:rPr>
              <w:t>Integra LifeSciences Holdings Corporation</w:t>
            </w: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627"/>
        </w:trPr>
        <w:tc>
          <w:tcPr>
            <w:tcW w:w="30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John B. Henneman, III</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Investor Relations:</w:t>
            </w: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Executive Vice President,</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Angela Steinway</w:t>
            </w: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Finance and Administration,</w:t>
            </w:r>
          </w:p>
        </w:tc>
        <w:tc>
          <w:tcPr>
            <w:tcW w:w="5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and Chief Financial Officer</w:t>
            </w:r>
          </w:p>
        </w:tc>
        <w:tc>
          <w:tcPr>
            <w:tcW w:w="56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230"/>
        </w:trPr>
        <w:tc>
          <w:tcPr>
            <w:tcW w:w="5500" w:type="dxa"/>
            <w:vAlign w:val="bottom"/>
            <w:gridSpan w:val="2"/>
          </w:tcPr>
          <w:p>
            <w:pPr>
              <w:ind w:left="300"/>
              <w:spacing w:after="0"/>
              <w:rPr>
                <w:sz w:val="20"/>
                <w:szCs w:val="20"/>
                <w:color w:val="auto"/>
              </w:rPr>
            </w:pPr>
            <w:r>
              <w:rPr>
                <w:rFonts w:ascii="Arial" w:cs="Arial" w:eastAsia="Arial" w:hAnsi="Arial"/>
                <w:sz w:val="20"/>
                <w:szCs w:val="20"/>
                <w:color w:val="auto"/>
              </w:rPr>
              <w:t>(609) 275-0500</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(609) 936-2268</w:t>
            </w:r>
          </w:p>
        </w:tc>
      </w:tr>
      <w:tr>
        <w:trPr>
          <w:trHeight w:val="246"/>
        </w:trPr>
        <w:tc>
          <w:tcPr>
            <w:tcW w:w="30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20"/>
                <w:szCs w:val="20"/>
                <w:color w:val="auto"/>
              </w:rPr>
              <w:t>jack.henneman@integralife.com</w:t>
            </w:r>
          </w:p>
        </w:tc>
        <w:tc>
          <w:tcPr>
            <w:tcW w:w="5640" w:type="dxa"/>
            <w:vAlign w:val="bottom"/>
            <w:gridSpan w:val="2"/>
          </w:tcPr>
          <w:p>
            <w:pPr>
              <w:ind w:left="560"/>
              <w:spacing w:after="0"/>
              <w:rPr>
                <w:sz w:val="20"/>
                <w:szCs w:val="20"/>
                <w:color w:val="auto"/>
              </w:rPr>
            </w:pPr>
            <w:r>
              <w:rPr>
                <w:rFonts w:ascii="Arial" w:cs="Arial" w:eastAsia="Arial" w:hAnsi="Arial"/>
                <w:sz w:val="20"/>
                <w:szCs w:val="20"/>
                <w:color w:val="auto"/>
              </w:rPr>
              <w:t>angela.steinway@integralife.com</w:t>
            </w:r>
          </w:p>
        </w:tc>
      </w:tr>
      <w:tr>
        <w:trPr>
          <w:trHeight w:val="20"/>
        </w:trPr>
        <w:tc>
          <w:tcPr>
            <w:tcW w:w="300" w:type="dxa"/>
            <w:vAlign w:val="bottom"/>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7"/>
          <w:szCs w:val="27"/>
          <w:i w:val="1"/>
          <w:iCs w:val="1"/>
          <w:color w:val="auto"/>
        </w:rPr>
        <w:t>Integra LifeSciences Reports Second Quarter 2010 Financial Results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3"/>
          <w:szCs w:val="23"/>
          <w:i w:val="1"/>
          <w:iCs w:val="1"/>
          <w:color w:val="auto"/>
        </w:rPr>
        <w:t>Revenues increase 8% to $179 million</w:t>
      </w:r>
    </w:p>
    <w:p>
      <w:pPr>
        <w:spacing w:after="0" w:line="285" w:lineRule="exact"/>
        <w:rPr>
          <w:sz w:val="20"/>
          <w:szCs w:val="20"/>
          <w:color w:val="auto"/>
        </w:rPr>
      </w:pPr>
    </w:p>
    <w:p>
      <w:pPr>
        <w:jc w:val="both"/>
        <w:ind w:right="140"/>
        <w:spacing w:after="0" w:line="291" w:lineRule="auto"/>
        <w:rPr>
          <w:sz w:val="20"/>
          <w:szCs w:val="20"/>
          <w:color w:val="auto"/>
        </w:rPr>
      </w:pPr>
      <w:r>
        <w:rPr>
          <w:rFonts w:ascii="Arial" w:cs="Arial" w:eastAsia="Arial" w:hAnsi="Arial"/>
          <w:sz w:val="18"/>
          <w:szCs w:val="18"/>
          <w:color w:val="auto"/>
        </w:rPr>
        <w:t>Plainsboro, New Jersey, July 29, 2010 – Integra LifeSciences Holdings Corporation (NASDAQ: IART) today reported its financial results for the second quarter ending June 30, 2010. Total revenues for the second quarter were $178.6 million, reflecting an increase of $12.9 million, or 8%, over the second quarter of 2009. We present revenues by product category in a table at the end of this press release.</w:t>
      </w:r>
    </w:p>
    <w:p>
      <w:pPr>
        <w:spacing w:after="0" w:line="16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“Our second quarter results reflect strong internal growth,” said Stuart Essig, Integra’s President and Chief Executive Officer. “We are heading in to the second half of the year with good momentum.”</w:t>
      </w:r>
    </w:p>
    <w:p>
      <w:pPr>
        <w:spacing w:after="0" w:line="16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Company reported GAAP net income of $15.2 million, or $0.50 per diluted share, for the second quarter of 2010, compared to GAAP net income of $11.2 million, or $0.38 per diluted share, for the second quarter of 2009.</w:t>
      </w:r>
    </w:p>
    <w:p>
      <w:pPr>
        <w:spacing w:after="0" w:line="163"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Adjusted net income for the second quarter of 2010, computed with the adjustments to GAAP reporting set forth in the attached reconciliation, was $20.9 million, or $0.68 per diluted share, compared to $18.3 million, or $0.62 per diluted share, in the second quarter of 2009.</w:t>
      </w:r>
    </w:p>
    <w:p>
      <w:pPr>
        <w:spacing w:after="0" w:line="10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Integra generated $19.4 million in cash flows from operations and used $5.7 million of cash on capital expenditures in the second quarter of 2010. During the quarter, Integra redeemed the remaining $78 million outstanding on its 2.75% senior convertible notes in cash. Integra drew down $75 million on its credit facility to meet this obligation.</w:t>
      </w:r>
    </w:p>
    <w:p>
      <w:pPr>
        <w:spacing w:after="0" w:line="173"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Adjusted EBITDA for the second quarter of 2010, computed with the adjustments to GAAP reporting set forth in the attached reconciliation, was $35.5 million, up 2% from the second quarter last year.</w:t>
      </w:r>
    </w:p>
    <w:p>
      <w:pPr>
        <w:spacing w:after="0" w:line="163"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Adjusted EBITDA excluding stock-based compensation, computed with the adjustments to GAAP reporting set forth in the attached reconciliation, was $39.2 million.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Changes in foreign currency exchange rates had a negligible impact on revenues for the quarter.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Outlook for 2010</w:t>
      </w:r>
    </w:p>
    <w:p>
      <w:pPr>
        <w:spacing w:after="0" w:line="20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Company is reiterating its revenue guidance as well as its GAAP and adjusted earnings per share guidance for the full year 2010. The Company continues to anticipate revenues between $715 million and $735 million. The Company is guiding to GAAP earnings per diluted share of between $1.92 and $2.07 and to adjusted earnings per diluted share of between $2.60 and $2.75. In accordance with our usual practice, expectations for financial performance do not include the impact of acquisitions or other strategic corporate transactions that have not yet closed.</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the future, the Company may record, or expects to record, certain additional revenues, gains, expenses or charges (such as acquisition-related charges, facility consolidation, manufacturing and distribution transfer charges, systems integration charges, non-cash interest expense related to the application of authoritative guidance for convertible debt instruments that may be settled in cash upon conversion (“FSP APB 14-1”), and intangible asset amortization) that it will exclude in the calculation of adjusted EBITDA and adjusted earnings per share for historical periods and in providing adjusted earnings per share guidance.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Conference Call</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Integra has scheduled a conference call for 8:30 AM ET on Thursday, July 29, 2010 to discuss financial results for the second quarter 2010 and forward-looking financial guidance. Integra’s senior management team will host the conference call, which will be open to all listeners. Additional forward-looking information may be discussed in a question and answer session following the call.</w:t>
      </w:r>
    </w:p>
    <w:p>
      <w:pPr>
        <w:spacing w:after="0" w:line="143" w:lineRule="exact"/>
        <w:rPr>
          <w:sz w:val="20"/>
          <w:szCs w:val="20"/>
          <w:color w:val="auto"/>
        </w:rPr>
      </w:pPr>
    </w:p>
    <w:p>
      <w:pPr>
        <w:jc w:val="both"/>
        <w:ind w:right="200"/>
        <w:spacing w:after="0" w:line="291" w:lineRule="auto"/>
        <w:rPr>
          <w:sz w:val="20"/>
          <w:szCs w:val="20"/>
          <w:color w:val="auto"/>
        </w:rPr>
      </w:pPr>
      <w:r>
        <w:rPr>
          <w:rFonts w:ascii="Arial" w:cs="Arial" w:eastAsia="Arial" w:hAnsi="Arial"/>
          <w:sz w:val="18"/>
          <w:szCs w:val="18"/>
          <w:color w:val="auto"/>
        </w:rPr>
        <w:t>Access to the live call is available by dialing 719-325-2193 and using the passcode 8154044. The call can also be accessed through a webcast via a link provided on the Investor Relations homepage of Integra’s website at www.integralife.com. Access to the replay is available through August 12, 2010 by dialing 719-457-0820 and using the passcode 8154044. The webcast will also be archived on the website.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right="540"/>
        <w:spacing w:after="0" w:line="316" w:lineRule="auto"/>
        <w:rPr>
          <w:sz w:val="20"/>
          <w:szCs w:val="20"/>
          <w:color w:val="auto"/>
        </w:rPr>
      </w:pPr>
      <w:r>
        <w:rPr>
          <w:rFonts w:ascii="Arial" w:cs="Arial" w:eastAsia="Arial" w:hAnsi="Arial"/>
          <w:sz w:val="18"/>
          <w:szCs w:val="18"/>
          <w:color w:val="auto"/>
        </w:rPr>
        <w:t>Integra LifeSciences Holdings Corporation, a world leader in regenerative medicine, is a global medical device company dedicated to improving the quality of life for millions of patients every year. Our products are used primarily in orthopedics, neurosurgery and general</w:t>
      </w:r>
    </w:p>
    <w:p>
      <w:pPr>
        <w:sectPr>
          <w:pgSz w:w="11900" w:h="16838" w:orient="portrait"/>
          <w:cols w:equalWidth="0" w:num="1">
            <w:col w:w="11420"/>
          </w:cols>
          <w:pgMar w:left="240" w:top="115" w:right="239" w:bottom="0" w:gutter="0" w:footer="0" w:header="0"/>
        </w:sectPr>
      </w:pPr>
    </w:p>
    <w:bookmarkStart w:id="7" w:name="page8"/>
    <w:bookmarkEnd w:id="7"/>
    <w:p>
      <w:pPr>
        <w:spacing w:after="0" w:line="59" w:lineRule="exact"/>
        <w:rPr>
          <w:sz w:val="20"/>
          <w:szCs w:val="20"/>
          <w:color w:val="auto"/>
        </w:rPr>
      </w:pPr>
    </w:p>
    <w:p>
      <w:pPr>
        <w:ind w:right="900"/>
        <w:spacing w:after="0" w:line="262" w:lineRule="auto"/>
        <w:rPr>
          <w:sz w:val="20"/>
          <w:szCs w:val="20"/>
          <w:color w:val="auto"/>
        </w:rPr>
      </w:pPr>
      <w:r>
        <w:rPr>
          <w:rFonts w:ascii="Arial" w:cs="Arial" w:eastAsia="Arial" w:hAnsi="Arial"/>
          <w:sz w:val="20"/>
          <w:szCs w:val="20"/>
          <w:color w:val="auto"/>
        </w:rPr>
        <w:t>surgery. Headquartered in Plainsboro, New Jersey, Integra has research and manufacturing facilities throughout the world. For more information, visit www.integralife.com.</w:t>
      </w:r>
    </w:p>
    <w:p>
      <w:pPr>
        <w:spacing w:after="0" w:line="1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news release contains forward-looking statements within the meaning of the Private Securities Litigation Reform Act of 1995 that involve risks, uncertainties and reflect the Company’s judgment as of the date of this release. Forward-looking statements include, but are not limited to, statements concerning future financial performance, including projections for revenues, GAAP and adjusted net income, GAAP and adjusted earnings per diluted share, stock-based compensation, non-GAAP adjustments such as acquisition-related charges, non-cash interest expense related to the application of FSP APB 14-1, intangible asset amortization, and income tax expense (benefit) related to non-GAAP adjustments. Such forward-looking statements involve risks and uncertainties that could cause actual results to differ materially from predicted or expected results. Such risks and uncertainties include, but are not limited to: the Company’s ability to maintain relationships with customers of acquired entities; physicians’ willingness to adopt and third-party payors’ willingness to provide reimbursement for the Company’s recently launched and planned products; the Company’s ability to manufacture sufficient quantities of its products to meet its customers’ demand; initiatives launched by the Company’s competitors; the Company’s ability to secure regulatory approval for products in development; fluctuations in hospital spending for capital equipment; the Company’s ability to comply with and obtain approvals for products of human origin and comply with recently enacted regulations regarding products containing materials derived from animal sources; difficulties in controlling expenses, including costs to procure and manufacture our products; the impact of changes in management or staff levels; the Company’s ability to integrate acquired businesses; the Company’s ability to leverage its existing selling organizations and administrative infrastructure; the Company’s ability to increase product sales and gross margins, and control non-product costs; the amount and timing of acquisition and integration related costs; the geographic distribution of where the Company generates its taxable income; the effect of legislation effecting healthcare reform in the United States; the timing and amount of share-based awards granted to employees; fluctuations in foreign currency exchange rates; the amount of our convertible notes and bank borrowings outstanding, and the economic, competitive, governmental, technological and other risk factors and uncertainties identified under the heading “Risk Factors” included in Item 1A of Integra’s Annual Report on Form 10-K for the year ended December 31, 2009 and information contained in subsequent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Discussion of Adjusted Financial Measures</w:t>
      </w:r>
    </w:p>
    <w:p>
      <w:pPr>
        <w:spacing w:after="0" w:line="202"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In addition to our GAAP results, we provide adjusted revenues, adjusted earnings before interest, taxes, depreciation and amortization (EBITDA), adjusted EBITDA excluding stock-based compensation, adjusted net income and adjusted earnings per diluted share. Adjusted revenues consist of growth in total revenues excluding the effects of currency exchange rates on the current period’s revenues. The various measures of adjusted EBITDA consist of GAAP net income, excluding: (i) depreciation and amortization, (ii) other income (expense), net,</w:t>
      </w:r>
    </w:p>
    <w:p>
      <w:pPr>
        <w:spacing w:after="0" w:line="2"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income and expense, (iv) income taxes, (v) those operating expenses also excluded from adjusted net income and, as appropriate</w:t>
      </w:r>
    </w:p>
    <w:p>
      <w:pPr>
        <w:spacing w:after="0" w:line="45" w:lineRule="exact"/>
        <w:rPr>
          <w:rFonts w:ascii="Arial" w:cs="Arial" w:eastAsia="Arial" w:hAnsi="Arial"/>
          <w:sz w:val="16"/>
          <w:szCs w:val="16"/>
          <w:color w:val="auto"/>
        </w:rPr>
      </w:pPr>
    </w:p>
    <w:p>
      <w:pPr>
        <w:ind w:right="20" w:firstLine="8"/>
        <w:spacing w:after="0" w:line="299"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stock-based compensation expense. The measure of adjusted net income consists of GAAP net income, excluding: (i) acquisition-related charges; (ii) certain employee termination and related costs; (iii) intangible asset impairment charges; (iv) charges associated with discontinued or withdrawn product lines; (v) systems implementation charges; (vi) facility consolidation, manufacturing and distribution transfer charges;</w:t>
      </w:r>
    </w:p>
    <w:p>
      <w:pPr>
        <w:spacing w:after="0" w:line="1" w:lineRule="exact"/>
        <w:rPr>
          <w:rFonts w:ascii="Arial" w:cs="Arial" w:eastAsia="Arial" w:hAnsi="Arial"/>
          <w:sz w:val="16"/>
          <w:szCs w:val="16"/>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charges related to restructuring our European subsidiaries; (viii) gains and losses related to the early extinguishment of convertible notes;</w:t>
      </w:r>
    </w:p>
    <w:p>
      <w:pPr>
        <w:spacing w:after="0" w:line="22" w:lineRule="exact"/>
        <w:rPr>
          <w:rFonts w:ascii="Arial" w:cs="Arial" w:eastAsia="Arial" w:hAnsi="Arial"/>
          <w:sz w:val="18"/>
          <w:szCs w:val="18"/>
          <w:color w:val="auto"/>
        </w:rPr>
      </w:pPr>
    </w:p>
    <w:p>
      <w:pPr>
        <w:ind w:right="40" w:firstLine="8"/>
        <w:spacing w:after="0" w:line="299"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non-cash interest expense related to the application of FSP APB 14-1; (x) intangible asset amortization expense; (xi) quarterly adjustments to income tax expense/benefit related to the cumulative impact of changes in estimated tax rates and certain infrequently occurring items; and</w:t>
      </w:r>
    </w:p>
    <w:p>
      <w:pPr>
        <w:ind w:right="200" w:firstLine="8"/>
        <w:spacing w:after="0" w:line="256" w:lineRule="auto"/>
        <w:tabs>
          <w:tab w:leader="none" w:pos="39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income tax expense/benefit related to these adjustments. The adjusted earnings per diluted share measure is calculated by dividing adjusted net income attributable to diluted shares by diluted weighted average shares outstanding. Reconciliations of GAAP revenues to adjusted revenues for the quarter ended June 30, 2010 and GAAP net income to adjusted EBITDA, adjusted EBITDA excluding stock-based compensation and adjusted net income, and GAAP earnings per diluted share to adjusted earnings per diluted share for the quarters ended June 30, 2010 and 2009 appear in the financial tables in this release.</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Integra believes that the presentation of adjusted revenues and the various adjusted EBITDA, adjusted net income, and adjusted earnings per diluted share measures provides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t>
      </w:r>
      <w:r>
        <w:rPr>
          <w:rFonts w:ascii="Arial" w:cs="Arial" w:eastAsia="Arial" w:hAnsi="Arial"/>
          <w:sz w:val="18"/>
          <w:szCs w:val="18"/>
          <w:i w:val="1"/>
          <w:iCs w:val="1"/>
          <w:color w:val="auto"/>
        </w:rPr>
        <w:t xml:space="preserve">www.sec.gov </w:t>
      </w:r>
      <w:r>
        <w:rPr>
          <w:rFonts w:ascii="Arial" w:cs="Arial" w:eastAsia="Arial" w:hAnsi="Arial"/>
          <w:sz w:val="18"/>
          <w:szCs w:val="18"/>
          <w:color w:val="auto"/>
        </w:rPr>
        <w:t>or on our website at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www.integralife.com</w:t>
      </w:r>
      <w:r>
        <w:rPr>
          <w:rFonts w:ascii="Arial" w:cs="Arial" w:eastAsia="Arial" w:hAnsi="Arial"/>
          <w:sz w:val="18"/>
          <w:szCs w:val="18"/>
          <w:color w:val="auto"/>
        </w:rPr>
        <w: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gridSpan w:val="5"/>
          </w:tcPr>
          <w:p>
            <w:pPr>
              <w:jc w:val="right"/>
              <w:ind w:right="11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164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7260" w:type="dxa"/>
            <w:vAlign w:val="bottom"/>
            <w:vMerge w:val="restart"/>
          </w:tcPr>
          <w:p>
            <w:pPr>
              <w:ind w:left="300"/>
              <w:spacing w:after="0"/>
              <w:rPr>
                <w:sz w:val="20"/>
                <w:szCs w:val="20"/>
                <w:color w:val="auto"/>
              </w:rPr>
            </w:pPr>
            <w:r>
              <w:rPr>
                <w:rFonts w:ascii="Arial" w:cs="Arial" w:eastAsia="Arial" w:hAnsi="Arial"/>
                <w:sz w:val="18"/>
                <w:szCs w:val="18"/>
                <w:color w:val="auto"/>
              </w:rPr>
              <w:t>Total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2009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60" w:type="dxa"/>
            <w:vAlign w:val="bottom"/>
            <w:vMerge w:val="continue"/>
          </w:tcPr>
          <w:p>
            <w:pPr>
              <w:spacing w:after="0"/>
              <w:rPr>
                <w:sz w:val="16"/>
                <w:szCs w:val="16"/>
                <w:color w:val="auto"/>
              </w:rPr>
            </w:pPr>
          </w:p>
        </w:tc>
        <w:tc>
          <w:tcPr>
            <w:tcW w:w="11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$178,595</w:t>
            </w: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$165,725</w:t>
            </w:r>
          </w:p>
        </w:tc>
        <w:tc>
          <w:tcPr>
            <w:tcW w:w="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Cost of product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64,464</w:t>
            </w:r>
          </w:p>
        </w:tc>
        <w:tc>
          <w:tcPr>
            <w:tcW w:w="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59,805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11,761</w:t>
            </w:r>
          </w:p>
        </w:tc>
        <w:tc>
          <w:tcPr>
            <w:tcW w:w="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10,302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74,216</w:t>
            </w:r>
          </w:p>
        </w:tc>
        <w:tc>
          <w:tcPr>
            <w:tcW w:w="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68,252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Intangible asset amortization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3,575</w:t>
            </w:r>
          </w:p>
        </w:tc>
        <w:tc>
          <w:tcPr>
            <w:tcW w:w="60" w:type="dxa"/>
            <w:vAlign w:val="bottom"/>
          </w:tcPr>
          <w:p>
            <w:pPr>
              <w:spacing w:after="0"/>
              <w:rPr>
                <w:sz w:val="20"/>
                <w:szCs w:val="20"/>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3,461</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560"/>
              <w:spacing w:after="0"/>
              <w:rPr>
                <w:sz w:val="20"/>
                <w:szCs w:val="20"/>
                <w:color w:val="auto"/>
              </w:rPr>
            </w:pPr>
            <w:r>
              <w:rPr>
                <w:rFonts w:ascii="Arial" w:cs="Arial" w:eastAsia="Arial" w:hAnsi="Arial"/>
                <w:sz w:val="18"/>
                <w:szCs w:val="18"/>
                <w:color w:val="auto"/>
              </w:rPr>
              <w:t>Total costs and expenses</w:t>
            </w:r>
          </w:p>
        </w:tc>
        <w:tc>
          <w:tcPr>
            <w:tcW w:w="5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154,016</w:t>
            </w:r>
          </w:p>
        </w:tc>
        <w:tc>
          <w:tcPr>
            <w:tcW w:w="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141,820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24,579</w:t>
            </w:r>
          </w:p>
        </w:tc>
        <w:tc>
          <w:tcPr>
            <w:tcW w:w="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23,905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Interest income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134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00"/>
              <w:spacing w:after="0"/>
              <w:rPr>
                <w:sz w:val="20"/>
                <w:szCs w:val="20"/>
                <w:color w:val="auto"/>
              </w:rPr>
            </w:pPr>
            <w:r>
              <w:rPr>
                <w:rFonts w:ascii="Arial" w:cs="Arial" w:eastAsia="Arial" w:hAnsi="Arial"/>
                <w:sz w:val="18"/>
                <w:szCs w:val="18"/>
                <w:color w:val="auto"/>
              </w:rPr>
              <w:t>Interest expense</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(4,300)</w:t>
            </w:r>
          </w:p>
        </w:tc>
        <w:tc>
          <w:tcPr>
            <w:tcW w:w="2720" w:type="dxa"/>
            <w:vAlign w:val="bottom"/>
            <w:gridSpan w:val="5"/>
          </w:tcPr>
          <w:p>
            <w:pPr>
              <w:jc w:val="right"/>
              <w:ind w:right="54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30"/>
        </w:trPr>
        <w:tc>
          <w:tcPr>
            <w:tcW w:w="7260" w:type="dxa"/>
            <w:vAlign w:val="bottom"/>
          </w:tcPr>
          <w:p>
            <w:pPr>
              <w:ind w:left="30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20"/>
                <w:szCs w:val="20"/>
                <w:color w:val="auto"/>
              </w:rPr>
            </w:pPr>
          </w:p>
        </w:tc>
        <w:tc>
          <w:tcPr>
            <w:tcW w:w="1520" w:type="dxa"/>
            <w:vAlign w:val="bottom"/>
            <w:gridSpan w:val="3"/>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360"/>
          </w:cols>
          <w:pgMar w:left="240" w:top="121" w:right="299" w:bottom="0" w:gutter="0" w:footer="0" w:header="0"/>
        </w:sectPr>
      </w:pPr>
    </w:p>
    <w:bookmarkStart w:id="8" w:name="page9"/>
    <w:bookmarkEnd w:id="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21,094</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254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58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2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15,157</w:t>
            </w:r>
          </w:p>
        </w:tc>
        <w:tc>
          <w:tcPr>
            <w:tcW w:w="1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Diluted net income per share *</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2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vMerge w:val="continue"/>
          </w:tcPr>
          <w:p>
            <w:pPr>
              <w:spacing w:after="0"/>
              <w:rPr>
                <w:sz w:val="17"/>
                <w:szCs w:val="17"/>
                <w:color w:val="auto"/>
              </w:rPr>
            </w:pPr>
          </w:p>
        </w:tc>
        <w:tc>
          <w:tcPr>
            <w:tcW w:w="2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2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25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30,399</w:t>
            </w:r>
          </w:p>
        </w:tc>
        <w:tc>
          <w:tcPr>
            <w:tcW w:w="1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20" w:right="200" w:hanging="194"/>
        <w:spacing w:after="0" w:line="264"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calculation of earnings per share for common stock shown above excludes the income attributable to the unvested restricted share units from the numerator and excludes the dilutive impact of those units from the denominator. The authoritative guidance had an insignificant impact (impacts the rounding by $0.01 or less per share) on diluted net income per share for both periods.</w:t>
      </w:r>
    </w:p>
    <w:p>
      <w:pPr>
        <w:spacing w:after="0" w:line="3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Listed below are the items included in GAAP revenues and GAAP net income that management excludes in computing the adjusted financial measures referred to in the text of this press release and further described under Discussion of Adjusted Financial Measures.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Growth in total revenues excluding the effects of currency exchange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460"/>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6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gridSpan w:val="5"/>
          </w:tcPr>
          <w:p>
            <w:pPr>
              <w:jc w:val="center"/>
              <w:ind w:left="3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color w:val="auto"/>
                <w:w w:val="86"/>
              </w:rPr>
              <w:t>June 30,</w:t>
            </w: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vMerge w:val="restart"/>
          </w:tcPr>
          <w:p>
            <w:pPr>
              <w:ind w:left="300"/>
              <w:spacing w:after="0"/>
              <w:rPr>
                <w:sz w:val="20"/>
                <w:szCs w:val="20"/>
                <w:color w:val="auto"/>
              </w:rPr>
            </w:pPr>
            <w:r>
              <w:rPr>
                <w:rFonts w:ascii="Arial" w:cs="Arial" w:eastAsia="Arial" w:hAnsi="Arial"/>
                <w:sz w:val="18"/>
                <w:szCs w:val="18"/>
                <w:color w:val="auto"/>
              </w:rPr>
              <w:t>Integra Orthopedics</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5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72,819</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gridSpan w:val="2"/>
          </w:tcPr>
          <w:p>
            <w:pPr>
              <w:jc w:val="center"/>
              <w:ind w:left="290"/>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65,164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Integra NeuroSciences</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66,306</w:t>
            </w: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61,448</w:t>
            </w:r>
          </w:p>
        </w:tc>
        <w:tc>
          <w:tcPr>
            <w:tcW w:w="100" w:type="dxa"/>
            <w:vAlign w:val="bottom"/>
          </w:tcPr>
          <w:p>
            <w:pPr>
              <w:spacing w:after="0"/>
              <w:rPr>
                <w:sz w:val="18"/>
                <w:szCs w:val="18"/>
                <w:color w:val="auto"/>
              </w:rPr>
            </w:pPr>
          </w:p>
        </w:tc>
        <w:tc>
          <w:tcPr>
            <w:tcW w:w="1800" w:type="dxa"/>
            <w:vAlign w:val="bottom"/>
            <w:gridSpan w:val="7"/>
          </w:tcPr>
          <w:p>
            <w:pPr>
              <w:jc w:val="right"/>
              <w:ind w:right="1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040" w:type="dxa"/>
            <w:vAlign w:val="bottom"/>
          </w:tcPr>
          <w:p>
            <w:pPr>
              <w:ind w:left="300"/>
              <w:spacing w:after="0"/>
              <w:rPr>
                <w:sz w:val="20"/>
                <w:szCs w:val="20"/>
                <w:color w:val="auto"/>
              </w:rPr>
            </w:pPr>
            <w:r>
              <w:rPr>
                <w:rFonts w:ascii="Arial" w:cs="Arial" w:eastAsia="Arial" w:hAnsi="Arial"/>
                <w:sz w:val="18"/>
                <w:szCs w:val="18"/>
                <w:color w:val="auto"/>
              </w:rPr>
              <w:t>Integra Medical Instruments</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39,470</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39,113</w:t>
            </w:r>
          </w:p>
        </w:tc>
        <w:tc>
          <w:tcPr>
            <w:tcW w:w="100" w:type="dxa"/>
            <w:vAlign w:val="bottom"/>
          </w:tcPr>
          <w:p>
            <w:pPr>
              <w:spacing w:after="0"/>
              <w:rPr>
                <w:sz w:val="20"/>
                <w:szCs w:val="20"/>
                <w:color w:val="auto"/>
              </w:rPr>
            </w:pPr>
          </w:p>
        </w:tc>
        <w:tc>
          <w:tcPr>
            <w:tcW w:w="1160" w:type="dxa"/>
            <w:vAlign w:val="bottom"/>
            <w:gridSpan w:val="5"/>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00"/>
              <w:spacing w:after="0"/>
              <w:rPr>
                <w:sz w:val="20"/>
                <w:szCs w:val="20"/>
                <w:color w:val="auto"/>
              </w:rPr>
            </w:pPr>
            <w:r>
              <w:rPr>
                <w:rFonts w:ascii="Arial" w:cs="Arial" w:eastAsia="Arial" w:hAnsi="Arial"/>
                <w:sz w:val="18"/>
                <w:szCs w:val="18"/>
                <w:color w:val="auto"/>
              </w:rPr>
              <w:t>Net Sales</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vMerge w:val="restart"/>
          </w:tcPr>
          <w:p>
            <w:pPr>
              <w:jc w:val="center"/>
              <w:ind w:lef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178,595</w:t>
            </w:r>
          </w:p>
        </w:tc>
        <w:tc>
          <w:tcPr>
            <w:tcW w:w="5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165,725</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Impact of changes in</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440"/>
              <w:spacing w:after="0"/>
              <w:rPr>
                <w:sz w:val="20"/>
                <w:szCs w:val="20"/>
                <w:color w:val="auto"/>
              </w:rPr>
            </w:pPr>
            <w:r>
              <w:rPr>
                <w:rFonts w:ascii="Arial" w:cs="Arial" w:eastAsia="Arial" w:hAnsi="Arial"/>
                <w:sz w:val="18"/>
                <w:szCs w:val="18"/>
                <w:color w:val="auto"/>
              </w:rPr>
              <w:t>currency exchange rates</w:t>
            </w:r>
          </w:p>
        </w:tc>
        <w:tc>
          <w:tcPr>
            <w:tcW w:w="5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40" w:type="dxa"/>
            <w:vAlign w:val="bottom"/>
          </w:tcPr>
          <w:p>
            <w:pPr>
              <w:ind w:left="300"/>
              <w:spacing w:after="0"/>
              <w:rPr>
                <w:sz w:val="20"/>
                <w:szCs w:val="20"/>
                <w:color w:val="auto"/>
              </w:rPr>
            </w:pPr>
            <w:r>
              <w:rPr>
                <w:rFonts w:ascii="Arial" w:cs="Arial" w:eastAsia="Arial" w:hAnsi="Arial"/>
                <w:sz w:val="18"/>
                <w:szCs w:val="18"/>
                <w:color w:val="auto"/>
              </w:rPr>
              <w:t>Growth in total revenues</w:t>
            </w:r>
          </w:p>
        </w:tc>
        <w:tc>
          <w:tcPr>
            <w:tcW w:w="5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excluding the effects of</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440"/>
              <w:spacing w:after="0"/>
              <w:rPr>
                <w:sz w:val="20"/>
                <w:szCs w:val="20"/>
                <w:color w:val="auto"/>
              </w:rPr>
            </w:pPr>
            <w:r>
              <w:rPr>
                <w:rFonts w:ascii="Arial" w:cs="Arial" w:eastAsia="Arial" w:hAnsi="Arial"/>
                <w:sz w:val="18"/>
                <w:szCs w:val="18"/>
                <w:color w:val="auto"/>
              </w:rPr>
              <w:t>currency exchange rates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179,143</w:t>
            </w:r>
          </w:p>
        </w:tc>
        <w:tc>
          <w:tcPr>
            <w:tcW w:w="58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$165,725</w:t>
            </w:r>
          </w:p>
        </w:tc>
        <w:tc>
          <w:tcPr>
            <w:tcW w:w="100" w:type="dxa"/>
            <w:vAlign w:val="bottom"/>
          </w:tcPr>
          <w:p>
            <w:pPr>
              <w:spacing w:after="0"/>
              <w:rPr>
                <w:sz w:val="20"/>
                <w:szCs w:val="20"/>
                <w:color w:val="auto"/>
              </w:rPr>
            </w:pPr>
          </w:p>
        </w:tc>
        <w:tc>
          <w:tcPr>
            <w:tcW w:w="1800" w:type="dxa"/>
            <w:vAlign w:val="bottom"/>
            <w:gridSpan w:val="7"/>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40"/>
              <w:spacing w:after="0"/>
              <w:rPr>
                <w:sz w:val="20"/>
                <w:szCs w:val="20"/>
                <w:color w:val="auto"/>
              </w:rPr>
            </w:pPr>
            <w:r>
              <w:rPr>
                <w:rFonts w:ascii="Arial" w:cs="Arial" w:eastAsia="Arial" w:hAnsi="Arial"/>
                <w:sz w:val="18"/>
                <w:szCs w:val="18"/>
                <w:color w:val="auto"/>
              </w:rPr>
              <w:t>Items included in GAAP net income</w:t>
            </w: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40" w:type="dxa"/>
            <w:vAlign w:val="bottom"/>
          </w:tcPr>
          <w:p>
            <w:pPr>
              <w:spacing w:after="0"/>
              <w:rPr>
                <w:sz w:val="20"/>
                <w:szCs w:val="20"/>
                <w:color w:val="auto"/>
              </w:rPr>
            </w:pPr>
            <w:r>
              <w:rPr>
                <w:rFonts w:ascii="Arial" w:cs="Arial" w:eastAsia="Arial" w:hAnsi="Arial"/>
                <w:sz w:val="18"/>
                <w:szCs w:val="18"/>
                <w:color w:val="auto"/>
              </w:rPr>
              <w:t>(In thousands)</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6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80" w:type="dxa"/>
            <w:vAlign w:val="bottom"/>
            <w:gridSpan w:val="9"/>
          </w:tcPr>
          <w:p>
            <w:pPr>
              <w:jc w:val="right"/>
              <w:ind w:right="7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7"/>
          </w:tcPr>
          <w:p>
            <w:pPr>
              <w:jc w:val="right"/>
              <w:ind w:right="118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10"/>
        </w:trPr>
        <w:tc>
          <w:tcPr>
            <w:tcW w:w="6040" w:type="dxa"/>
            <w:vAlign w:val="bottom"/>
            <w:vMerge w:val="restart"/>
          </w:tcPr>
          <w:p>
            <w:pPr>
              <w:ind w:left="300"/>
              <w:spacing w:after="0"/>
              <w:rPr>
                <w:sz w:val="20"/>
                <w:szCs w:val="20"/>
                <w:color w:val="auto"/>
              </w:rPr>
            </w:pPr>
            <w:r>
              <w:rPr>
                <w:rFonts w:ascii="Arial" w:cs="Arial" w:eastAsia="Arial" w:hAnsi="Arial"/>
                <w:sz w:val="18"/>
                <w:szCs w:val="18"/>
                <w:color w:val="auto"/>
              </w:rPr>
              <w:t>Acquisition-related charges (a)</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60" w:type="dxa"/>
            <w:vAlign w:val="bottom"/>
            <w:gridSpan w:val="2"/>
          </w:tcPr>
          <w:p>
            <w:pPr>
              <w:jc w:val="right"/>
              <w:ind w:right="1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480" w:type="dxa"/>
            <w:vAlign w:val="bottom"/>
            <w:gridSpan w:val="6"/>
          </w:tcPr>
          <w:p>
            <w:pPr>
              <w:jc w:val="right"/>
              <w:ind w:right="30"/>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48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190"/>
              <w:spacing w:after="0" w:line="195" w:lineRule="exact"/>
              <w:rPr>
                <w:sz w:val="20"/>
                <w:szCs w:val="20"/>
                <w:color w:val="auto"/>
              </w:rPr>
            </w:pPr>
            <w:r>
              <w:rPr>
                <w:rFonts w:ascii="Arial" w:cs="Arial" w:eastAsia="Arial" w:hAnsi="Arial"/>
                <w:sz w:val="18"/>
                <w:szCs w:val="18"/>
                <w:color w:val="auto"/>
                <w:w w:val="93"/>
              </w:rPr>
              <w:t>640</w:t>
            </w: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gridSpan w:val="2"/>
          </w:tcPr>
          <w:p>
            <w:pPr>
              <w:spacing w:after="0"/>
              <w:rPr>
                <w:sz w:val="16"/>
                <w:szCs w:val="16"/>
                <w:color w:val="auto"/>
              </w:rPr>
            </w:pPr>
          </w:p>
        </w:tc>
        <w:tc>
          <w:tcPr>
            <w:tcW w:w="900" w:type="dxa"/>
            <w:vAlign w:val="bottom"/>
            <w:tcBorders>
              <w:top w:val="single" w:sz="8" w:color="auto"/>
            </w:tcBorders>
            <w:gridSpan w:val="3"/>
          </w:tcPr>
          <w:p>
            <w:pPr>
              <w:jc w:val="right"/>
              <w:ind w:right="10"/>
              <w:spacing w:after="0" w:line="195" w:lineRule="exact"/>
              <w:rPr>
                <w:sz w:val="20"/>
                <w:szCs w:val="20"/>
                <w:color w:val="auto"/>
              </w:rPr>
            </w:pPr>
            <w:r>
              <w:rPr>
                <w:rFonts w:ascii="Arial" w:cs="Arial" w:eastAsia="Arial" w:hAnsi="Arial"/>
                <w:sz w:val="18"/>
                <w:szCs w:val="18"/>
                <w:color w:val="auto"/>
              </w:rPr>
              <w:t>$ 1,924</w:t>
            </w: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Employee termination and related costs (b)</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Intangible asset impairment charges (c) *</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w w:val="93"/>
              </w:rPr>
              <w:t>797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Charges associated with discontinued or withdrawn</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product lines (d)</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Systems implementation charges (e)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w w:val="93"/>
              </w:rPr>
              <w:t>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Facility consolidation, manufacturing and</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distribution transfer charges (f)</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ind w:right="190"/>
              <w:spacing w:after="0"/>
              <w:rPr>
                <w:sz w:val="20"/>
                <w:szCs w:val="20"/>
                <w:color w:val="auto"/>
              </w:rPr>
            </w:pPr>
            <w:r>
              <w:rPr>
                <w:rFonts w:ascii="Arial" w:cs="Arial" w:eastAsia="Arial" w:hAnsi="Arial"/>
                <w:sz w:val="18"/>
                <w:szCs w:val="18"/>
                <w:color w:val="auto"/>
                <w:w w:val="93"/>
              </w:rPr>
              <w:t>236</w:t>
            </w:r>
          </w:p>
        </w:tc>
        <w:tc>
          <w:tcPr>
            <w:tcW w:w="100" w:type="dxa"/>
            <w:vAlign w:val="bottom"/>
          </w:tcPr>
          <w:p>
            <w:pPr>
              <w:spacing w:after="0"/>
              <w:rPr>
                <w:sz w:val="18"/>
                <w:szCs w:val="18"/>
                <w:color w:val="auto"/>
              </w:rPr>
            </w:pP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Loss related to early extinguishment of</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convertible notes (g)</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Non-cash interest expense related to the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implementation of FSP APB 14-1 (h)</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4"/>
          </w:tcPr>
          <w:p>
            <w:pPr>
              <w:jc w:val="right"/>
              <w:ind w:right="19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Intangible asset amortization expense (i) *</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4"/>
          </w:tcPr>
          <w:p>
            <w:pPr>
              <w:jc w:val="right"/>
              <w:ind w:right="19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8"/>
                <w:szCs w:val="18"/>
                <w:color w:val="auto"/>
              </w:rPr>
            </w:pP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4,866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Income tax expense related to</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above adjustments, quarterly adjustments to</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income tax expense related to the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cumulative impact of changes in estimated tax</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rates and certain infrequently occurring items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that affected the reported tax rate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4"/>
          </w:tcPr>
          <w:p>
            <w:pPr>
              <w:jc w:val="right"/>
              <w:ind w:right="13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8"/>
                <w:szCs w:val="18"/>
                <w:color w:val="auto"/>
              </w:rPr>
            </w:pPr>
          </w:p>
        </w:tc>
        <w:tc>
          <w:tcPr>
            <w:tcW w:w="1480" w:type="dxa"/>
            <w:vAlign w:val="bottom"/>
            <w:gridSpan w:val="6"/>
          </w:tcPr>
          <w:p>
            <w:pPr>
              <w:jc w:val="right"/>
              <w:spacing w:after="0"/>
              <w:rPr>
                <w:sz w:val="20"/>
                <w:szCs w:val="20"/>
                <w:color w:val="auto"/>
              </w:rPr>
            </w:pPr>
            <w:r>
              <w:rPr>
                <w:rFonts w:ascii="Arial" w:cs="Arial" w:eastAsia="Arial" w:hAnsi="Arial"/>
                <w:sz w:val="18"/>
                <w:szCs w:val="18"/>
                <w:color w:val="auto"/>
              </w:rPr>
              <w:t>(3,174)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4"/>
          </w:tcPr>
          <w:p>
            <w:pPr>
              <w:jc w:val="right"/>
              <w:ind w:right="190"/>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3,971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300"/>
              <w:spacing w:after="0"/>
              <w:rPr>
                <w:sz w:val="20"/>
                <w:szCs w:val="20"/>
                <w:color w:val="auto"/>
              </w:rPr>
            </w:pPr>
            <w:r>
              <w:rPr>
                <w:rFonts w:ascii="Arial" w:cs="Arial" w:eastAsia="Arial" w:hAnsi="Arial"/>
                <w:sz w:val="18"/>
                <w:szCs w:val="18"/>
                <w:color w:val="auto"/>
              </w:rPr>
              <w:t>Depreciation expense</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gridSpan w:val="4"/>
          </w:tcPr>
          <w:p>
            <w:pPr>
              <w:jc w:val="right"/>
              <w:ind w:right="190"/>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0"/>
                <w:szCs w:val="20"/>
                <w:color w:val="auto"/>
              </w:rPr>
            </w:pPr>
          </w:p>
        </w:tc>
        <w:tc>
          <w:tcPr>
            <w:tcW w:w="1480" w:type="dxa"/>
            <w:vAlign w:val="bottom"/>
            <w:gridSpan w:val="6"/>
          </w:tcPr>
          <w:p>
            <w:pPr>
              <w:jc w:val="right"/>
              <w:ind w:right="10"/>
              <w:spacing w:after="0"/>
              <w:rPr>
                <w:sz w:val="20"/>
                <w:szCs w:val="20"/>
                <w:color w:val="auto"/>
              </w:rPr>
            </w:pPr>
            <w:r>
              <w:rPr>
                <w:rFonts w:ascii="Arial" w:cs="Arial" w:eastAsia="Arial" w:hAnsi="Arial"/>
                <w:sz w:val="18"/>
                <w:szCs w:val="18"/>
                <w:color w:val="auto"/>
              </w:rPr>
              <w:t>3,601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right="960" w:hanging="229"/>
        <w:spacing w:after="0" w:line="501" w:lineRule="auto"/>
        <w:tabs>
          <w:tab w:leader="none" w:pos="3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Q2 2010 — $386 recorded in cost of product revenues, $206 in selling general and administrative, and $48 in research and development; Q2 2009 – all recorded in cost of product revenues.</w:t>
      </w:r>
    </w:p>
    <w:p>
      <w:pPr>
        <w:ind w:left="340" w:hanging="326"/>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Q2 2009 – all recorded in selling general and administrative.</w:t>
      </w:r>
    </w:p>
    <w:p>
      <w:pPr>
        <w:spacing w:after="0" w:line="225" w:lineRule="exact"/>
        <w:rPr>
          <w:rFonts w:ascii="Arial" w:cs="Arial" w:eastAsia="Arial" w:hAnsi="Arial"/>
          <w:sz w:val="18"/>
          <w:szCs w:val="18"/>
          <w:color w:val="auto"/>
        </w:rPr>
      </w:pPr>
    </w:p>
    <w:p>
      <w:pPr>
        <w:ind w:left="320" w:hanging="309"/>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Q2 2010 – all recorded in intangible asset amortization.</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Q2 2009 – all recorded in cost of product revenues.</w:t>
      </w:r>
    </w:p>
    <w:p>
      <w:pPr>
        <w:sectPr>
          <w:pgSz w:w="11900" w:h="16838" w:orient="portrait"/>
          <w:cols w:equalWidth="0" w:num="1">
            <w:col w:w="11140"/>
          </w:cols>
          <w:pgMar w:left="240" w:top="139" w:right="51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840" w:hanging="542"/>
        <w:spacing w:after="0"/>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Q2 2010 — all recorded in selling general and administrative.</w:t>
      </w:r>
    </w:p>
    <w:p>
      <w:pPr>
        <w:sectPr>
          <w:pgSz w:w="11900" w:h="16838" w:orient="portrait"/>
          <w:cols w:equalWidth="0" w:num="1">
            <w:col w:w="11140"/>
          </w:cols>
          <w:pgMar w:left="240" w:top="139" w:right="519" w:bottom="0" w:gutter="0" w:footer="0" w:header="0"/>
          <w:type w:val="continuous"/>
        </w:sectPr>
      </w:pPr>
    </w:p>
    <w:bookmarkStart w:id="9" w:name="page10"/>
    <w:bookmarkEnd w:id="9"/>
    <w:p>
      <w:pPr>
        <w:ind w:left="840" w:hanging="54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recorded in cost of product revenues.</w:t>
      </w:r>
    </w:p>
    <w:p>
      <w:pPr>
        <w:spacing w:after="0" w:line="23" w:lineRule="exact"/>
        <w:rPr>
          <w:rFonts w:ascii="Arial" w:cs="Arial" w:eastAsia="Arial" w:hAnsi="Arial"/>
          <w:sz w:val="18"/>
          <w:szCs w:val="18"/>
          <w:color w:val="auto"/>
        </w:rPr>
      </w:pPr>
    </w:p>
    <w:p>
      <w:pPr>
        <w:ind w:left="840" w:hanging="54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Q2 2009 – all recorded in other income (expense), net.</w:t>
      </w:r>
    </w:p>
    <w:p>
      <w:pPr>
        <w:spacing w:after="0" w:line="9" w:lineRule="exact"/>
        <w:rPr>
          <w:rFonts w:ascii="Arial" w:cs="Arial" w:eastAsia="Arial" w:hAnsi="Arial"/>
          <w:sz w:val="18"/>
          <w:szCs w:val="18"/>
          <w:color w:val="auto"/>
        </w:rPr>
      </w:pPr>
    </w:p>
    <w:p>
      <w:pPr>
        <w:ind w:left="840" w:hanging="542"/>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recorded in interest expense.</w:t>
      </w:r>
    </w:p>
    <w:p>
      <w:pPr>
        <w:spacing w:after="0" w:line="9" w:lineRule="exact"/>
        <w:rPr>
          <w:rFonts w:ascii="Arial" w:cs="Arial" w:eastAsia="Arial" w:hAnsi="Arial"/>
          <w:sz w:val="18"/>
          <w:szCs w:val="18"/>
          <w:color w:val="auto"/>
        </w:rPr>
      </w:pPr>
    </w:p>
    <w:p>
      <w:pPr>
        <w:jc w:val="both"/>
        <w:ind w:left="840" w:right="3100" w:hanging="542"/>
        <w:spacing w:after="0" w:line="323"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Q2 2010 – $1,433 recorded in cost of product revenues, and $2,778 in intangible asset amortization; Q2 2009 – $1,405 recorded in cost of product revenues, and $3,461 in intangible asset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Intangible asset amortization expense in (i) excludes $797 already mentioned in item (c).</w:t>
      </w:r>
    </w:p>
    <w:p>
      <w:pPr>
        <w:spacing w:after="0" w:line="18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NON-GAAP ADJUSTMENTS – GAAP NET INCOME TO ADJUSTED EBITDA AND ADJUSTED EBITDA</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EXCLUDING STOCK BASED COMPENSATION</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7"/>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center"/>
              <w:ind w:right="100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10"/>
        </w:trPr>
        <w:tc>
          <w:tcPr>
            <w:tcW w:w="802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820" w:type="dxa"/>
            <w:vAlign w:val="bottom"/>
            <w:tcBorders>
              <w:top w:val="single" w:sz="8" w:color="auto"/>
            </w:tcBorders>
            <w:gridSpan w:val="3"/>
          </w:tcPr>
          <w:p>
            <w:pPr>
              <w:jc w:val="right"/>
              <w:spacing w:after="0" w:line="195" w:lineRule="exact"/>
              <w:rPr>
                <w:sz w:val="20"/>
                <w:szCs w:val="20"/>
                <w:color w:val="auto"/>
              </w:rPr>
            </w:pPr>
            <w:r>
              <w:rPr>
                <w:rFonts w:ascii="Arial" w:cs="Arial" w:eastAsia="Arial" w:hAnsi="Arial"/>
                <w:sz w:val="18"/>
                <w:szCs w:val="18"/>
                <w:color w:val="auto"/>
              </w:rPr>
              <w:t>$15,157</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$11,225</w:t>
            </w: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Depreciation and intangible asset amortization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expense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8,726</w:t>
            </w:r>
          </w:p>
        </w:tc>
        <w:tc>
          <w:tcPr>
            <w:tcW w:w="1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8,467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80" w:type="dxa"/>
            <w:vAlign w:val="bottom"/>
            <w:gridSpan w:val="4"/>
          </w:tcPr>
          <w:p>
            <w:pPr>
              <w:jc w:val="right"/>
              <w:ind w:right="100"/>
              <w:spacing w:after="0"/>
              <w:rPr>
                <w:sz w:val="20"/>
                <w:szCs w:val="20"/>
                <w:color w:val="auto"/>
              </w:rPr>
            </w:pPr>
            <w:r>
              <w:rPr>
                <w:rFonts w:ascii="Arial" w:cs="Arial" w:eastAsia="Arial" w:hAnsi="Arial"/>
                <w:sz w:val="18"/>
                <w:szCs w:val="18"/>
                <w:color w:val="auto"/>
              </w:rPr>
              <w:t>(763)</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481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4,248</w:t>
            </w:r>
          </w:p>
        </w:tc>
        <w:tc>
          <w:tcPr>
            <w:tcW w:w="1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6,040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 expense</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5,937</w:t>
            </w:r>
          </w:p>
        </w:tc>
        <w:tc>
          <w:tcPr>
            <w:tcW w:w="1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6,159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1,924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Employee termination and related costs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Total of non-GAAP adjustments</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20,369</w:t>
            </w:r>
          </w:p>
        </w:tc>
        <w:tc>
          <w:tcPr>
            <w:tcW w:w="16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23,702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35,526</w:t>
            </w: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34,927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3,971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20" w:type="dxa"/>
            <w:vAlign w:val="bottom"/>
          </w:tcPr>
          <w:p>
            <w:pPr>
              <w:spacing w:after="0"/>
              <w:rPr>
                <w:sz w:val="20"/>
                <w:szCs w:val="20"/>
                <w:color w:val="auto"/>
              </w:rPr>
            </w:pPr>
            <w:r>
              <w:rPr>
                <w:rFonts w:ascii="Arial" w:cs="Arial" w:eastAsia="Arial" w:hAnsi="Arial"/>
                <w:sz w:val="18"/>
                <w:szCs w:val="18"/>
                <w:color w:val="auto"/>
              </w:rPr>
              <w:t>Adjusted EBITDA excluding stock-based compensation</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39,203</w:t>
            </w: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38,898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NON-GAAP ADJUSTMENTS – GAAP NET INCOME TO MEASURES OF ADJUSTED NET INCOME AND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ADJUSTED EARNINGS PER SHARE</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8"/>
          </w:tcPr>
          <w:p>
            <w:pPr>
              <w:jc w:val="right"/>
              <w:ind w:right="6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June 30,</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2010</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20" w:type="dxa"/>
            <w:vAlign w:val="bottom"/>
            <w:vMerge w:val="continue"/>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15,157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7"/>
              </w:rPr>
              <w:t>11,225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Non-GAAP adjustments: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Employee termination and related costs</w:t>
            </w:r>
          </w:p>
        </w:tc>
        <w:tc>
          <w:tcPr>
            <w:tcW w:w="3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3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Facility consolidation, manufacturing and</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distribution transfer charges</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Loss related to early extinguishment of</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convertible notes</w:t>
            </w:r>
          </w:p>
        </w:tc>
        <w:tc>
          <w:tcPr>
            <w:tcW w:w="3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Non-cash interest expense related to the</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implementation of FSP APB 14-1</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4,866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 expense related to above adjustments,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quarterly adjustments to income tax expense</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related to the cumulative impact of changes in</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estimated tax rates and certain infrequently</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occurring items that affected the reported tax rate</w:t>
            </w:r>
          </w:p>
        </w:tc>
        <w:tc>
          <w:tcPr>
            <w:tcW w:w="3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(2,593)</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(3,175)</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of non-GAAP adjustments</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Adjusted 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20,884</w:t>
            </w:r>
          </w:p>
        </w:tc>
        <w:tc>
          <w:tcPr>
            <w:tcW w:w="1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18,325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Adjusted diluted net income per share (1)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0.68</w:t>
            </w:r>
          </w:p>
        </w:tc>
        <w:tc>
          <w:tcPr>
            <w:tcW w:w="16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for</w:t>
            </w: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diluted net income per share</w:t>
            </w: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30,399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29,202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25" w:right="519" w:bottom="0" w:gutter="0" w:footer="0" w:header="0"/>
        </w:sectPr>
      </w:pPr>
    </w:p>
    <w:bookmarkStart w:id="10" w:name="page11"/>
    <w:bookmarkEnd w:id="10"/>
    <w:p>
      <w:pPr>
        <w:ind w:left="340" w:hanging="326"/>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calculation of earnings per share for common stock shown above excludes the income attributable to the unvested restricted share units from the numerator and excludes the dilutive impact of those units from the denominator. The authoritative guidance had an insignificant impact ($0.01 or less per share) on diluted net income per share for both periods.</w:t>
      </w:r>
    </w:p>
    <w:p>
      <w:pPr>
        <w:spacing w:after="0" w:line="39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CONDENSED BALANCE SHEET DATA</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(In thousands)</w:t>
            </w:r>
          </w:p>
        </w:tc>
        <w:tc>
          <w:tcPr>
            <w:tcW w:w="1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6820" w:type="dxa"/>
            <w:vAlign w:val="bottom"/>
          </w:tcPr>
          <w:p>
            <w:pPr>
              <w:spacing w:after="0"/>
              <w:rPr>
                <w:sz w:val="24"/>
                <w:szCs w:val="24"/>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24"/>
                <w:szCs w:val="24"/>
                <w:color w:val="auto"/>
              </w:rPr>
            </w:pPr>
          </w:p>
        </w:tc>
        <w:tc>
          <w:tcPr>
            <w:tcW w:w="1960" w:type="dxa"/>
            <w:vAlign w:val="bottom"/>
          </w:tcPr>
          <w:p>
            <w:pPr>
              <w:jc w:val="right"/>
              <w:ind w:right="3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820" w:type="dxa"/>
            <w:vAlign w:val="bottom"/>
            <w:vMerge w:val="restart"/>
          </w:tcPr>
          <w:p>
            <w:pPr>
              <w:ind w:left="300"/>
              <w:spacing w:after="0"/>
              <w:rPr>
                <w:sz w:val="20"/>
                <w:szCs w:val="20"/>
                <w:color w:val="auto"/>
              </w:rPr>
            </w:pPr>
            <w:r>
              <w:rPr>
                <w:rFonts w:ascii="Arial" w:cs="Arial" w:eastAsia="Arial" w:hAnsi="Arial"/>
                <w:sz w:val="18"/>
                <w:szCs w:val="18"/>
                <w:color w:val="auto"/>
              </w:rPr>
              <w:t>Cash and cash equivalents</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2010</w:t>
            </w:r>
          </w:p>
        </w:tc>
        <w:tc>
          <w:tcPr>
            <w:tcW w:w="2440" w:type="dxa"/>
            <w:vAlign w:val="bottom"/>
            <w:gridSpan w:val="2"/>
          </w:tcPr>
          <w:p>
            <w:pPr>
              <w:jc w:val="right"/>
              <w:ind w:right="7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195"/>
        </w:trPr>
        <w:tc>
          <w:tcPr>
            <w:tcW w:w="6820" w:type="dxa"/>
            <w:vAlign w:val="bottom"/>
            <w:vMerge w:val="continue"/>
          </w:tcPr>
          <w:p>
            <w:pPr>
              <w:spacing w:after="0"/>
              <w:rPr>
                <w:sz w:val="16"/>
                <w:szCs w:val="16"/>
                <w:color w:val="auto"/>
              </w:rPr>
            </w:pPr>
          </w:p>
        </w:tc>
        <w:tc>
          <w:tcPr>
            <w:tcW w:w="1880" w:type="dxa"/>
            <w:vAlign w:val="bottom"/>
            <w:tcBorders>
              <w:top w:val="single" w:sz="8" w:color="auto"/>
            </w:tcBorders>
          </w:tcPr>
          <w:p>
            <w:pPr>
              <w:jc w:val="right"/>
              <w:ind w:right="590"/>
              <w:spacing w:after="0" w:line="195" w:lineRule="exact"/>
              <w:rPr>
                <w:sz w:val="20"/>
                <w:szCs w:val="20"/>
                <w:color w:val="auto"/>
              </w:rPr>
            </w:pPr>
            <w:r>
              <w:rPr>
                <w:rFonts w:ascii="Arial" w:cs="Arial" w:eastAsia="Arial" w:hAnsi="Arial"/>
                <w:sz w:val="18"/>
                <w:szCs w:val="18"/>
                <w:color w:val="auto"/>
              </w:rPr>
              <w:t>$ 93,618</w:t>
            </w:r>
          </w:p>
        </w:tc>
        <w:tc>
          <w:tcPr>
            <w:tcW w:w="480" w:type="dxa"/>
            <w:vAlign w:val="bottom"/>
          </w:tcPr>
          <w:p>
            <w:pPr>
              <w:spacing w:after="0"/>
              <w:rPr>
                <w:sz w:val="16"/>
                <w:szCs w:val="16"/>
                <w:color w:val="auto"/>
              </w:rPr>
            </w:pPr>
          </w:p>
        </w:tc>
        <w:tc>
          <w:tcPr>
            <w:tcW w:w="1960" w:type="dxa"/>
            <w:vAlign w:val="bottom"/>
            <w:tcBorders>
              <w:top w:val="single" w:sz="8" w:color="auto"/>
            </w:tcBorders>
          </w:tcPr>
          <w:p>
            <w:pPr>
              <w:jc w:val="right"/>
              <w:ind w:right="650"/>
              <w:spacing w:after="0" w:line="195" w:lineRule="exact"/>
              <w:rPr>
                <w:sz w:val="20"/>
                <w:szCs w:val="20"/>
                <w:color w:val="auto"/>
              </w:rPr>
            </w:pPr>
            <w:r>
              <w:rPr>
                <w:rFonts w:ascii="Arial" w:cs="Arial" w:eastAsia="Arial" w:hAnsi="Arial"/>
                <w:sz w:val="18"/>
                <w:szCs w:val="18"/>
                <w:color w:val="auto"/>
              </w:rPr>
              <w:t>$ 71,891</w:t>
            </w:r>
          </w:p>
        </w:tc>
        <w:tc>
          <w:tcPr>
            <w:tcW w:w="0" w:type="dxa"/>
            <w:vAlign w:val="bottom"/>
          </w:tcPr>
          <w:p>
            <w:pPr>
              <w:spacing w:after="0"/>
              <w:rPr>
                <w:sz w:val="1"/>
                <w:szCs w:val="1"/>
                <w:color w:val="auto"/>
              </w:rPr>
            </w:pPr>
          </w:p>
        </w:tc>
      </w:tr>
      <w:tr>
        <w:trPr>
          <w:trHeight w:val="216"/>
        </w:trPr>
        <w:tc>
          <w:tcPr>
            <w:tcW w:w="6820" w:type="dxa"/>
            <w:vAlign w:val="bottom"/>
          </w:tcPr>
          <w:p>
            <w:pPr>
              <w:ind w:left="300"/>
              <w:spacing w:after="0"/>
              <w:rPr>
                <w:sz w:val="20"/>
                <w:szCs w:val="20"/>
                <w:color w:val="auto"/>
              </w:rPr>
            </w:pPr>
            <w:r>
              <w:rPr>
                <w:rFonts w:ascii="Arial" w:cs="Arial" w:eastAsia="Arial" w:hAnsi="Arial"/>
                <w:sz w:val="18"/>
                <w:szCs w:val="18"/>
                <w:color w:val="auto"/>
              </w:rPr>
              <w:t>Accounts receivable, net</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97,779</w:t>
            </w:r>
          </w:p>
        </w:tc>
        <w:tc>
          <w:tcPr>
            <w:tcW w:w="2440" w:type="dxa"/>
            <w:vAlign w:val="bottom"/>
            <w:gridSpan w:val="2"/>
          </w:tcPr>
          <w:p>
            <w:pPr>
              <w:jc w:val="right"/>
              <w:ind w:right="650"/>
              <w:spacing w:after="0"/>
              <w:rPr>
                <w:sz w:val="20"/>
                <w:szCs w:val="20"/>
                <w:color w:val="auto"/>
              </w:rPr>
            </w:pPr>
            <w:r>
              <w:rPr>
                <w:rFonts w:ascii="Arial" w:cs="Arial" w:eastAsia="Arial" w:hAnsi="Arial"/>
                <w:sz w:val="18"/>
                <w:szCs w:val="18"/>
                <w:color w:val="auto"/>
              </w:rPr>
              <w:t>103,228</w:t>
            </w:r>
          </w:p>
        </w:tc>
        <w:tc>
          <w:tcPr>
            <w:tcW w:w="0" w:type="dxa"/>
            <w:vAlign w:val="bottom"/>
          </w:tcPr>
          <w:p>
            <w:pPr>
              <w:spacing w:after="0"/>
              <w:rPr>
                <w:sz w:val="1"/>
                <w:szCs w:val="1"/>
                <w:color w:val="auto"/>
              </w:rPr>
            </w:pPr>
          </w:p>
        </w:tc>
      </w:tr>
      <w:tr>
        <w:trPr>
          <w:trHeight w:val="216"/>
        </w:trPr>
        <w:tc>
          <w:tcPr>
            <w:tcW w:w="6820" w:type="dxa"/>
            <w:vAlign w:val="bottom"/>
          </w:tcPr>
          <w:p>
            <w:pPr>
              <w:ind w:left="300"/>
              <w:spacing w:after="0"/>
              <w:rPr>
                <w:sz w:val="20"/>
                <w:szCs w:val="20"/>
                <w:color w:val="auto"/>
              </w:rPr>
            </w:pPr>
            <w:r>
              <w:rPr>
                <w:rFonts w:ascii="Arial" w:cs="Arial" w:eastAsia="Arial" w:hAnsi="Arial"/>
                <w:sz w:val="18"/>
                <w:szCs w:val="18"/>
                <w:color w:val="auto"/>
              </w:rPr>
              <w:t>Inventory, net</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143,253</w:t>
            </w:r>
          </w:p>
        </w:tc>
        <w:tc>
          <w:tcPr>
            <w:tcW w:w="2440" w:type="dxa"/>
            <w:vAlign w:val="bottom"/>
            <w:gridSpan w:val="2"/>
          </w:tcPr>
          <w:p>
            <w:pPr>
              <w:jc w:val="right"/>
              <w:ind w:right="650"/>
              <w:spacing w:after="0"/>
              <w:rPr>
                <w:sz w:val="20"/>
                <w:szCs w:val="20"/>
                <w:color w:val="auto"/>
              </w:rPr>
            </w:pPr>
            <w:r>
              <w:rPr>
                <w:rFonts w:ascii="Arial" w:cs="Arial" w:eastAsia="Arial" w:hAnsi="Arial"/>
                <w:sz w:val="18"/>
                <w:szCs w:val="18"/>
                <w:color w:val="auto"/>
              </w:rPr>
              <w:t>140,240</w:t>
            </w:r>
          </w:p>
        </w:tc>
        <w:tc>
          <w:tcPr>
            <w:tcW w:w="0" w:type="dxa"/>
            <w:vAlign w:val="bottom"/>
          </w:tcPr>
          <w:p>
            <w:pPr>
              <w:spacing w:after="0"/>
              <w:rPr>
                <w:sz w:val="1"/>
                <w:szCs w:val="1"/>
                <w:color w:val="auto"/>
              </w:rPr>
            </w:pPr>
          </w:p>
        </w:tc>
      </w:tr>
      <w:tr>
        <w:trPr>
          <w:trHeight w:val="216"/>
        </w:trPr>
        <w:tc>
          <w:tcPr>
            <w:tcW w:w="6820" w:type="dxa"/>
            <w:vAlign w:val="bottom"/>
          </w:tcPr>
          <w:p>
            <w:pPr>
              <w:ind w:left="300"/>
              <w:spacing w:after="0"/>
              <w:rPr>
                <w:sz w:val="20"/>
                <w:szCs w:val="20"/>
                <w:color w:val="auto"/>
              </w:rPr>
            </w:pPr>
            <w:r>
              <w:rPr>
                <w:rFonts w:ascii="Arial" w:cs="Arial" w:eastAsia="Arial" w:hAnsi="Arial"/>
                <w:sz w:val="18"/>
                <w:szCs w:val="18"/>
                <w:color w:val="auto"/>
              </w:rPr>
              <w:t>Bank line of credit</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220,000</w:t>
            </w:r>
          </w:p>
        </w:tc>
        <w:tc>
          <w:tcPr>
            <w:tcW w:w="2440" w:type="dxa"/>
            <w:vAlign w:val="bottom"/>
            <w:gridSpan w:val="2"/>
          </w:tcPr>
          <w:p>
            <w:pPr>
              <w:jc w:val="right"/>
              <w:ind w:right="650"/>
              <w:spacing w:after="0"/>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16"/>
        </w:trPr>
        <w:tc>
          <w:tcPr>
            <w:tcW w:w="6820" w:type="dxa"/>
            <w:vAlign w:val="bottom"/>
          </w:tcPr>
          <w:p>
            <w:pPr>
              <w:ind w:left="300"/>
              <w:spacing w:after="0"/>
              <w:rPr>
                <w:sz w:val="20"/>
                <w:szCs w:val="20"/>
                <w:color w:val="auto"/>
              </w:rPr>
            </w:pPr>
            <w:r>
              <w:rPr>
                <w:rFonts w:ascii="Arial" w:cs="Arial" w:eastAsia="Arial" w:hAnsi="Arial"/>
                <w:sz w:val="18"/>
                <w:szCs w:val="18"/>
                <w:color w:val="auto"/>
              </w:rPr>
              <w:t>Convertible securities</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151,900</w:t>
            </w:r>
          </w:p>
        </w:tc>
        <w:tc>
          <w:tcPr>
            <w:tcW w:w="2440" w:type="dxa"/>
            <w:vAlign w:val="bottom"/>
            <w:gridSpan w:val="2"/>
          </w:tcPr>
          <w:p>
            <w:pPr>
              <w:jc w:val="right"/>
              <w:ind w:right="650"/>
              <w:spacing w:after="0"/>
              <w:rPr>
                <w:sz w:val="20"/>
                <w:szCs w:val="20"/>
                <w:color w:val="auto"/>
              </w:rPr>
            </w:pPr>
            <w:r>
              <w:rPr>
                <w:rFonts w:ascii="Arial" w:cs="Arial" w:eastAsia="Arial" w:hAnsi="Arial"/>
                <w:sz w:val="18"/>
                <w:szCs w:val="18"/>
                <w:color w:val="auto"/>
              </w:rPr>
              <w:t>225,514</w:t>
            </w:r>
          </w:p>
        </w:tc>
        <w:tc>
          <w:tcPr>
            <w:tcW w:w="0" w:type="dxa"/>
            <w:vAlign w:val="bottom"/>
          </w:tcPr>
          <w:p>
            <w:pPr>
              <w:spacing w:after="0"/>
              <w:rPr>
                <w:sz w:val="1"/>
                <w:szCs w:val="1"/>
                <w:color w:val="auto"/>
              </w:rPr>
            </w:pPr>
          </w:p>
        </w:tc>
      </w:tr>
      <w:tr>
        <w:trPr>
          <w:trHeight w:val="230"/>
        </w:trPr>
        <w:tc>
          <w:tcPr>
            <w:tcW w:w="6820" w:type="dxa"/>
            <w:vAlign w:val="bottom"/>
          </w:tcPr>
          <w:p>
            <w:pPr>
              <w:ind w:left="300"/>
              <w:spacing w:after="0"/>
              <w:rPr>
                <w:sz w:val="20"/>
                <w:szCs w:val="20"/>
                <w:color w:val="auto"/>
              </w:rPr>
            </w:pPr>
            <w:r>
              <w:rPr>
                <w:rFonts w:ascii="Arial" w:cs="Arial" w:eastAsia="Arial" w:hAnsi="Arial"/>
                <w:sz w:val="18"/>
                <w:szCs w:val="18"/>
                <w:color w:val="auto"/>
              </w:rPr>
              <w:t>Stockholders’ equity</w:t>
            </w:r>
          </w:p>
        </w:tc>
        <w:tc>
          <w:tcPr>
            <w:tcW w:w="1880" w:type="dxa"/>
            <w:vAlign w:val="bottom"/>
          </w:tcPr>
          <w:p>
            <w:pPr>
              <w:jc w:val="right"/>
              <w:ind w:right="590"/>
              <w:spacing w:after="0"/>
              <w:rPr>
                <w:sz w:val="20"/>
                <w:szCs w:val="20"/>
                <w:color w:val="auto"/>
              </w:rPr>
            </w:pPr>
            <w:r>
              <w:rPr>
                <w:rFonts w:ascii="Arial" w:cs="Arial" w:eastAsia="Arial" w:hAnsi="Arial"/>
                <w:sz w:val="18"/>
                <w:szCs w:val="18"/>
                <w:color w:val="auto"/>
              </w:rPr>
              <w:t>460,376</w:t>
            </w:r>
          </w:p>
        </w:tc>
        <w:tc>
          <w:tcPr>
            <w:tcW w:w="2440" w:type="dxa"/>
            <w:vAlign w:val="bottom"/>
            <w:gridSpan w:val="2"/>
          </w:tcPr>
          <w:p>
            <w:pPr>
              <w:jc w:val="right"/>
              <w:ind w:right="650"/>
              <w:spacing w:after="0"/>
              <w:rPr>
                <w:sz w:val="20"/>
                <w:szCs w:val="20"/>
                <w:color w:val="auto"/>
              </w:rPr>
            </w:pPr>
            <w:r>
              <w:rPr>
                <w:rFonts w:ascii="Arial" w:cs="Arial" w:eastAsia="Arial" w:hAnsi="Arial"/>
                <w:sz w:val="18"/>
                <w:szCs w:val="18"/>
                <w:color w:val="auto"/>
              </w:rPr>
              <w:t>444,885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INTEGRA LIFESCIENCES HOLDINGS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RECONCILIATION OF NON-GAAP ADJUSTMENTS –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5"/>
          </w:tcPr>
          <w:p>
            <w:pPr>
              <w:jc w:val="right"/>
              <w:ind w:right="840"/>
              <w:spacing w:after="0"/>
              <w:rPr>
                <w:sz w:val="20"/>
                <w:szCs w:val="20"/>
                <w:color w:val="auto"/>
              </w:rPr>
            </w:pPr>
            <w:r>
              <w:rPr>
                <w:rFonts w:ascii="Arial" w:cs="Arial" w:eastAsia="Arial" w:hAnsi="Arial"/>
                <w:sz w:val="18"/>
                <w:szCs w:val="18"/>
                <w:color w:val="auto"/>
              </w:rPr>
              <w:t>Projected Year Ended</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color w:val="auto"/>
              </w:rPr>
              <w:t>December 31, 2010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Low</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High</w:t>
            </w:r>
          </w:p>
        </w:tc>
        <w:tc>
          <w:tcPr>
            <w:tcW w:w="5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GAAP net income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58,460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63,160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Non-GAAP adjustments: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Acquisition-related charges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1,720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Employee termination and related charges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Intangible asset impairment charges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Charges associated with discontinued or withdrawn</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product lines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Systems implementation charges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3,310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Facility consolidation, manufacturing</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and distribution transfer charges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Non-cash interest expense related to</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the application of FSP APB 14-1</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7,120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Intangible asset amortization expense</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17,050</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17,050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tax expense related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to above adjustments</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w w:val="89"/>
              </w:rPr>
              <w:t>(11,990)</w:t>
            </w:r>
          </w:p>
        </w:tc>
        <w:tc>
          <w:tcPr>
            <w:tcW w:w="8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(11,990)</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 of non-GAAP adjustments</w:t>
            </w: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20,840</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20,840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Arial" w:cs="Arial" w:eastAsia="Arial" w:hAnsi="Arial"/>
                <w:sz w:val="18"/>
                <w:szCs w:val="18"/>
                <w:color w:val="auto"/>
              </w:rPr>
              <w:t>Adjusted net income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79,300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84,000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GAAP diluted net income per share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Non-GAAP adjustments detailed above</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Adjusted diluted net income per share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1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Arial" w:cs="Arial" w:eastAsia="Arial" w:hAnsi="Arial"/>
                <w:sz w:val="18"/>
                <w:szCs w:val="18"/>
                <w:color w:val="auto"/>
              </w:rPr>
              <w:t>outstanding for diluted net</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30,500</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30,500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IART-F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Integra LifeSciences Holdings Corporation</w:t>
      </w:r>
    </w:p>
    <w:sectPr>
      <w:pgSz w:w="11900" w:h="16838" w:orient="portrait"/>
      <w:cols w:equalWidth="0" w:num="1">
        <w:col w:w="11140"/>
      </w:cols>
      <w:pgMar w:left="24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lowerRoman"/>
      <w:start w:val="3"/>
    </w:lvl>
  </w:abstractNum>
  <w:abstractNum w:abstractNumId="6">
    <w:nsid w:val="216231B"/>
    <w:multiLevelType w:val="hybridMultilevel"/>
    <w:lvl w:ilvl="0">
      <w:lvlJc w:val="left"/>
      <w:lvlText w:val="(%1)"/>
      <w:numFmt w:val="lowerRoman"/>
      <w:start w:val="6"/>
    </w:lvl>
  </w:abstractNum>
  <w:abstractNum w:abstractNumId="7">
    <w:nsid w:val="1F16E9E8"/>
    <w:multiLevelType w:val="hybridMultilevel"/>
    <w:lvl w:ilvl="0">
      <w:lvlJc w:val="left"/>
      <w:lvlText w:val="(%1)"/>
      <w:numFmt w:val="lowerRoman"/>
      <w:start w:val="9"/>
    </w:lvl>
  </w:abstractNum>
  <w:abstractNum w:abstractNumId="8">
    <w:nsid w:val="1190CDE7"/>
    <w:multiLevelType w:val="hybridMultilevel"/>
    <w:lvl w:ilvl="0">
      <w:lvlJc w:val="left"/>
      <w:lvlText w:val="(%1)"/>
      <w:numFmt w:val="lowerRoman"/>
      <w:start w:val="12"/>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5"/>
    </w:lvl>
  </w:abstractNum>
  <w:abstractNum w:abstractNumId="12">
    <w:nsid w:val="109CF92E"/>
    <w:multiLevelType w:val="hybridMultilevel"/>
    <w:lvl w:ilvl="0">
      <w:lvlJc w:val="left"/>
      <w:lvlText w:val="(%1)"/>
      <w:numFmt w:val="lowerLetter"/>
      <w:start w:val="6"/>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2019-12-10T11:06:45Z</dcterms:created>
  <dcterms:modified xsi:type="dcterms:W3CDTF">2019-12-10T11:06:45Z</dcterms:modified>
</cp:coreProperties>
</file>