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7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x</w:t>
            </w:r>
          </w:p>
        </w:tc>
        <w:tc>
          <w:tcPr>
            <w:tcW w:w="58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7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o</w:t>
            </w:r>
          </w:p>
        </w:tc>
        <w:tc>
          <w:tcPr>
            <w:tcW w:w="582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April 29, 2015 was 32,934,413.</w:t>
      </w:r>
    </w:p>
    <w:p>
      <w:pPr>
        <w:sectPr>
          <w:pgSz w:w="11900" w:h="16838" w:orient="portrait"/>
          <w:cols w:equalWidth="0" w:num="1">
            <w:col w:w="11420"/>
          </w:cols>
          <w:pgMar w:left="240" w:top="51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4"/>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4"/>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920" w:type="dxa"/>
            <w:vAlign w:val="bottom"/>
            <w:gridSpan w:val="13"/>
          </w:tcPr>
          <w:p>
            <w:pPr>
              <w:spacing w:after="0"/>
              <w:rPr>
                <w:sz w:val="20"/>
                <w:szCs w:val="20"/>
                <w:color w:val="auto"/>
              </w:rPr>
            </w:pPr>
            <w:r>
              <w:rPr>
                <w:rFonts w:ascii="Arial" w:cs="Arial" w:eastAsia="Arial" w:hAnsi="Arial"/>
                <w:sz w:val="16"/>
                <w:szCs w:val="16"/>
                <w:color w:val="0000FF"/>
                <w:w w:val="90"/>
              </w:rPr>
              <w:t>Condensed Consolidated Statements of Operations and Comprehensive (Loss) Income for the three months ended March 31, 2015 and 2014 (Unaudited)</w:t>
            </w:r>
          </w:p>
        </w:tc>
        <w:tc>
          <w:tcPr>
            <w:tcW w:w="22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80" w:type="dxa"/>
            <w:vAlign w:val="bottom"/>
            <w:gridSpan w:val="11"/>
          </w:tcPr>
          <w:p>
            <w:pPr>
              <w:spacing w:after="0"/>
              <w:rPr>
                <w:sz w:val="20"/>
                <w:szCs w:val="20"/>
                <w:color w:val="auto"/>
              </w:rPr>
            </w:pPr>
            <w:r>
              <w:rPr>
                <w:rFonts w:ascii="Arial" w:cs="Arial" w:eastAsia="Arial" w:hAnsi="Arial"/>
                <w:sz w:val="16"/>
                <w:szCs w:val="16"/>
                <w:color w:val="0000FF"/>
                <w:w w:val="90"/>
              </w:rPr>
              <w:t>Condensed Consolidated Balance Sheets as of March 31, 2015 and December 31, 2014 (Unaudited)</w:t>
            </w:r>
          </w:p>
        </w:tc>
        <w:tc>
          <w:tcPr>
            <w:tcW w:w="34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2"/>
          </w:tcPr>
          <w:p>
            <w:pPr>
              <w:spacing w:after="0"/>
              <w:rPr>
                <w:sz w:val="20"/>
                <w:szCs w:val="20"/>
                <w:color w:val="auto"/>
              </w:rPr>
            </w:pPr>
            <w:r>
              <w:rPr>
                <w:rFonts w:ascii="Arial" w:cs="Arial" w:eastAsia="Arial" w:hAnsi="Arial"/>
                <w:sz w:val="16"/>
                <w:szCs w:val="16"/>
                <w:color w:val="0000FF"/>
                <w:w w:val="90"/>
              </w:rPr>
              <w:t>Condensed Consolidated Statements of Cash Flows for the three months ended March 31, 2015 and 2014 (Unaudited)</w:t>
            </w:r>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2"/>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Notes to Unaudited Condensed Consolidated Financial Statements</w:t>
              </w:r>
            </w:hyperlink>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0"/>
          </w:tcPr>
          <w:p>
            <w:pPr>
              <w:spacing w:after="0"/>
              <w:rPr>
                <w:rFonts w:ascii="Arial" w:cs="Arial" w:eastAsia="Arial" w:hAnsi="Arial"/>
                <w:sz w:val="16"/>
                <w:szCs w:val="16"/>
                <w:color w:val="0000FF"/>
                <w:w w:val="92"/>
              </w:rPr>
            </w:pPr>
            <w:hyperlink w:anchor="page21">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1">
              <w:r>
                <w:rPr>
                  <w:rFonts w:ascii="Arial" w:cs="Arial" w:eastAsia="Arial" w:hAnsi="Arial"/>
                  <w:sz w:val="16"/>
                  <w:szCs w:val="16"/>
                  <w:color w:val="0000FF"/>
                </w:rPr>
                <w:t>22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w w:val="92"/>
              </w:rPr>
            </w:pPr>
            <w:hyperlink w:anchor="page32">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5740" w:type="dxa"/>
            <w:vAlign w:val="bottom"/>
            <w:tcBorders>
              <w:left w:val="single" w:sz="8" w:color="0000FF"/>
            </w:tcBorders>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6"/>
          </w:tcPr>
          <w:p>
            <w:pPr>
              <w:spacing w:after="0"/>
              <w:rPr>
                <w:rFonts w:ascii="Arial" w:cs="Arial" w:eastAsia="Arial" w:hAnsi="Arial"/>
                <w:sz w:val="16"/>
                <w:szCs w:val="16"/>
                <w:color w:val="0000FF"/>
                <w:w w:val="96"/>
              </w:rPr>
            </w:pPr>
            <w:hyperlink w:anchor="page33">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3"/>
          </w:tcPr>
          <w:p>
            <w:pPr>
              <w:spacing w:after="0"/>
              <w:rPr>
                <w:rFonts w:ascii="Arial" w:cs="Arial" w:eastAsia="Arial" w:hAnsi="Arial"/>
                <w:sz w:val="16"/>
                <w:szCs w:val="16"/>
                <w:color w:val="0000FF"/>
                <w:w w:val="88"/>
              </w:rPr>
            </w:pPr>
            <w:hyperlink w:anchor="page34">
              <w:r>
                <w:rPr>
                  <w:rFonts w:ascii="Arial" w:cs="Arial" w:eastAsia="Arial" w:hAnsi="Arial"/>
                  <w:sz w:val="16"/>
                  <w:szCs w:val="16"/>
                  <w:color w:val="0000FF"/>
                  <w:w w:val="88"/>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3"/>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spacing w:after="0"/>
              <w:rPr>
                <w:rFonts w:ascii="Arial" w:cs="Arial" w:eastAsia="Arial" w:hAnsi="Arial"/>
                <w:sz w:val="16"/>
                <w:szCs w:val="16"/>
                <w:color w:val="0000FF"/>
                <w:w w:val="85"/>
              </w:rPr>
            </w:pPr>
            <w:hyperlink w:anchor="page34">
              <w:r>
                <w:rPr>
                  <w:rFonts w:ascii="Arial" w:cs="Arial" w:eastAsia="Arial" w:hAnsi="Arial"/>
                  <w:sz w:val="16"/>
                  <w:szCs w:val="16"/>
                  <w:color w:val="0000FF"/>
                  <w:w w:val="85"/>
                </w:rPr>
                <w:t>Item 6. Exhibits</w:t>
              </w:r>
            </w:hyperlink>
          </w:p>
        </w:tc>
        <w:tc>
          <w:tcPr>
            <w:tcW w:w="700" w:type="dxa"/>
            <w:vAlign w:val="bottom"/>
            <w:gridSpan w:val="2"/>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tcBorders>
              <w:left w:val="single" w:sz="8" w:color="0000FF"/>
            </w:tcBorders>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spacing w:after="0"/>
              <w:rPr>
                <w:rFonts w:ascii="Arial" w:cs="Arial" w:eastAsia="Arial" w:hAnsi="Arial"/>
                <w:sz w:val="16"/>
                <w:szCs w:val="16"/>
                <w:color w:val="0000FF"/>
                <w:w w:val="90"/>
              </w:rPr>
            </w:pPr>
            <w:hyperlink w:anchor="page35">
              <w:r>
                <w:rPr>
                  <w:rFonts w:ascii="Arial" w:cs="Arial" w:eastAsia="Arial" w:hAnsi="Arial"/>
                  <w:sz w:val="16"/>
                  <w:szCs w:val="16"/>
                  <w:color w:val="0000FF"/>
                  <w:w w:val="90"/>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10.1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10.2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10.3</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10.4</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31.1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31.2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99.1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Total revenue, net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233,665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215,059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86,722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82,383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12,567</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114,064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108,338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Intangible asset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216,877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206,321</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1,769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120" w:type="dxa"/>
            <w:vAlign w:val="bottom"/>
          </w:tcPr>
          <w:p>
            <w:pPr>
              <w:ind w:left="38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10):</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32,275</w:t>
            </w:r>
          </w:p>
        </w:tc>
      </w:tr>
      <w:tr>
        <w:trPr>
          <w:trHeight w:val="243"/>
        </w:trPr>
        <w:tc>
          <w:tcPr>
            <w:tcW w:w="8120" w:type="dxa"/>
            <w:vAlign w:val="bottom"/>
          </w:tcPr>
          <w:p>
            <w:pPr>
              <w:ind w:left="5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33,342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32,768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 (See Note 11)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372"/>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79,871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71,994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Trade accounts receivable, net of allowances of $6,515 and $6,184</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131,918</w:t>
            </w: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233,043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237,114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58,663</w:t>
            </w: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23,958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29,632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521,950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529,321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210,111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209,986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447,424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459,459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354,202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363,888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11,436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10,368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1,550,807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1,578,625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Borrowings under senior credit facility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5,625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34,060</w:t>
            </w: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40,943</w:t>
            </w: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41,038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42,096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126,805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126,025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396,250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413,125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convertible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213,121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92,431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91,623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30,409</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862,708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874,303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7"/>
              </w:rPr>
              <w:t>Common stock; $0.01 par value; 60,000 authorized shares; 41,755 and 41,644 issued at March 31, 2015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December 31, 2014, respectively</w:t>
            </w:r>
          </w:p>
        </w:tc>
        <w:tc>
          <w:tcPr>
            <w:tcW w:w="24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779,555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Treasury stock, at cost; 8,903 shares at March 31, 2015 and December 31, 2014</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(367,121)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(367,121)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(23,488)</w:t>
            </w: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323,344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314,960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688,099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704,322</w:t>
            </w:r>
          </w:p>
        </w:tc>
        <w:tc>
          <w:tcPr>
            <w:tcW w:w="0" w:type="dxa"/>
            <w:vAlign w:val="bottom"/>
          </w:tcPr>
          <w:p>
            <w:pPr>
              <w:spacing w:after="0"/>
              <w:rPr>
                <w:sz w:val="1"/>
                <w:szCs w:val="1"/>
                <w:color w:val="auto"/>
              </w:rPr>
            </w:pPr>
          </w:p>
        </w:tc>
      </w:tr>
      <w:tr>
        <w:trPr>
          <w:trHeight w:val="24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1,550,807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1,578,625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263"/>
        </w:trPr>
        <w:tc>
          <w:tcPr>
            <w:tcW w:w="78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r>
      <w:tr>
        <w:trPr>
          <w:trHeight w:val="386"/>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7"/>
        </w:trPr>
        <w:tc>
          <w:tcPr>
            <w:tcW w:w="7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8,384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2,206</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13,961</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Non-cash impairment charges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600</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1,563</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608</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interest expense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1,666</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Gain on disposal of property and equipment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fair value of contingent consideration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2,377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2,471</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 arrangements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business acquisitions: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5,671</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(2,789)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(8,516)</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(4,438)</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non-current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31,619</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11,254</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(8,901)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(11,335)</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of property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Cash used in business acquisition, net of cash acquired</w:t>
            </w:r>
          </w:p>
        </w:tc>
        <w:tc>
          <w:tcPr>
            <w:tcW w:w="10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(235,000)</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working capital purchase price adjustment</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(5,632)</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(246,335)</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Borrowings under senior credit facility</w:t>
            </w:r>
          </w:p>
        </w:tc>
        <w:tc>
          <w:tcPr>
            <w:tcW w:w="10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235,000</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under senior credit facility</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Principal payments under capital lease obligations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exercised stock options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7,755</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Excess tax benefits from stock-based compensation arrangements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541</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(13,826)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243,174</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(4,284)</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331</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8,424</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71,994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120,614</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06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79,871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129,038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March 31, 2015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2014 included in the Company’s Annual Report on Form 10-K. The December 31, 2014 consolidated balance sheet was derived from audited financial statements, but does not include all disclosures required by accounting principles generally accepted in the United States. Operating results for the three-month period ended March 31, 2015 are not necessarily indicative of the results to be expected for the entire year.</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ind w:right="1680"/>
        <w:spacing w:after="0" w:line="465" w:lineRule="auto"/>
        <w:rPr>
          <w:sz w:val="20"/>
          <w:szCs w:val="20"/>
          <w:color w:val="auto"/>
        </w:rPr>
      </w:pPr>
      <w:r>
        <w:rPr>
          <w:rFonts w:ascii="Arial" w:cs="Arial" w:eastAsia="Arial" w:hAnsi="Arial"/>
          <w:sz w:val="18"/>
          <w:szCs w:val="18"/>
          <w:color w:val="auto"/>
        </w:rPr>
        <w:t xml:space="preserve">Certain amounts from the prior year’s financial statements have been reclassified in order to conform to the current year’s presentation. </w:t>
      </w:r>
      <w:r>
        <w:rPr>
          <w:rFonts w:ascii="Arial" w:cs="Arial" w:eastAsia="Arial" w:hAnsi="Arial"/>
          <w:sz w:val="18"/>
          <w:szCs w:val="18"/>
          <w:i w:val="1"/>
          <w:iCs w:val="1"/>
          <w:u w:val="single" w:color="auto"/>
          <w:color w:val="auto"/>
        </w:rPr>
        <w:t>Recently Issued Accounting Standards</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The new guidance is effective for Integra prospectively for all disposals (or classifications as held for sale) of components of an entity that occur after January 1, 2015.</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is effective for annual reporting periods beginning after December 15, 2016, including interim periods within that reporting period, and early adoption is not permitted. The Company is in the process of evaluating the impact of this standard on its financial statements.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2014, the FASB issued Update No. 2014-12, </w:t>
      </w:r>
      <w:r>
        <w:rPr>
          <w:rFonts w:ascii="Arial" w:cs="Arial" w:eastAsia="Arial" w:hAnsi="Arial"/>
          <w:sz w:val="18"/>
          <w:szCs w:val="18"/>
          <w:i w:val="1"/>
          <w:iCs w:val="1"/>
          <w:color w:val="auto"/>
        </w:rPr>
        <w:t>Accounting for Share-Based Payments When the Terms of an Award Provide That a Performance Target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Could Be Achieved after the Requisite Service Period (Topic 718). </w:t>
      </w:r>
      <w:r>
        <w:rPr>
          <w:rFonts w:ascii="Arial" w:cs="Arial" w:eastAsia="Arial" w:hAnsi="Arial"/>
          <w:sz w:val="18"/>
          <w:szCs w:val="18"/>
          <w:color w:val="auto"/>
        </w:rPr>
        <w:t>The amendments require that a performance target that affects vesting and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including interim periods within that reporting period, and early adoption is permitted. The implementation of the amended guidance is not expected to have a material impact on our consolidated financial position or results of operations.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2014, the FASB issued Update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 requires management to evaluate, for each annual and interim reporting period, whether there are conditions and events, considered in the aggregate, that raise substantial doubt about an entity’s ability to continue as a going concern within one year after the date the financial statements are issued or are available to be issued. If substantial doubt is raised, additional disclosures around management’s plan to alleviate these doubts are required. This update will become effective for all annual periods and interim reporting periods beginning after December 15, 2016. The implementation of the amended guidance is not expected to have an impact on current disclosures in the financial statements.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the FASB issued Update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The amendment requires that all costs incurred to issue debt be presented in the balance sheet as a direct deduction from the carrying value of the debt. The new standard is limited to the presentation of debt issuance costs and does not affect the recognition or measurement of debt issuance costs. This update will become effective for all annual periods and interim reporting periods beginning after December 15, 2015. The implementation of the amended guidance is not expected to have a material impact on our consolidated results of operations and will result in a reclassification of our debt issuance costs from other long-term assets to long-term debt when adopted.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our financial position, results of operations or cash flows.</w:t>
      </w:r>
    </w:p>
    <w:p>
      <w:pPr>
        <w:spacing w:after="0" w:line="329" w:lineRule="exact"/>
        <w:rPr>
          <w:sz w:val="20"/>
          <w:szCs w:val="20"/>
          <w:color w:val="auto"/>
        </w:rPr>
      </w:pPr>
    </w:p>
    <w:p>
      <w:pPr>
        <w:ind w:right="8980" w:firstLine="8"/>
        <w:spacing w:after="0" w:line="37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ACQUISITIONS </w:t>
      </w:r>
      <w:r>
        <w:rPr>
          <w:rFonts w:ascii="Arial" w:cs="Arial" w:eastAsia="Arial" w:hAnsi="Arial"/>
          <w:sz w:val="18"/>
          <w:szCs w:val="18"/>
          <w:i w:val="1"/>
          <w:iCs w:val="1"/>
          <w:u w:val="single" w:color="auto"/>
          <w:color w:val="auto"/>
        </w:rPr>
        <w:t>Metasurg</w:t>
      </w:r>
    </w:p>
    <w:p>
      <w:pPr>
        <w:spacing w:after="0" w:line="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5, 2014, the Company acquired certain assets of Koby Ventures II, L.P. dba Metasurg ("Metasurg") for an aggregate purchase price of $27.2 million. The purchase price consists of an initial cash payment to Metasurg of $26.5 million and contingent consideration with an acquisition date fair value of $0.7 million. The potential maximum undiscounted contingent consideration of $38.5 million is based on reaching certain sales levels for acquired products from April 1, 2015 through June 30, 2016. The fair value of this liability is based on future sales projections of the Metasurg product under various potential scenarios and weighting the probability of these outcomes for the twelve-month period ended December 31, 2015. At the date of the acquisition, the cash flow projection was discounted using an internal rate of return of 19.9%. These fair value measurements were based on significant inputs not observed in the market and thus represented a Level 3 measurement.</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Metasurg develops intuitive implant systems for the foot and ankle market and sells almost entirely in the U.S. market. The acquired foot and ankle products will enhance the Company's lower extremities market position.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Metasurg of approximately $1.6 million in the condensed consolidated statements of operations for the three-month period ended March 31, 2015. The net income or loss attributable to this acquisition cannot be identified on a stand-alone basis because it has been fully integrated into the Company's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as of March 31, 2015 based on the fair value of the assets acquired and liabilities assumed: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6660" w:type="dxa"/>
            <w:vAlign w:val="bottom"/>
            <w:gridSpan w:val="3"/>
          </w:tcPr>
          <w:p>
            <w:pPr>
              <w:jc w:val="right"/>
              <w:ind w:right="1717"/>
              <w:spacing w:after="0"/>
              <w:rPr>
                <w:sz w:val="20"/>
                <w:szCs w:val="20"/>
                <w:color w:val="auto"/>
              </w:rPr>
            </w:pPr>
            <w:r>
              <w:rPr>
                <w:rFonts w:ascii="Arial" w:cs="Arial" w:eastAsia="Arial" w:hAnsi="Arial"/>
                <w:sz w:val="18"/>
                <w:szCs w:val="18"/>
                <w:b w:val="1"/>
                <w:bCs w:val="1"/>
                <w:color w:val="auto"/>
              </w:rPr>
              <w:t>INTEGRA LIFESCIENCES HOLDINGS CORPORATION</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9820" w:type="dxa"/>
            <w:vAlign w:val="bottom"/>
            <w:gridSpan w:val="4"/>
          </w:tcPr>
          <w:p>
            <w:pPr>
              <w:ind w:left="17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9"/>
        </w:trPr>
        <w:tc>
          <w:tcPr>
            <w:tcW w:w="3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53"/>
        </w:trPr>
        <w:tc>
          <w:tcPr>
            <w:tcW w:w="316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980" w:type="dxa"/>
            <w:vAlign w:val="bottom"/>
            <w:shd w:val="clear" w:color="auto" w:fill="CCEEFF"/>
          </w:tcPr>
          <w:p>
            <w:pPr>
              <w:jc w:val="center"/>
              <w:ind w:right="197"/>
              <w:spacing w:after="0" w:line="153" w:lineRule="exact"/>
              <w:rPr>
                <w:sz w:val="20"/>
                <w:szCs w:val="20"/>
                <w:color w:val="auto"/>
              </w:rPr>
            </w:pPr>
            <w:r>
              <w:rPr>
                <w:rFonts w:ascii="Arial" w:cs="Arial" w:eastAsia="Arial" w:hAnsi="Arial"/>
                <w:sz w:val="14"/>
                <w:szCs w:val="14"/>
                <w:b w:val="1"/>
                <w:bCs w:val="1"/>
                <w:color w:val="auto"/>
                <w:w w:val="96"/>
              </w:rPr>
              <w:t>Preliminary</w:t>
            </w:r>
          </w:p>
        </w:tc>
        <w:tc>
          <w:tcPr>
            <w:tcW w:w="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49"/>
        </w:trPr>
        <w:tc>
          <w:tcPr>
            <w:tcW w:w="31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92"/>
        </w:trPr>
        <w:tc>
          <w:tcPr>
            <w:tcW w:w="3160" w:type="dxa"/>
            <w:vAlign w:val="bottom"/>
            <w:shd w:val="clear" w:color="auto" w:fill="CCEEFF"/>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center"/>
              <w:ind w:right="217"/>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50"/>
        </w:trPr>
        <w:tc>
          <w:tcPr>
            <w:tcW w:w="31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4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4,730</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7"/>
              <w:spacing w:after="0"/>
              <w:rPr>
                <w:sz w:val="20"/>
                <w:szCs w:val="20"/>
                <w:color w:val="auto"/>
              </w:rPr>
            </w:pPr>
            <w:r>
              <w:rPr>
                <w:rFonts w:ascii="Arial" w:cs="Arial" w:eastAsia="Arial" w:hAnsi="Arial"/>
                <w:sz w:val="18"/>
                <w:szCs w:val="18"/>
                <w:color w:val="auto"/>
              </w:rPr>
              <w:t>1,171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4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243"/>
        </w:trPr>
        <w:tc>
          <w:tcPr>
            <w:tcW w:w="3160" w:type="dxa"/>
            <w:vAlign w:val="bottom"/>
            <w:tcBorders>
              <w:top w:val="single" w:sz="8" w:color="CCEEFF"/>
            </w:tcBorders>
          </w:tcPr>
          <w:p>
            <w:pPr>
              <w:ind w:left="260"/>
              <w:spacing w:after="0"/>
              <w:rPr>
                <w:sz w:val="20"/>
                <w:szCs w:val="20"/>
                <w:color w:val="auto"/>
              </w:rPr>
            </w:pPr>
            <w:r>
              <w:rPr>
                <w:rFonts w:ascii="Arial" w:cs="Arial" w:eastAsia="Arial" w:hAnsi="Arial"/>
                <w:sz w:val="18"/>
                <w:szCs w:val="18"/>
                <w:color w:val="auto"/>
              </w:rPr>
              <w:t>Technology product rights</w:t>
            </w:r>
          </w:p>
        </w:tc>
        <w:tc>
          <w:tcPr>
            <w:tcW w:w="43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7"/>
              <w:spacing w:after="0"/>
              <w:rPr>
                <w:sz w:val="20"/>
                <w:szCs w:val="20"/>
                <w:color w:val="auto"/>
              </w:rPr>
            </w:pPr>
            <w:r>
              <w:rPr>
                <w:rFonts w:ascii="Arial" w:cs="Arial" w:eastAsia="Arial" w:hAnsi="Arial"/>
                <w:sz w:val="18"/>
                <w:szCs w:val="18"/>
                <w:color w:val="auto"/>
              </w:rPr>
              <w:t>20,590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8 - 14 Years</w:t>
            </w:r>
          </w:p>
        </w:tc>
        <w:tc>
          <w:tcPr>
            <w:tcW w:w="440" w:type="dxa"/>
            <w:vAlign w:val="bottom"/>
            <w:tcBorders>
              <w:top w:val="single" w:sz="8" w:color="CCEEFF"/>
            </w:tcBorders>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5"/>
              </w:rPr>
              <w:t>In-process research and development</w:t>
            </w:r>
          </w:p>
        </w:tc>
        <w:tc>
          <w:tcPr>
            <w:tcW w:w="4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Indefinite</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7"/>
              <w:spacing w:after="0"/>
              <w:rPr>
                <w:sz w:val="20"/>
                <w:szCs w:val="20"/>
                <w:color w:val="auto"/>
              </w:rPr>
            </w:pPr>
            <w:r>
              <w:rPr>
                <w:rFonts w:ascii="Arial" w:cs="Arial" w:eastAsia="Arial" w:hAnsi="Arial"/>
                <w:sz w:val="18"/>
                <w:szCs w:val="18"/>
                <w:color w:val="auto"/>
              </w:rPr>
              <w:t>469</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57"/>
        </w:trPr>
        <w:tc>
          <w:tcPr>
            <w:tcW w:w="31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4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27,150</w:t>
            </w:r>
          </w:p>
        </w:tc>
        <w:tc>
          <w:tcPr>
            <w:tcW w:w="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MicroFrance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27, 2014, the Company acquired all outstanding shares of Medtronic Xomed Instrumentation, SAS ("MicroFrance") from Medtronic, Inc. ("Medtronic") as well as certain assets of Medtronic for $60.1 million in cash (including working capital and purchase price adjustments of $1.5 million, of which $0.8 million was recorded against goodwill). MicroFrance specializes in manual ear, nose, and throat ("ENT") surgical instruments and designs, manufactures, and sells reusable handheld instruments to ENT and laparoscopy surgical specialists around the world. The acquired ENT instruments fill a portfolio gap for the Company with clear growth opportunities through market adjacencies and provides for increased scale and reach in the international market.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MicroFrance of approximately $5.8 million in the condensed consolidated statements of operations for the three-month period ended March 31, 2015. The net income or loss attributable to this acquisition cannot be identified on a stand-alone basis because it has been fully integrated into the Company's operations.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adjusted the preliminary purchase price allocation during the quarter ended March 31, 2015 to reflect the $1.5 million working capital and purchase price adjustments. The following summarizes the preliminary allocation of the purchase price as of March 31, 2015 based on the fair value of the assets acquired and liabilities assumed: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980" w:type="dxa"/>
            <w:vAlign w:val="bottom"/>
            <w:shd w:val="clear" w:color="auto" w:fill="CCEEFF"/>
          </w:tcPr>
          <w:p>
            <w:pPr>
              <w:jc w:val="center"/>
              <w:ind w:right="194"/>
              <w:spacing w:after="0"/>
              <w:rPr>
                <w:sz w:val="20"/>
                <w:szCs w:val="20"/>
                <w:color w:val="auto"/>
              </w:rPr>
            </w:pPr>
            <w:r>
              <w:rPr>
                <w:rFonts w:ascii="Arial" w:cs="Arial" w:eastAsia="Arial" w:hAnsi="Arial"/>
                <w:sz w:val="14"/>
                <w:szCs w:val="14"/>
                <w:b w:val="1"/>
                <w:bCs w:val="1"/>
                <w:color w:val="auto"/>
                <w:w w:val="96"/>
              </w:rPr>
              <w:t>Preliminary</w:t>
            </w: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49"/>
        </w:trPr>
        <w:tc>
          <w:tcPr>
            <w:tcW w:w="7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ind w:right="214"/>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92"/>
        </w:trPr>
        <w:tc>
          <w:tcPr>
            <w:tcW w:w="75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center"/>
              <w:ind w:right="214"/>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4"/>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2,195</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3,155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3,675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5,025</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7540" w:type="dxa"/>
            <w:vAlign w:val="bottom"/>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2"/>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7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 name</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 Years</w:t>
            </w:r>
          </w:p>
        </w:tc>
      </w:tr>
      <w:tr>
        <w:trPr>
          <w:trHeight w:val="243"/>
        </w:trPr>
        <w:tc>
          <w:tcPr>
            <w:tcW w:w="754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4,580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15 - 16 Years</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18,130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12 - 16 Years</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16,607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65,977</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5,910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60,067</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 Inc.</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15, 2014, the Company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to the Company.</w:t>
      </w:r>
    </w:p>
    <w:p>
      <w:pPr>
        <w:sectPr>
          <w:pgSz w:w="11900" w:h="16838" w:orient="portrait"/>
          <w:cols w:equalWidth="0" w:num="1">
            <w:col w:w="11420"/>
          </w:cols>
          <w:pgMar w:left="240" w:top="121" w:right="239" w:bottom="1440" w:gutter="0" w:footer="0" w:header="0"/>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The Company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acquisition complements the Company's global neurosurgery growth strategy aimed at providing a broader set of solutions for surgical procedures in the head.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Confluent Surgical of approximately $17.7 million and $14.1 million in the condensed consolidated statements of operations for the three-month periods ended March 31, 2015 and March 31, 2014, respectively. The net income or loss attributable to this acquisition cannot be identified on a stand-alone basis because it has been fully integrated into the Company's operations.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adjusted the preliminary purchase price allocation during the quarter ended June 30, 2014 to reduce deferred tax liabilities by $12.4 million. This adjustment offset goodwill and was the result of the Company analyzing and revising its tax positions in certain jurisdictions. The following summarizes the final allocation of the purchase price as of March 31, 2015 based on the fair value of the assets acquired and liabilities assumed: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7"/>
              </w:rPr>
              <w:t>Final</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deposit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75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Technology product rights</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239,800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3 - 20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than 1 year</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Deferred tax assets - long term</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105,331</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5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assets acquired</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349,981</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supply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5,891</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 - long term</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87,464</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255,895</w:t>
            </w: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the acquisition date, a regulatory event occurred that resulted in the full-impairment of one of the acquired technology product rights of $0.6 million. This event was not known, or knowable, at the time of the acquisition and therefore the impairment has been included in the Company's cost of sales.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accounted for the contingent supply liability by recording its fair value as a liability on the date of the acquisition based on a discounted cash-flow model. This contingent supply liability relates to contractual quarterly incentive payments that will be made to an affiliate of Covidien if certain supply minimums under the transitional supply agreement are met.</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accounted for the contingent consideration by recording its fair value as a liability on the date of the acquisition. The contingent consideration relates to the Company's obtaining certain U.S. and European regulatory approvals. At the date of the acquisition, both of these milestones were valued using a discount rate of 2.2%, which is equivalent to the cost of debt for the estimated time horizon, and an overall probability of occurring of 95%. Accordingly, on January 15, 2014 the Company recorded a $20.9 million liability representing the initial fair value estimate of the probability weighted contingent consideration that management believes will be paid between early 2017 and late 2018. Depending on the expected timing of the estimated payments, the acquisition date fair value of the probability adjusted payments could have been $0.3 million higher or $0.4 million lower. These fair value measurements were based on significant inputs not observed in the market and thus represented a Level 3 measurement. The contingent consideration is re-measured to fair value at each reporting date until the contingency is resolved, and those changes in fair value are recognized in earnings.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goodwill recorded in connection with these acquisitions is based on (i) expected cost savings, operating synergies and other benefits expected to result from the combined operations, (ii) the value of the going-concern element of the existing businesses (that is, the higher rate of return on the assembled net assets versus if the Company had acquired all of the net assets separately), and (iii) intangible assets that do not qualify for separate recognition such as an assembled workforce. The acquisitions generated a combination of deductible and non-deductible goodwill.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increased the fair value of contingent consideration during the three-month period ended March 31, 2015 to reflect the change in the time value of money during the period. A reconciliation of the opening balances to the closing balances of these Level 3 measurements is as follows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 in Statement of Operations</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22,008</w:t>
            </w: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from increase in fair value of contingent consideration liabilities</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36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March 31, 2015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22,133</w:t>
            </w:r>
          </w:p>
        </w:tc>
        <w:tc>
          <w:tcPr>
            <w:tcW w:w="3640" w:type="dxa"/>
            <w:vAlign w:val="bottom"/>
            <w:tcBorders>
              <w:bottom w:val="single" w:sz="8" w:color="CCEEFF"/>
            </w:tcBorders>
            <w:shd w:val="clear" w:color="auto" w:fill="CCEEFF"/>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entire contingent consideration balance was included in Other liabilities at March 31, 2015 and December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three months ended March 31, 2014 as if the acquisitions completed by the Company during 2014 had been completed as of January 1, 2013. The pro forma results are based upon certain assumptions and estimates, and they give effect to actual operating results prior to the acquisition and adjustments to reflect (i) the change in interest expense, depreciation expense, and intangible asset amortization, (ii) certain external expenses related to the acquisition as if they were incurred on January 1, 2013 that will not be recurring in the post-acquisition periods, and (iii) income taxes on the aforementioned adjustments at the Company’s statutory rate.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Three Months Ended March 31, 2014</w:t>
            </w:r>
          </w:p>
        </w:tc>
      </w:tr>
      <w:tr>
        <w:trPr>
          <w:trHeight w:val="152"/>
        </w:trPr>
        <w:tc>
          <w:tcPr>
            <w:tcW w:w="7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1"/>
              </w:rPr>
              <w:t>(In thousands, except per share</w:t>
            </w:r>
          </w:p>
        </w:tc>
      </w:tr>
      <w:tr>
        <w:trPr>
          <w:trHeight w:val="192"/>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center"/>
              <w:ind w:right="694"/>
              <w:spacing w:after="0"/>
              <w:rPr>
                <w:sz w:val="20"/>
                <w:szCs w:val="20"/>
                <w:color w:val="auto"/>
              </w:rPr>
            </w:pPr>
            <w:r>
              <w:rPr>
                <w:rFonts w:ascii="Arial" w:cs="Arial" w:eastAsia="Arial" w:hAnsi="Arial"/>
                <w:sz w:val="14"/>
                <w:szCs w:val="14"/>
                <w:b w:val="1"/>
                <w:bCs w:val="1"/>
                <w:color w:val="auto"/>
                <w:w w:val="91"/>
              </w:rPr>
              <w:t>amounts)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225,509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5,572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0.17</w:t>
            </w:r>
          </w:p>
        </w:tc>
      </w:tr>
      <w:tr>
        <w:trPr>
          <w:trHeight w:val="702"/>
        </w:trPr>
        <w:tc>
          <w:tcPr>
            <w:tcW w:w="766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97"/>
        </w:trPr>
        <w:tc>
          <w:tcPr>
            <w:tcW w:w="766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588"/>
        </w:trPr>
        <w:tc>
          <w:tcPr>
            <w:tcW w:w="7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March 31, 2015</w:t>
            </w: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2014</w:t>
            </w:r>
          </w:p>
        </w:tc>
      </w:tr>
      <w:tr>
        <w:trPr>
          <w:trHeight w:val="196"/>
        </w:trPr>
        <w:tc>
          <w:tcPr>
            <w:tcW w:w="7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143,866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150,483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540" w:type="dxa"/>
            <w:vAlign w:val="bottom"/>
            <w:gridSpan w:val="2"/>
          </w:tcPr>
          <w:p>
            <w:pPr>
              <w:jc w:val="right"/>
              <w:ind w:right="28"/>
              <w:spacing w:after="0"/>
              <w:rPr>
                <w:sz w:val="20"/>
                <w:szCs w:val="20"/>
                <w:color w:val="auto"/>
              </w:rPr>
            </w:pPr>
            <w:r>
              <w:rPr>
                <w:rFonts w:ascii="Arial" w:cs="Arial" w:eastAsia="Arial" w:hAnsi="Arial"/>
                <w:sz w:val="18"/>
                <w:szCs w:val="18"/>
                <w:color w:val="auto"/>
              </w:rPr>
              <w:t>53,168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50,166</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36,465</w:t>
            </w:r>
          </w:p>
        </w:tc>
      </w:tr>
      <w:tr>
        <w:trPr>
          <w:trHeight w:val="237"/>
        </w:trPr>
        <w:tc>
          <w:tcPr>
            <w:tcW w:w="76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233,043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237,114</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first quarter of 2015 the Company revised its reportable segments in connection with the realignment of its portfolio. Specifically, the Company integrated the five existing business divisions into three global divisions, no longer focusing on international as a separate reportable segment but managing each business globally. The change in reportable segments resulted in the Company's requirement to reallocate existing goodwill to the new reportable segments based on the relative-fair-value of the Company's four underlying reporting units. With the reportable segments now being managed at a global level, goodwill previously assigned to the EMEA, LAPAC, and Private Label reporting units was reallocated to the new global reporting units. The Company estimated the fair value of the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32"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Based on the Company's fair value calculations, with the exception of the Spine reporting unit, given the excess of the Specialty Surgical Solutions Instruments, Specialty Surgical Solutions Neurosurgery, and Orthopedics and Tissue Technologies estimated fair value over their carrying value after the reallocation of goodwill, management concluded that any future goodwill impairment is not likely. The Company's allocation of goodwill to the Spine reporting unit has been impaired during the first quarter of 2015 as a result of the carrying value of its goodwill exceeding the implied fair value. Refer to Note 12 </w:t>
      </w:r>
      <w:r>
        <w:rPr>
          <w:rFonts w:ascii="Arial" w:cs="Arial" w:eastAsia="Arial" w:hAnsi="Arial"/>
          <w:sz w:val="17"/>
          <w:szCs w:val="17"/>
          <w:i w:val="1"/>
          <w:iCs w:val="1"/>
          <w:color w:val="auto"/>
        </w:rPr>
        <w:t>- Segment and Geographic Information</w:t>
      </w:r>
      <w:r>
        <w:rPr>
          <w:rFonts w:ascii="Arial" w:cs="Arial" w:eastAsia="Arial" w:hAnsi="Arial"/>
          <w:sz w:val="17"/>
          <w:szCs w:val="17"/>
          <w:color w:val="auto"/>
        </w:rPr>
        <w:t xml:space="preserve"> for more information on the change in reportable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March 31, 2015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Specialty</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Orthopedics and</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Surgical</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Spine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281,829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81,650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363,888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281,829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81,650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363,888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MicroFrance working capital and purchase price adjustments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274,568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79,634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354,202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4"/>
              </w:rPr>
              <w:t>March 31, 2015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25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18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343,942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(67,172)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276,770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6"/>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158,546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(88,817)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69,729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34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42,713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27,256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Pr>
          <w:p>
            <w:pPr>
              <w:spacing w:after="0"/>
              <w:rPr>
                <w:sz w:val="21"/>
                <w:szCs w:val="21"/>
                <w:color w:val="auto"/>
              </w:rPr>
            </w:pPr>
          </w:p>
        </w:tc>
        <w:tc>
          <w:tcPr>
            <w:tcW w:w="1600" w:type="dxa"/>
            <w:vAlign w:val="bottom"/>
          </w:tcPr>
          <w:p>
            <w:pPr>
              <w:jc w:val="center"/>
              <w:ind w:right="25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23,555</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276"/>
              <w:spacing w:after="0"/>
              <w:rPr>
                <w:sz w:val="20"/>
                <w:szCs w:val="20"/>
                <w:color w:val="auto"/>
              </w:rPr>
            </w:pPr>
            <w:r>
              <w:rPr>
                <w:rFonts w:ascii="Arial" w:cs="Arial" w:eastAsia="Arial" w:hAnsi="Arial"/>
                <w:sz w:val="18"/>
                <w:szCs w:val="18"/>
                <w:color w:val="auto"/>
                <w:w w:val="88"/>
              </w:rPr>
              <w:t>4 years</w:t>
            </w: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4,620</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633,026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(185,602)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447,424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2014</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18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345,082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(62,920)</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282,162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6"/>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162,031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(87,653)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74,378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34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44,520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28,765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Pr>
          <w:p>
            <w:pPr>
              <w:spacing w:after="0"/>
              <w:rPr>
                <w:sz w:val="21"/>
                <w:szCs w:val="21"/>
                <w:color w:val="auto"/>
              </w:rPr>
            </w:pPr>
          </w:p>
        </w:tc>
        <w:tc>
          <w:tcPr>
            <w:tcW w:w="1600" w:type="dxa"/>
            <w:vAlign w:val="bottom"/>
          </w:tcPr>
          <w:p>
            <w:pPr>
              <w:jc w:val="center"/>
              <w:ind w:right="13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23,912</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116"/>
              <w:spacing w:after="0"/>
              <w:rPr>
                <w:sz w:val="20"/>
                <w:szCs w:val="20"/>
                <w:color w:val="auto"/>
              </w:rPr>
            </w:pPr>
            <w:r>
              <w:rPr>
                <w:rFonts w:ascii="Arial" w:cs="Arial" w:eastAsia="Arial" w:hAnsi="Arial"/>
                <w:sz w:val="18"/>
                <w:szCs w:val="18"/>
                <w:color w:val="auto"/>
                <w:w w:val="88"/>
              </w:rPr>
              <w:t>4 years</w:t>
            </w:r>
          </w:p>
        </w:tc>
        <w:tc>
          <w:tcPr>
            <w:tcW w:w="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4,810</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639,648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(180,189)</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459,459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hanging="332"/>
        <w:spacing w:after="0" w:line="21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At March 31, 2015 and December 31, 2014, all other included in-process research and development ("IPR&amp;D") of $1.4 million in both periods, which was indefinite-lived.</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2014, the Company recorded an impairment charge of $0.6 million in cost of goods sold related to technology assets acquired from Confluent Surgical that will no longer be sold resulting from a regulatory event that occurred after the acquisition date.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in-process research and development) is expected to approximate $31.8 million in 2015, $29.6 million in 2016, $27.6 million in 2017, $27.2 million in 2018 and $26.5 million in 2019. Identifiable intangible assets are initially recorded at fair market value at the time of acquisition using an income or cost approach.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19, 2014, the Company entered into an amendment to the amended and restated credit agreement (the "Senior Credit Facility") which modified covenants to permit the distribution and/or dividend by the Company of its spine business to the Company's public stockholders. The intent of the amendment is to permit the Company to consummate the spine business spin-off transaction.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 2014, the Company entered into the Senior Credit Facility with a syndicate of lending banks, Bank of America, N.A., as Administrative Agent, Swing Line Lender and L/C Issuer, Wells Fargo Bank, National Association, as Syndication Agent and HSBC Bank USA, National Association, Royal Bank of Canada, Citizens Bank, National Association, DNB Capital LLC, Credit Agricole-Corporate and Investment Bank and TD Bank, N.A., as Co-Documentation Agents. The Company's Senior Credit Facility was originally amended and restated on August 10, 2010, and that agreement was then amended on June 8, 2011, May 11, 2012, and June 21, 2013, as previously disclosed.</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2014 amended and restated Senior Credit Facility created an aggregate principal amount of up to $900.0 million available to the Company through the following facilities:</w:t>
      </w:r>
    </w:p>
    <w:p>
      <w:pPr>
        <w:spacing w:after="0" w:line="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$750.0 million revolving credit facility (increased from $600.0 million), which includes a $60.0 million sublimit for the issuance of standby letters of credit and a $60.0 million sublimit for swingline loans,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$150.0 million term loan facility.</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Credit Facility allows the Company to further increase the size of either the revolving credit facility or the term loan facility, or a combination thereof, by an aggregate of $200.0 million with additional commitments. The July 2014 amended and restated Senior Credit Facility extended the maturity date of the prior facility from June 8, 2016 to July 2,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63"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March 31, 2015 the Company was in compliance with all such covenants. In connection with the modification of the 2014 amendment and restatement of the Senior Credit Facility the Company capitalized $3.2 million of incremental financing costs, and expensed $0.3 million of previously capitalized financing costs.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 2014, the Company borrowed $422.0 million under the Senior Credit Facility consisting of a $150.0 million term loan and $272.0 million under its revolving credit facility. The Company used the funds to repay the balance of its previous Senior Credit Facility. The outstanding borrowings have one, two, three, six months, or, if available, twelve months interest periods.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2015 and December 31, 2014, there was $251.9 million and $266.9 million outstanding under the revolving credit component of the Senior Credit Facility at a weighted average interest rate of 1.7%. At March 31, 2015, there was approximately $498.1 million available for borrowing under the Senior Credit Facility. The Company considers the balance to be long-term in nature based on its current intent and ability to repay the borrowing outside of the next twelve-month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2015 there was $150.0 million outstanding under the term loan component of the Senior Credit Facility at a weighted average interest rate of 1.7%. Contractual repayments of the term loan do not begin until September 30, 2015 and are due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40" w:type="dxa"/>
            <w:vAlign w:val="bottom"/>
            <w:gridSpan w:val="3"/>
          </w:tcPr>
          <w:p>
            <w:pPr>
              <w:jc w:val="right"/>
              <w:ind w:right="415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2015</w:t>
            </w:r>
          </w:p>
        </w:tc>
        <w:tc>
          <w:tcPr>
            <w:tcW w:w="744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r>
      <w:tr>
        <w:trPr>
          <w:trHeight w:val="243"/>
        </w:trPr>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2016</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9,375</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2017</w:t>
            </w:r>
          </w:p>
        </w:tc>
        <w:tc>
          <w:tcPr>
            <w:tcW w:w="16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13,125</w:t>
            </w:r>
          </w:p>
        </w:tc>
      </w:tr>
      <w:tr>
        <w:trPr>
          <w:trHeight w:val="243"/>
        </w:trPr>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2018</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2019</w:t>
            </w:r>
          </w:p>
        </w:tc>
        <w:tc>
          <w:tcPr>
            <w:tcW w:w="16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108,750</w:t>
            </w:r>
          </w:p>
        </w:tc>
      </w:tr>
      <w:tr>
        <w:trPr>
          <w:trHeight w:val="237"/>
        </w:trPr>
        <w:tc>
          <w:tcPr>
            <w:tcW w:w="2000" w:type="dxa"/>
            <w:vAlign w:val="bottom"/>
          </w:tcPr>
          <w:p>
            <w:pPr>
              <w:spacing w:after="0"/>
              <w:rPr>
                <w:sz w:val="20"/>
                <w:szCs w:val="20"/>
                <w:color w:val="auto"/>
              </w:rPr>
            </w:pPr>
          </w:p>
        </w:tc>
        <w:tc>
          <w:tcPr>
            <w:tcW w:w="7140" w:type="dxa"/>
            <w:vAlign w:val="bottom"/>
            <w:gridSpan w:val="3"/>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150,000</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2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outstanding borrowings of the Senior Credit Facility's revolving credit facility and term loan components at March 31, 2015 was approximately $235.8 million and $141.3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March 31, 2015, the carrying amount of the liability component was $215.2 million, the remaining unamortized discount was $14.8 million, and the principal amount outstanding was $230.0 million. The fair value of the 2016 Notes at March 31, 2015 was approximately $272.3 million. At December 31, 2014, the carrying amount of the liability component was $213.1 million, the remaining unamortized discount was $16.9 million and the principal amount outstanding was $230.0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March 31, 2015, certain conversion features were triggered due to the proposed spin-off of the Company's subsidiary, Seaspine Holdings Corporation, which allows the holders to convert all or any of the 2016 Notes subject to certain conditions. The 2016 Notes are convertible through June 10, 2015. However, the Company has continued to classify these notes as long-term as of March 31, 2015, as the Company has the intent and ability to refinance the 2016 Notes.</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 (net of capitalized interest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1,859</w:t>
            </w:r>
          </w:p>
        </w:tc>
        <w:tc>
          <w:tcPr>
            <w:tcW w:w="100" w:type="dxa"/>
            <w:vAlign w:val="bottom"/>
          </w:tcPr>
          <w:p>
            <w:pPr>
              <w:spacing w:after="0"/>
              <w:rPr>
                <w:sz w:val="21"/>
                <w:szCs w:val="21"/>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1,666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7"/>
              </w:rPr>
              <w:t>2,704</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2,467</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that approximately $0.5 million of pre-tax losses recorded as net in AOCI related to the interest rate hedge could be reclassified to earnings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contracts outstanding as of March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March 31, 2015 and December 31, 2014: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Fair Value as of</w:t>
            </w:r>
          </w:p>
        </w:tc>
        <w:tc>
          <w:tcPr>
            <w:tcW w:w="820" w:type="dxa"/>
            <w:vAlign w:val="bottom"/>
            <w:tcBorders>
              <w:bottom w:val="single" w:sz="8" w:color="auto"/>
            </w:tcBorders>
          </w:tcPr>
          <w:p>
            <w:pPr>
              <w:spacing w:after="0"/>
              <w:rPr>
                <w:sz w:val="16"/>
                <w:szCs w:val="16"/>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March 31, 2015</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7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tcBorders>
              <w:top w:val="single" w:sz="8" w:color="auto"/>
            </w:tcBorders>
            <w:gridSpan w:val="4"/>
          </w:tcPr>
          <w:p>
            <w:pPr>
              <w:ind w:left="13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21"/>
                <w:szCs w:val="21"/>
                <w:color w:val="auto"/>
              </w:rPr>
            </w:pP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3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70"/>
        </w:trPr>
        <w:tc>
          <w:tcPr>
            <w:tcW w:w="79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1340" w:type="dxa"/>
            <w:vAlign w:val="bottom"/>
            <w:tcBorders>
              <w:bottom w:val="single" w:sz="8" w:color="auto"/>
            </w:tcBorders>
          </w:tcPr>
          <w:p>
            <w:pPr>
              <w:jc w:val="right"/>
              <w:ind w:right="114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w:t>
            </w: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340" w:type="dxa"/>
            <w:vAlign w:val="bottom"/>
            <w:tcBorders>
              <w:bottom w:val="single" w:sz="8" w:color="CCEEFF"/>
            </w:tcBorders>
            <w:shd w:val="clear" w:color="auto" w:fill="CCEEFF"/>
          </w:tcPr>
          <w:p>
            <w:pPr>
              <w:jc w:val="right"/>
              <w:ind w:right="114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At March 31, 2015 and December 31, 2014, the notional amount related to the Company’s sole interest rate swap was $93.8 million and $97.5 million, respectively. In the next twelve months, the Company expects to reduce the notional amount by the entire $93.8 million.</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statements of operations during the three months ended March 31, 2015 and 2014: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 of Loss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vMerge w:val="restart"/>
          </w:tcPr>
          <w:p>
            <w:pPr>
              <w:jc w:val="center"/>
              <w:ind w:left="41"/>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15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March 31, 2015</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42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 2014</w:t>
            </w:r>
          </w:p>
        </w:tc>
        <w:tc>
          <w:tcPr>
            <w:tcW w:w="22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no gains or losses resulting from ineffectiveness of cash flow hedges during the three months ended March 31, 2015 and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2015, the Company had stock options, restricted stock awards, performance stock units,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eight years from the grant date for employees, and from eight to ten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2015, there were approximately $2.7 million of total unrecognized compensation costs related to unvested stock options. These costs are expected to be recognized over a weighted-average period of approximately three years. There were 78,336 stock options granted during the three months ended March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stock, restricted stock and contract stock awards generally have requisite service periods of three years. Performance stock units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As of March 31, 2015, there were approximately $20.3 million of total unrecognized compensation costs related to these unvested awards. The Company expects to recognize these costs over a weighted-average period of approximately two years. The Company granted 117,763 restricted stock awards/stock units and 64,770 performance shares during the three months ended March 31,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28, 2014, the Board of Directors terminated the October 2012 authorization and authorized up to $75.0 million of its outstanding common stock through December 2016. The Company has not repurchased any of its outstanding shares of common stock during the three-month periods ended March 31, 2015 and 2014. As of March 31, 2015, there remained $75.0 million available for repurchases under this authorization.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163"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50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income tax rates for the three months ended March 31, 2015 and 2014 were 33.5% and 44.5%, respectively. The primary driver of the higher tax rate for the three months ended March 31, 2014 compared to the three months ended March 31, 2015 was a tax expense of $0.8 million relating to foreign and state income tax audit settlements.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expects its effective income tax rate for the full year to be approximately 29% to 30%, resulting largely from nondeductible spine spin-off costs and audit settlements offset by the release of uncertain tax positions, as well as the jurisdictional mix of pretax income in U.S.-based operations relative to foreign operations. This estimate could be revised in the future as additional information is presented to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080" w:type="dxa"/>
            <w:vAlign w:val="bottom"/>
            <w:gridSpan w:val="5"/>
          </w:tcPr>
          <w:p>
            <w:pPr>
              <w:jc w:val="right"/>
              <w:ind w:right="172"/>
              <w:spacing w:after="0"/>
              <w:rPr>
                <w:sz w:val="20"/>
                <w:szCs w:val="20"/>
                <w:color w:val="auto"/>
              </w:rPr>
            </w:pPr>
            <w:r>
              <w:rPr>
                <w:rFonts w:ascii="Arial" w:cs="Arial" w:eastAsia="Arial" w:hAnsi="Arial"/>
                <w:sz w:val="14"/>
                <w:szCs w:val="14"/>
                <w:b w:val="1"/>
                <w:bCs w:val="1"/>
                <w:color w:val="auto"/>
              </w:rPr>
              <w:t>(In thousands, except per share amounts)</w:t>
            </w:r>
          </w:p>
        </w:tc>
      </w:tr>
      <w:tr>
        <w:trPr>
          <w:trHeight w:val="215"/>
        </w:trPr>
        <w:tc>
          <w:tcPr>
            <w:tcW w:w="834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share:</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2,206</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32,736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32,275</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900" w:type="dxa"/>
            <w:vAlign w:val="bottom"/>
            <w:tcBorders>
              <w:bottom w:val="single" w:sz="8" w:color="CCEEFF"/>
            </w:tcBorders>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83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8"/>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2,206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32,736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32,275</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2016 Convertible notes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r>
      <w:tr>
        <w:trPr>
          <w:trHeight w:val="23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33,342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32,768</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90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r>
      <w:tr>
        <w:trPr>
          <w:trHeight w:val="27"/>
        </w:trPr>
        <w:tc>
          <w:tcPr>
            <w:tcW w:w="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2015 and 2014, the Company had 1.3 million and 1.4 million of outstanding stock options, respectively. The Company also has warrants outstanding relating to its 2016 Notes at March 31, 2015 and 2014 and the Company's 2016 Notes are convertible to common shares in certain circumstances (see Note 5). Stock options, restricted stock, warrants and the excess conversion value of the 2016 Notes are included in the diluted earnings per share calculation using the treasury stock method, unless the effect of including such items would be anti-dilutive.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March 31, 2015, a minimal amount of anti-dilutive stock options were excluded from the diluted earnings per share calculation. For the three months ended March 31, 2014, 0.2 million of anti-dilutive stock options were excluded from the diluted earnings per share calculation. The effect of outstanding warrants were anti-dilutive because the strike price of the warrants exceeded the Company’s average stock price for the periods presented. The potential excess conversion value of the 2016 Notes were anti-dilutive because the conversion price exceeded the Company's stock price for the three months ended March 31, 2014; therefore, these amounts have been excluded from the diluted earnings per share calculation. However, for the three months ended March 31, 2015, the potential excess conversion value was included in the Company's dilutive share calculation because the average stock price for the three months ended March 31, 2015 exceeded the conversion price.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jc w:val="both"/>
        <w:ind w:right="8100" w:firstLine="8"/>
        <w:spacing w:after="0" w:line="453" w:lineRule="auto"/>
        <w:tabs>
          <w:tab w:leader="none" w:pos="2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(LOSS) INCOME </w:t>
      </w:r>
      <w:r>
        <w:rPr>
          <w:rFonts w:ascii="Arial" w:cs="Arial" w:eastAsia="Arial" w:hAnsi="Arial"/>
          <w:sz w:val="16"/>
          <w:szCs w:val="16"/>
          <w:color w:val="auto"/>
        </w:rPr>
        <w:t>Comprehensive (loss) income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2,206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3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3,206</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2014 and March 31, 2015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260" w:type="dxa"/>
            <w:vAlign w:val="bottom"/>
          </w:tcPr>
          <w:p>
            <w:pPr>
              <w:spacing w:after="0"/>
              <w:rPr>
                <w:sz w:val="14"/>
                <w:szCs w:val="14"/>
                <w:color w:val="auto"/>
              </w:rPr>
            </w:pPr>
          </w:p>
        </w:tc>
        <w:tc>
          <w:tcPr>
            <w:tcW w:w="10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(22,070)</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(24,393)</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(24,393)</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(24,128)</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reclassification adjustments out of Accumulated Other Comprehensive Loss during the three months ended March 31, 2015 were as follows: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20" w:type="dxa"/>
            <w:vAlign w:val="bottom"/>
          </w:tcPr>
          <w:p>
            <w:pPr>
              <w:spacing w:after="0"/>
              <w:rPr>
                <w:sz w:val="16"/>
                <w:szCs w:val="16"/>
                <w:color w:val="auto"/>
              </w:rPr>
            </w:pPr>
          </w:p>
        </w:tc>
        <w:tc>
          <w:tcPr>
            <w:tcW w:w="3860" w:type="dxa"/>
            <w:vAlign w:val="bottom"/>
            <w:gridSpan w:val="3"/>
          </w:tcPr>
          <w:p>
            <w:pPr>
              <w:ind w:left="1220"/>
              <w:spacing w:after="0"/>
              <w:rPr>
                <w:sz w:val="20"/>
                <w:szCs w:val="20"/>
                <w:color w:val="auto"/>
              </w:rPr>
            </w:pPr>
            <w:r>
              <w:rPr>
                <w:rFonts w:ascii="Arial" w:cs="Arial" w:eastAsia="Arial" w:hAnsi="Arial"/>
                <w:sz w:val="14"/>
                <w:szCs w:val="14"/>
                <w:b w:val="1"/>
                <w:bCs w:val="1"/>
                <w:color w:val="auto"/>
              </w:rPr>
              <w:t>(Loss) Components</w:t>
            </w:r>
          </w:p>
        </w:tc>
        <w:tc>
          <w:tcPr>
            <w:tcW w:w="260" w:type="dxa"/>
            <w:vAlign w:val="bottom"/>
          </w:tcPr>
          <w:p>
            <w:pPr>
              <w:spacing w:after="0"/>
              <w:rPr>
                <w:sz w:val="16"/>
                <w:szCs w:val="16"/>
                <w:color w:val="auto"/>
              </w:rPr>
            </w:pPr>
          </w:p>
        </w:tc>
        <w:tc>
          <w:tcPr>
            <w:tcW w:w="340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Comprehensive Income (Loss)</w:t>
            </w:r>
          </w:p>
        </w:tc>
        <w:tc>
          <w:tcPr>
            <w:tcW w:w="2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(Loss) is Presented</w:t>
            </w:r>
          </w:p>
        </w:tc>
      </w:tr>
      <w:tr>
        <w:trPr>
          <w:trHeight w:val="264"/>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Gains and losses on cash flow hedges</w:t>
            </w:r>
          </w:p>
        </w:tc>
        <w:tc>
          <w:tcPr>
            <w:tcW w:w="11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Starting in the first quarter of 2015, because of changes in how the Company internally manages and reports the results of its businesses to its chief operating decision maker, the Company is disclosing three global reportable segments. The three global reportable segments and their activities are described below, as follows:</w:t>
      </w:r>
    </w:p>
    <w:p>
      <w:pPr>
        <w:spacing w:after="0" w:line="289"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Specialty Surgical Solutions segment includes (i) the Neurosurgery business which sells a full line of products specifically for neurosurgery and critical care such as tissue ablation equipment, dural repair products, cerebral spinal fluid management devices, intracranial monitoring equipment, and cranial stabilization equipment and (ii) the Instruments business which sells more than 60,000 instrument patterns and surgical and lighting products to hospitals, surgery centers, and dental, podiatry, and veterinary offices.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92"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w:t>
      </w:r>
    </w:p>
    <w:p>
      <w:pPr>
        <w:spacing w:after="0" w:line="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Spine segment focuses on spinal fusion, spinal implants, and deformity correction, together with bone graft substitutes and other related medical devices that are used to enhance the repair and regeneration of bone in various types of orthopedic surgical procedures.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most notable change from the Company's financial statements for the year ended December 31, 2014 included in the Annual Report on Form 10-K is the integration of the former International reportable segment into the segments noted above as well as the Private Label segment into Orthopedics and Tissue Technologies and Spine.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and other category includes (i) various legal, finance, information systems, executive, and human resource functions, (ii) brand management, and (iii) share-based compensation costs. Prior to the realignment, costs related to procurement, manufacturing operations and logistics for the Company's entire organization were not allocated to operating segments. In connection with the realignment, a portion of these costs have now been incorporated into the disclosed operating segments.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months ended March 31, 2015 and 2014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140,058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127,195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54,589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Spine</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33,275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233,665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215,059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Specialty Surgical Solutions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48,297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Orthopedics and Tissue Technologies</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19,582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17,001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Spine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83,039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68,046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(56,275)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managed by the various U.S. segments that are generated from non-U.S. customers and therefore are included in Europe and the Rest of World revenues below. Total revenue by major geographic area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3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180,960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163,382</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Europe</w:t>
            </w:r>
          </w:p>
        </w:tc>
        <w:tc>
          <w:tcPr>
            <w:tcW w:w="4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26,764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25,324</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25,941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26,353</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9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233,665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215,059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4960" w:type="dxa"/>
            <w:vAlign w:val="bottom"/>
            <w:vMerge w:val="restart"/>
          </w:tcPr>
          <w:p>
            <w:pPr>
              <w:jc w:val="right"/>
              <w:ind w:right="2450"/>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9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8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2014 included in our Annual Report on Form 10-K.</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2014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Integra is a world leader in medical technology focused on limiting uncertainty for surgeons so that they can concentrate on providing the best patient care.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Integra offers innovative solutions in orthopedic extremity surgery, neurosurgery, spine surgery, and reconstructive and general surgery.</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the first quarter of 2015, we changed how we manage the business. As a result, we report our financial results under three global reportable segments - Specialty Surgical Solutions, Orthopedics and Tissue Technologies, and Spine. Refer to Note 12 -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for more information.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Specialty Surgical Solutions segment includes, among other things, dural grafts and dural sealants which are indicated for the repair of the dura mater, ultrasonic surgery systems for tissue ablation, monitoring systems for neuro critical care, cranial stabilization and retraction systems, and a wide range of specialty and general surgical and dental instruments and surgical lighting for sale to hospitals, outpatient surgery centers, and physician, veterinarian and dental practices. Our Orthopedics and Tissue Technologies segment includes specialty metal implants for surgery of the upper and lower extremities, dermal regeneration products and tissue-engineered wound dressings and nerve and tendon repair products. Our Spine segment focuses on orthobiologics and spinal fusion hardware solutions used to meet the varying combinations of products that neurosurgeons and orthopedic spine surgeons need to perform fusion procedures in the lumbar, thoracic and cervical spine.</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manufacture many of our products in plants located in the United States, Puerto Rico, France, Germany, Ireland, and Mexico. We also source most of our handheld surgical instruments and specialty metal and pyrocarbon implants through specialized third-party vendors.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products in each reportable segment are sold through a combination of a direct sales organization and distributors.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aspire to be a multi-billion dollar diversified global medical technology company that helps patients by limiting uncertainty for medical professionals, and is a high quality investment for shareholders. We will achieve these goals by delivering on our Brand Promises to our customers worldwide and by becoming a top player in all markets in which we compete.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built around three pillars - optimize, execute and accelerate growth. These three pillars support our strategic initiatives to optimize our infrastructure, to deliver on our commitments through improved planning and communication, and to grow by introducing new products to the market through internal development, expanding geographically, and strategic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Metasurg</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December 2014, we acquired certain assets of Koby Ventures II, L.P. dba Metasurg ("Metasurg") for an aggregate purchase price of $27.2 million. The purchase price consists of an initial cash payment to Metasurg of $26.5 million and contingent consideration with an acquisition date fair value of $0.7 million. The potential maximum undiscounted contingent consideration of $38.5 million is based on reaching certain sales levels for acquired products from April 1, 2015 through June 30, 2016. Metasurg develops intuitive implant systems for the foot and ankle market and sells almost entirely in the U.S.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MicroFrance</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2014, we acquired all outstanding shares of Medtronic Xomed Instrumentation, SAS ("MicroFrance") from Medtronic, Inc. ("Medtronic") as well as certain assets of Medtronic for $60.1 million in cash (including working capital and purchase price adjustments of $1.5 million, of which $0.8 million was recorded against goodwill). MicroFrance specializes in manual ear, nose, and throat ("ENT") surgical instruments and designs, manufactures, and sells reusable handheld instruments to ENT and laparoscopy surgical specialists around the world.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 Inc.</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2014, we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to us. Confluent Surgical is a developer and supplier of polymer-based biosurgery technology used in surgical sealants and anti-adhesion products.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We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acquisition complements our global neurosurgery growth strategy aimed at providing a broader set of solutions for surgical procedures in the head.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Diabetic Foot Ulcer Clinical Trial</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July 2014, we completed our multicenter clinical trial evaluating the safety and effectiveness of the INTEGRA® Dermal Regeneration Template for the Treatment of Diabetic Foot Ulcers (“DFU”). The data collected formed the foundation for the Premarket Approval Supplement application that we filed with the FDA, which we announced in February 2015. In addition, the Company is pursuing a publication of the data in a peer-reviewed journal. An FDA approval, along with published data, will form the key to securing reimbursement. Assuming FDA approval and timely publication of the peer-reviewed journal article, the Company anticipates commercializing the resulting DFU product in the middle of 2016.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the Spine Business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2014, we announced a plan to spin-off our spine business into a stand-alone public company. We anticipate that the transaction will be in the form of a tax-free distribution to Integra shareholders of publicly traded stock in the new spine company. Completion of the transaction is expected to be subject to certain conditions, including, among others, receipt of regulatory approvals, assurance as to the tax-free status of the spin-off of the spine business to our U.S. shareholders, the effectiveness of a Form 10 registration statement filed with the U.S. Securities and Exchange Commission and final approval by our Board of Directors. We currently expect to complete the transaction in the second half of 2015; however, there can be no assurance regarding the ultimate timing of the proposed transaction or that the transaction will be completed. Subsequent to the separation, the historical results of our Spine segment will be presented as discontinued operations.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March 31, 2015, we incurred costs of $4.8 million related to the separation of our Spine segment. These costs, which are included in selling, general and administrative expenses, primarily relate to professional fees to separate the spine business as well as costs incurred to build the corporate infrastructure of the spine company. We plan to continue to incur costs related to the separation throughout 2015, which we expect to have a negative impact on our 2015 operating cash flow.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Realignment of the Integra Portfolio and Change in Reportable Segments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the first quarter of 2015, the Company's management began reporting business performance and making decisions primarily on a global basis, including the results of its former International reportable segment in each of its respective three division global structure. Following the above announced separation of the Spine business, we will have the two remaining global segments. Accordingly, to align with the way the business is currently managed, the Company’s reportable operating segments now consist of Specialty Surgical Solutions, Orthopedics and Tissue Technologies, and Spine. International is no longer reported as a separate reportable operating segment. Specialty Surgical Solutions includes the i) Neurosurgery business, the ii) Instruments business and iii) their respective international components, Orthopedics and Tissue Technologies includes the former U.S. Extremities business and its international components, and the Spine reportable segment includes the former U.S. Spine operating segment and its respective international components. Private Label has been incorporated in the reportable segments based on the nature of the product line. Further information regarding the Company’s operating segments may be found in Note 12 - </w:t>
      </w:r>
      <w:r>
        <w:rPr>
          <w:rFonts w:ascii="Arial" w:cs="Arial" w:eastAsia="Arial" w:hAnsi="Arial"/>
          <w:sz w:val="17"/>
          <w:szCs w:val="17"/>
          <w:i w:val="1"/>
          <w:iCs w:val="1"/>
          <w:color w:val="auto"/>
        </w:rPr>
        <w:t>Segment and Geographic Information</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three months ended March 31, 2015, was $8.4 million, or $0.25 per diluted share as compared to $2.2 million or $0.07 per diluted share for the three months ended March 31, 2014.</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net income for the three months ended March 31, 2015 over the same period last year resulted primarily from the inclusion of the MicroFrance and Metasurg operations as well as strong growth in our dural repair and regenerative technology franchises.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Certain employee severance charges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Spine spin-off charges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4,847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16,794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15,904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The items reported above are reflected in the condensed consolidated statements of operations as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340" w:type="dxa"/>
            <w:vAlign w:val="bottom"/>
          </w:tcPr>
          <w:p>
            <w:pPr>
              <w:spacing w:after="0"/>
              <w:rPr>
                <w:sz w:val="24"/>
                <w:szCs w:val="24"/>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11,225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2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16,794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("ERP") system. We began capitalizing certain costs for the project starting in 2011 and continued to do so during the first quarter of 2015. We placed the ERP in service across a number of U.S. sites in May of 2014, and at that time, we began depreciating the capitalized costs associated with that part of the implementation. We expect the additional capital and integration expenses associated with our ERP system to decrease as we continue to progress in our ERP implementation over the next several years.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the business model objectives that management has established, and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inspected our Andover, UK facility in June 2012, which resulted in the issuance of FDA Form 483 Observations. We subsequently received a Warning Letter on November 1, 2012. On April 25, 2014, we received a letter from the FDA stating that while it accepted the Corrective Action Plan for the Andover Facility, the warning letter would not be closed out until the FDA conducted an inspection of the Andover facility and concluded that the violations stated in the FDA warning letter had been addressed. On December 31, 2014, we closed the Andover Facility and delisted it as an FDA registered facility. We notified the FDA regarding the closure of the Andover facility.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inspected our Añasco, Puerto Rico facility in October and November 2012, and issued a warning letter for that facility on February 13, 2013. On November 26, 2013, the FDA completed its second inspection of the Añasco facility and issued a new Form 483 with six additional observations. On September 30, 2014, the FDA completed its third inspection of the Añasco facility, and concluded that the Company had addressed the issues raised in the Warning Letter and previous inspectional observations, and it issued no other inspectional observations. The Añasco warning letter was closed out effective January 14, 2015.</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remediation expenses incurred in the three-months ended March 31, 2015 and an insignificant amount of expenses were incurred in the three months ended March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r>
      <w:tr>
        <w:trPr>
          <w:trHeight w:val="251"/>
        </w:trPr>
        <w:tc>
          <w:tcPr>
            <w:tcW w:w="8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Pr>
          <w:p>
            <w:pPr>
              <w:spacing w:after="0"/>
              <w:rPr>
                <w:sz w:val="21"/>
                <w:szCs w:val="21"/>
                <w:color w:val="auto"/>
              </w:rPr>
            </w:pPr>
          </w:p>
        </w:tc>
        <w:tc>
          <w:tcPr>
            <w:tcW w:w="284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Surgical Solutions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140,058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127,195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Orthopedics &amp; Tissue Technologies</w:t>
            </w:r>
          </w:p>
        </w:tc>
        <w:tc>
          <w:tcPr>
            <w:tcW w:w="380" w:type="dxa"/>
            <w:vAlign w:val="bottom"/>
          </w:tcPr>
          <w:p>
            <w:pPr>
              <w:spacing w:after="0"/>
              <w:rPr>
                <w:sz w:val="21"/>
                <w:szCs w:val="21"/>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61,367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54,589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Spine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32,240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33,275</w:t>
            </w:r>
          </w:p>
        </w:tc>
      </w:tr>
      <w:tr>
        <w:trPr>
          <w:trHeight w:val="237"/>
        </w:trPr>
        <w:tc>
          <w:tcPr>
            <w:tcW w:w="8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233,665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215,059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86,722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82,383</w:t>
            </w:r>
          </w:p>
        </w:tc>
      </w:tr>
      <w:tr>
        <w:trPr>
          <w:trHeight w:val="237"/>
        </w:trPr>
        <w:tc>
          <w:tcPr>
            <w:tcW w:w="8200" w:type="dxa"/>
            <w:vAlign w:val="bottom"/>
          </w:tcPr>
          <w:p>
            <w:pPr>
              <w:ind w:left="18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146,943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132,676</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as a percentage of total revenues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top w:val="single" w:sz="8" w:color="CCEEFF"/>
            </w:tcBorders>
            <w:shd w:val="clear" w:color="auto" w:fill="CCEEFF"/>
          </w:tcPr>
          <w:p>
            <w:pPr>
              <w:spacing w:after="0"/>
              <w:rPr>
                <w:sz w:val="24"/>
                <w:szCs w:val="2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8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2014 Segment revenues above have been reclassified in order to conform with the current year's presentation.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as Compared to Three Months Ended March 31,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2015 total revenues increased by $18.6 million to $233.7 million from $215.1 million for the same period in 2014.</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Specialty Surgical Solutions revenues were $140.1 million, an increase of 10% from the prior-year period. The increase partially resulted from the impact of the MicroFrance product sales arising out of the acquisition, which added $5.8 million in the quarter. Our Dural repair franchise performed very well as initial orders of our products were placed in new International markets and sales in the United States continued to rise. Neuro critical care also grew well, benefiting from strong sales of capital equipment during the period. Revenue before the inclusion of MicroFrance increased in our Precision Tools and Instruments business, which includes the former Instruments product portfolio as well as our cranial stabilization and stereotaxy product lines. These increased sales were partially offset by a decline in tissue ablation.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Orthopedics and Tissue Technologies revenues were $61.4 million, an increase of 12% from the prior-year period. The increase partially resulted from the impact of the Metasurg product sales arising out of the acquisition, which added $1.6 million in the quarter. We also saw strong demand in our regenerative technologies franchise as a result of both additional headcount in our sales force and an uptake of new products, including the Integra Wound Matrix-Thin, Integra Reinforcement Matrix and Integra Wound Matrix-Meshed. Sales growth in our upper extremity franchise also benefited from increasing demand for new products in shoulder and wrist arthroplasty.</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Spine revenues were $32.2 million, a decrease of 3% from the prior-year period. The decrease was mostly driven by our spine hardware business which continued to face pricing pressures, delays in product launches, and the slower than anticipated addition of new distributors. Our orthobiologics business was roughly flat for the period.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increased to $146.9 million for the three-month period ended March 31, 2015 from $132.7 million for the same period last year. Gross margin as a percentage of total revenue increased to 62.9% for the first quarter of 2015 from 61.7% for the same period last year. The increase in gross margin percentage resulted primarily from an increase in sales of higher margin products such as DuraSeal, DuraGen, skin and wound products, and improvements in our utilization of manufacturing capacity for our regenerative products.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consolidated gross margin percentage for the full year 2015 to be between 62.0% and 62.5%. We expect our gross margin will see increases from improved product mix offset by a negative top-line impact on revenues because of the stronger U.S. dollar and corresponding weaknesses in other currencies in which we transact business, particularly the euro, as well as additional costs related to the completion of our regenerative technology manufacturing facility capacity expansion.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79"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ind w:left="8840"/>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48.8%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2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55.7%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r>
      <w:tr>
        <w:trPr>
          <w:trHeight w:val="27"/>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$6.3 million, or 5%, to $130.2 million in the three months ended March 31, 2015, compared to $123.9 million in the same period last year.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 the first quarter of 2015 remained flat compared to the same period last year. We expect full-year 2015 spending on research and development to be between 5.5% and 6.0% of total revenues.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in the first quarter of 2015 increased by $5.8 million to $114.1 million compared to $108.3 million in the same period last year. Selling and marketing expenses increased by $4.1 million, primarily resulting from higher commissions and distributor fees related to the MicroFrance and Metasurg sales, increased headcount and overall sales increases in general. General and administrative costs increased $1.7 million as a result of consulting costs to support the spin-off of our Spine business and various other strategic projects, as well as additional depreciation as we implemented our ERP in certain locations during May of 2014. These increases were partially offset by a decrease in integration costs related to the Covidien Surgical acquisition recorded in the first quarter of 2014. We expect full year selling, general and administrative expenses to be between 47.5% and 48.0% of revenues, including costs related to the spin-off of our spine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in the first quarter of 2015 reflects the Spine goodwill impairment charge of $0.4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06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b w:val="1"/>
                <w:bCs w:val="1"/>
                <w:color w:val="auto"/>
                <w:w w:val="95"/>
              </w:rPr>
              <w:t>Three Months Ended March 31,</w:t>
            </w:r>
          </w:p>
        </w:tc>
        <w:tc>
          <w:tcPr>
            <w:tcW w:w="66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53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72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22"/>
                <w:szCs w:val="22"/>
                <w:color w:val="auto"/>
              </w:rPr>
            </w:pPr>
          </w:p>
        </w:tc>
      </w:tr>
      <w:tr>
        <w:trPr>
          <w:trHeight w:val="196"/>
        </w:trPr>
        <w:tc>
          <w:tcPr>
            <w:tcW w:w="34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Borders>
              <w:top w:val="single" w:sz="8" w:color="auto"/>
            </w:tcBorders>
          </w:tcPr>
          <w:p>
            <w:pPr>
              <w:spacing w:after="0"/>
              <w:rPr>
                <w:sz w:val="17"/>
                <w:szCs w:val="17"/>
                <w:color w:val="auto"/>
              </w:rPr>
            </w:pPr>
          </w:p>
        </w:tc>
      </w:tr>
      <w:tr>
        <w:trPr>
          <w:trHeight w:val="25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32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(5,492)</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(5,142)</w:t>
            </w:r>
          </w:p>
        </w:tc>
      </w:tr>
      <w:tr>
        <w:trPr>
          <w:trHeight w:val="27"/>
        </w:trPr>
        <w:tc>
          <w:tcPr>
            <w:tcW w:w="34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1,316</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675"/>
        </w:trPr>
        <w:tc>
          <w:tcPr>
            <w:tcW w:w="3420" w:type="dxa"/>
            <w:vAlign w:val="bottom"/>
          </w:tcPr>
          <w:p>
            <w:pPr>
              <w:spacing w:after="0"/>
              <w:rPr>
                <w:sz w:val="24"/>
                <w:szCs w:val="24"/>
                <w:color w:val="auto"/>
              </w:rPr>
            </w:pPr>
          </w:p>
        </w:tc>
        <w:tc>
          <w:tcPr>
            <w:tcW w:w="4180" w:type="dxa"/>
            <w:vAlign w:val="bottom"/>
          </w:tcPr>
          <w:p>
            <w:pPr>
              <w:jc w:val="right"/>
              <w:ind w:right="1716"/>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 the three months ended March 31, 2015 increased by $0.4 million primarily because we have increased borrowings on our Senior Credit facility compared to the prior year. Our reported interest expense for the three-month periods ended March 31, 2015 and 2014 includes non-cash interest related to the accounting for convertible securities of $1.9 million and $1.7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March 31, 2015, and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for both the first quarter of 2015 and 2014 was primarily attributable to the foreign exchange impact on intercompany balances.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18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5"/>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4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r>
      <w:tr>
        <w:trPr>
          <w:trHeight w:val="196"/>
        </w:trPr>
        <w:tc>
          <w:tcPr>
            <w:tcW w:w="7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7"/>
                <w:szCs w:val="17"/>
                <w:color w:val="auto"/>
              </w:rPr>
            </w:pPr>
          </w:p>
        </w:tc>
      </w:tr>
      <w:tr>
        <w:trPr>
          <w:trHeight w:val="256"/>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8"/>
              </w:rPr>
              <w:t>12,617</w:t>
            </w:r>
          </w:p>
        </w:tc>
        <w:tc>
          <w:tcPr>
            <w:tcW w:w="126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3,975</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140" w:type="dxa"/>
            <w:vAlign w:val="bottom"/>
          </w:tcPr>
          <w:p>
            <w:pPr>
              <w:spacing w:after="0"/>
              <w:rPr>
                <w:sz w:val="21"/>
                <w:szCs w:val="21"/>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4,233</w:t>
            </w:r>
          </w:p>
        </w:tc>
        <w:tc>
          <w:tcPr>
            <w:tcW w:w="126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1,769</w:t>
            </w:r>
          </w:p>
        </w:tc>
      </w:tr>
      <w:tr>
        <w:trPr>
          <w:trHeight w:val="27"/>
        </w:trPr>
        <w:tc>
          <w:tcPr>
            <w:tcW w:w="7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7"/>
        </w:trPr>
        <w:tc>
          <w:tcPr>
            <w:tcW w:w="74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income tax rates for the three months ended March 31, 2015 and 2014 were 33.5% and 44.5%, respectively. The primary driver of the higher tax rate for the three months ended March 31, 2014 compared to the three months ended March 31, 2015 was a tax expense of $0.8 million relating to foreign and state income tax audit settlements.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29% to 30%, resulting largely from nondeductible spine spin-off costs and audit settlements offset by the release of uncertain tax positions, as well as the jurisdictional mix of pretax income in U.S.-based operations relative to foreign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deferred tax assets on a quarterly basis.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180,960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163,382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26,764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25,324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25,941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26,353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233,665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215,059</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Domestic revenues increased to $181.0 million, or 77% of total revenues, for the three months ended March 31, 2015 from $163.4 million, or 76% of total revenues, for the three months ended March 31, 2014. International revenues increased to $52.7 million from $51.7 million in the prior-year period, an increase of 2%. Changes in foreign exchange rates decreased our sales by $5.8 million compared to the three months ended March 31, 2014.</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cash and cash equivalents totaling approximately $79.9 million and $72.0 million at March 31, 2015 and December 31, 2014, respectively, which are valued based on Level 1 measurements in the fair value hierarchy. At March 31, 2015, our non-U.S. subsidiaries held approximately $58.6 million of cash and cash equivalents that are available for use by our operations outside of the United States. If cash and cash equivalents held by our non-U.S. subsidiaries were repatriated to the United States, or used for United States operations, certain amounts could be subject to tax in the United States for the incremental amount in excess of the foreign tax paid.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6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31,619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(246,335)</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(13,826)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243,174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7"/>
        </w:trPr>
        <w:tc>
          <w:tcPr>
            <w:tcW w:w="7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7,877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we anticipate that our principal uses of cash will include between $40.0 million and $45.0 million on capital expenditures primarily for the completion of our regenerative technology manufacturing capacity expansion, support and maintenance in our existing plants, our enterprise resource planning system implementation, and additions to our instrument kits used in sales of orthopedic products. In addition, we plan on providing between $40.0 million and $50.0 million of cash to the spine business in conjunction with the spin-off as well as spending approximately $20.0 million on professional fees and other expenses to separate the business and build the corporate infrastructure.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$31.6 million and $11.3 million for the three months ended March 31, 2015 and 2014, respectively.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cash flows for the three months ended March 31, 2015 benefited from an increase in net income of $6.2 million compared to the same period in 2014. Changes in working capital increased cash flows for the three months ended March 31, 2015 by approximately $2.7 million. Among the changes in working capital, accounts receivable provided $2.1 million of cash, inventory used $2.8 million of cash, prepaid expenses and other current assets provided $6.0 million of cash, and accounts payable, accrued expenses and other current liabilities used $1.9 million of cash.</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 for the three months ended March 31, 2014 benefited from an increase in net income of $8.2 million compared to the same period in 2013. Changes in working capital decreased cash flows by approximately $8.8 million. Among the changes in working capital, accounts receivable provided $5.7 million of cash, inventory used $8.5 million of cash, prepaid expenses and other current assets used $1.6 million of cash, and accounts payable, accrued expenses and other current liabilities used $4.4 million of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2015, we received cash of $1.4 million related to the sale of our Andover facility and $1.8 million related to a working capital adjustment from the MicroFrance acquisition. We also paid $8.9 million for capital expenditures, most of which was directed to the expansion of our regenerative medicine production capacity and global enterprise system implementation.</w:t>
      </w:r>
    </w:p>
    <w:p>
      <w:pPr>
        <w:spacing w:after="0" w:line="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March 31, 2014, we paid $235.0 million for the acquisition of Confluent Surgical, and $11.3 million for capital expenditures, most of which was directed to the expansion of our regenerative medicine production capacity and global enterprise system implementation.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Provided by Financing Activities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use of cash for financing activities in the three months ended March 31, 2015 was a repayment of $15.0 million on the revolving portion under our Senior Credit Facility. Additionally, we received proceeds from stock option exercises of $0.2 million.</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sources of cash for financing activities in the three months ended March 31, 2014 were $235.0 million of borrowings under our senior credit facility to fund the Confluent Surgical acquisition and stock option exercises of $7.8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2015 and December 31, 2014, working capital was $395.1 million and $403.3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Debt and Related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(i) amended and restated Senior Credit Agreement, and (ii) convertible debt and related hedging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 As of March 31, 2015, there remained $75.0 million available for repurchases under this authorization.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all such outstanding amounts to be long-term in nature based on its current intent and ability to repay the borrowings outside of the next twelve month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we were obligated to pay the following amounts under various agreements: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Payments Due by Calendar 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35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Remaining 2015</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2016-2017</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2018-2019</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Securities (1)</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230.0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 (2)</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251.9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251.9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150.0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(3)</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 (4)</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28.0</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0.7</w:t>
            </w:r>
          </w:p>
        </w:tc>
      </w:tr>
      <w:tr>
        <w:trPr>
          <w:trHeight w:val="27"/>
        </w:trPr>
        <w:tc>
          <w:tcPr>
            <w:tcW w:w="3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737.4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392.6</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r>
      <w:tr>
        <w:trPr>
          <w:trHeight w:val="20"/>
        </w:trPr>
        <w:tc>
          <w:tcPr>
            <w:tcW w:w="3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840" w:right="20" w:hanging="293"/>
        <w:spacing w:after="0" w:line="264"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estimated debt service obligation of the senior convertible securities includes interest expense representing the amortization of the discount on the liability component of the senior convertible notes in accordance with the authoritative guidance. See Note 5 -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our condensed consolidated financial statements for additional information.</w:t>
      </w:r>
    </w:p>
    <w:p>
      <w:pPr>
        <w:spacing w:after="0" w:line="19" w:lineRule="exact"/>
        <w:rPr>
          <w:rFonts w:ascii="Arial" w:cs="Arial" w:eastAsia="Arial" w:hAnsi="Arial"/>
          <w:sz w:val="18"/>
          <w:szCs w:val="18"/>
          <w:color w:val="auto"/>
        </w:rPr>
      </w:pPr>
    </w:p>
    <w:p>
      <w:pPr>
        <w:ind w:left="840" w:right="40" w:hanging="293"/>
        <w:spacing w:after="0" w:line="317"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may borrow and make payments against the revolver portion of its Senior Credit Facility from time to time and considers all of the outstanding amounts to be long term based on its current intent and ability to repay the borrowing outside of the next twelve-month period.</w:t>
      </w:r>
    </w:p>
    <w:p>
      <w:pPr>
        <w:ind w:left="840" w:right="40" w:hanging="293"/>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and convertible securities based on current interest rates paid by the Company. As the revolving credit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excluded contingent consideration obligations related to prior acquisitions from the contractual obligations table above; these liabilities had a fair value of $22.1 million at March 31, 2015. These liabilities have been excluded because the amounts to be paid and the potential payment dates are not fixed.</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also excluded the liability for uncertain tax benefits from the contractual obligations table above, including interest and penalties, totaling $1.1 million at March 31, 2015. This liability for uncertain tax benefits has been excluded because we cannot make a reliable estimate of the period in which the uncertain tax benefits may be realized.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three months ended March 31, 2015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2014, have not materially changed, except as noted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xml:space="preserve"> to the current period’s condensed consolidated financial statements for a discussion of the reallocation of goodwill in connection with the Company's change in operating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Australian dollars and Japanese yen.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March 31, 2015 would increase interest income by approximately $0.8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2 basis points. We are subject to foreign currency exchange risk with respect to cash balances maintained in foreign currencies.</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Senior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have used an interest rate derivative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$93.8 million outstanding as of March 31, 2015. We recognized $0.4 million of additional interest expense related to this derivative during the three months ended March 31, 2015. The fair value of our interest rate derivative instrument was a net liability of $0.5 million at March 31,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outstanding borrowings at March 31, 2015, a one-percentage point change in interest rates would have affected interest expense on the unhedged portion of the debt by $3.1 million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2015. Based upon this evaluation, our principal executive officer and principal financial officer concluded that our disclosure controls and procedures were effective as of March 31, 2015 to provide such reasonable assurance.</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(“ERP”)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March 31, 2015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Risk Factors included in our Annual Report on Form 10-K for the fiscal year ended December 31, 2014 have not materially changed.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during the three months ended March 31, 2015 under this program.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Stock Option Agreement (Executive Officers)</w:t>
      </w:r>
    </w:p>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10040" w:type="dxa"/>
            <w:vAlign w:val="bottom"/>
          </w:tcPr>
          <w:p>
            <w:pPr>
              <w:ind w:left="180"/>
              <w:spacing w:after="0"/>
              <w:rPr>
                <w:sz w:val="20"/>
                <w:szCs w:val="20"/>
                <w:color w:val="auto"/>
              </w:rPr>
            </w:pPr>
            <w:r>
              <w:rPr>
                <w:rFonts w:ascii="Arial" w:cs="Arial" w:eastAsia="Arial" w:hAnsi="Arial"/>
                <w:sz w:val="18"/>
                <w:szCs w:val="18"/>
                <w:color w:val="auto"/>
              </w:rPr>
              <w:t>Form of Stock Option Agreement for Glenn Coleman</w:t>
            </w:r>
          </w:p>
        </w:tc>
      </w:tr>
      <w:tr>
        <w:trPr>
          <w:trHeight w:val="54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10040" w:type="dxa"/>
            <w:vAlign w:val="bottom"/>
          </w:tcPr>
          <w:p>
            <w:pPr>
              <w:ind w:left="180"/>
              <w:spacing w:after="0"/>
              <w:rPr>
                <w:sz w:val="20"/>
                <w:szCs w:val="20"/>
                <w:color w:val="auto"/>
              </w:rPr>
            </w:pPr>
            <w:r>
              <w:rPr>
                <w:rFonts w:ascii="Arial" w:cs="Arial" w:eastAsia="Arial" w:hAnsi="Arial"/>
                <w:sz w:val="18"/>
                <w:szCs w:val="18"/>
                <w:color w:val="auto"/>
              </w:rPr>
              <w:t>Agreement and General Release by and between Robert Paltridge and Integra LifeSciences Corporation</w:t>
            </w:r>
          </w:p>
        </w:tc>
      </w:tr>
      <w:tr>
        <w:trPr>
          <w:trHeight w:val="52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10040" w:type="dxa"/>
            <w:vAlign w:val="bottom"/>
          </w:tcPr>
          <w:p>
            <w:pPr>
              <w:ind w:left="180"/>
              <w:spacing w:after="0"/>
              <w:rPr>
                <w:sz w:val="20"/>
                <w:szCs w:val="20"/>
                <w:color w:val="auto"/>
              </w:rPr>
            </w:pPr>
            <w:r>
              <w:rPr>
                <w:rFonts w:ascii="Arial" w:cs="Arial" w:eastAsia="Arial" w:hAnsi="Arial"/>
                <w:sz w:val="18"/>
                <w:szCs w:val="18"/>
                <w:color w:val="auto"/>
                <w:w w:val="91"/>
              </w:rPr>
              <w:t>Form of Change in Control Severance Agreement (Incorporated by reference to Exhibit 10.1 to the Company's Current Report on Form</w:t>
            </w:r>
          </w:p>
        </w:tc>
      </w:tr>
      <w:tr>
        <w:trPr>
          <w:trHeight w:val="230"/>
        </w:trPr>
        <w:tc>
          <w:tcPr>
            <w:tcW w:w="104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8-K filed on January 30, 2015)</w:t>
            </w:r>
          </w:p>
        </w:tc>
      </w:tr>
      <w:tr>
        <w:trPr>
          <w:trHeight w:val="75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*32.1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2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99.1</w:t>
            </w:r>
          </w:p>
        </w:tc>
        <w:tc>
          <w:tcPr>
            <w:tcW w:w="10040" w:type="dxa"/>
            <w:vAlign w:val="bottom"/>
          </w:tcPr>
          <w:p>
            <w:pPr>
              <w:ind w:left="180"/>
              <w:spacing w:after="0"/>
              <w:rPr>
                <w:sz w:val="20"/>
                <w:szCs w:val="20"/>
                <w:color w:val="auto"/>
              </w:rPr>
            </w:pPr>
            <w:r>
              <w:rPr>
                <w:rFonts w:ascii="Arial" w:cs="Arial" w:eastAsia="Arial" w:hAnsi="Arial"/>
                <w:sz w:val="18"/>
                <w:szCs w:val="18"/>
                <w:color w:val="auto"/>
                <w:w w:val="91"/>
              </w:rPr>
              <w:t>Letter, dated January 14, 2015, from the United States Food and Drug Administration to Integra LifeSciences Corporation (Incorporated</w:t>
            </w:r>
          </w:p>
        </w:tc>
      </w:tr>
      <w:tr>
        <w:trPr>
          <w:trHeight w:val="230"/>
        </w:trPr>
        <w:tc>
          <w:tcPr>
            <w:tcW w:w="104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by reference to Exhibit 99.1 to the Company’s Current Report on Form 8-K filed on January 20, 2015)</w:t>
            </w:r>
          </w:p>
        </w:tc>
      </w:tr>
      <w:tr>
        <w:trPr>
          <w:trHeight w:val="75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540"/>
        </w:trPr>
        <w:tc>
          <w:tcPr>
            <w:tcW w:w="1040" w:type="dxa"/>
            <w:vAlign w:val="bottom"/>
          </w:tcPr>
          <w:p>
            <w:pPr>
              <w:jc w:val="right"/>
              <w:ind w:right="90"/>
              <w:spacing w:after="0"/>
              <w:rPr>
                <w:sz w:val="20"/>
                <w:szCs w:val="20"/>
                <w:color w:val="auto"/>
              </w:rPr>
            </w:pPr>
            <w:r>
              <w:rPr>
                <w:rFonts w:ascii="Arial" w:cs="Arial" w:eastAsia="Arial" w:hAnsi="Arial"/>
                <w:sz w:val="18"/>
                <w:szCs w:val="18"/>
                <w:color w:val="auto"/>
                <w:w w:val="93"/>
              </w:rPr>
              <w:t>*†101.SCH</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40" w:type="dxa"/>
            <w:vAlign w:val="bottom"/>
          </w:tcPr>
          <w:p>
            <w:pPr>
              <w:jc w:val="right"/>
              <w:ind w:right="90"/>
              <w:spacing w:after="0"/>
              <w:rPr>
                <w:sz w:val="20"/>
                <w:szCs w:val="20"/>
                <w:color w:val="auto"/>
              </w:rPr>
            </w:pPr>
            <w:r>
              <w:rPr>
                <w:rFonts w:ascii="Arial" w:cs="Arial" w:eastAsia="Arial" w:hAnsi="Arial"/>
                <w:sz w:val="18"/>
                <w:szCs w:val="18"/>
                <w:color w:val="auto"/>
                <w:w w:val="96"/>
              </w:rPr>
              <w:t>*†101.CAL</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40" w:type="dxa"/>
            <w:vAlign w:val="bottom"/>
          </w:tcPr>
          <w:p>
            <w:pPr>
              <w:jc w:val="right"/>
              <w:ind w:right="90"/>
              <w:spacing w:after="0"/>
              <w:rPr>
                <w:sz w:val="20"/>
                <w:szCs w:val="20"/>
                <w:color w:val="auto"/>
              </w:rPr>
            </w:pPr>
            <w:r>
              <w:rPr>
                <w:rFonts w:ascii="Arial" w:cs="Arial" w:eastAsia="Arial" w:hAnsi="Arial"/>
                <w:sz w:val="18"/>
                <w:szCs w:val="18"/>
                <w:color w:val="auto"/>
                <w:w w:val="95"/>
              </w:rPr>
              <w:t>*†101.DEF</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40" w:type="dxa"/>
            <w:vAlign w:val="bottom"/>
          </w:tcPr>
          <w:p>
            <w:pPr>
              <w:jc w:val="right"/>
              <w:ind w:right="90"/>
              <w:spacing w:after="0"/>
              <w:rPr>
                <w:sz w:val="20"/>
                <w:szCs w:val="20"/>
                <w:color w:val="auto"/>
              </w:rPr>
            </w:pPr>
            <w:r>
              <w:rPr>
                <w:rFonts w:ascii="Arial" w:cs="Arial" w:eastAsia="Arial" w:hAnsi="Arial"/>
                <w:sz w:val="18"/>
                <w:szCs w:val="18"/>
                <w:color w:val="auto"/>
                <w:w w:val="97"/>
              </w:rPr>
              <w:t>*†101.LAB</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40" w:type="dxa"/>
            <w:vAlign w:val="bottom"/>
          </w:tcPr>
          <w:p>
            <w:pPr>
              <w:jc w:val="right"/>
              <w:ind w:right="90"/>
              <w:spacing w:after="0"/>
              <w:rPr>
                <w:sz w:val="20"/>
                <w:szCs w:val="20"/>
                <w:color w:val="auto"/>
              </w:rPr>
            </w:pPr>
            <w:r>
              <w:rPr>
                <w:rFonts w:ascii="Arial" w:cs="Arial" w:eastAsia="Arial" w:hAnsi="Arial"/>
                <w:sz w:val="18"/>
                <w:szCs w:val="18"/>
                <w:color w:val="auto"/>
                <w:w w:val="94"/>
              </w:rPr>
              <w:t>*†101.PRE</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500" w:hanging="492"/>
        <w:spacing w:after="0" w:line="257"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March 31, 2015 filed on May 1, 2015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00"/>
              <w:spacing w:after="0"/>
              <w:rPr>
                <w:sz w:val="20"/>
                <w:szCs w:val="20"/>
                <w:color w:val="auto"/>
              </w:rPr>
            </w:pPr>
            <w:r>
              <w:rPr>
                <w:rFonts w:ascii="Arial" w:cs="Arial" w:eastAsia="Arial" w:hAnsi="Arial"/>
                <w:sz w:val="18"/>
                <w:szCs w:val="18"/>
                <w:color w:val="auto"/>
              </w:rPr>
              <w:t>May 1, 2015</w:t>
            </w:r>
          </w:p>
        </w:tc>
        <w:tc>
          <w:tcPr>
            <w:tcW w:w="26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4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00"/>
              <w:spacing w:after="0"/>
              <w:rPr>
                <w:sz w:val="20"/>
                <w:szCs w:val="20"/>
                <w:color w:val="auto"/>
              </w:rPr>
            </w:pPr>
            <w:r>
              <w:rPr>
                <w:rFonts w:ascii="Arial" w:cs="Arial" w:eastAsia="Arial" w:hAnsi="Arial"/>
                <w:sz w:val="18"/>
                <w:szCs w:val="18"/>
                <w:color w:val="auto"/>
              </w:rPr>
              <w:t>May 1, 2015</w:t>
            </w:r>
          </w:p>
        </w:tc>
        <w:tc>
          <w:tcPr>
            <w:tcW w:w="26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Glenn G. Coleman</w:t>
            </w:r>
          </w:p>
        </w:tc>
      </w:tr>
      <w:tr>
        <w:trPr>
          <w:trHeight w:val="27"/>
        </w:trPr>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Glenn G. Coleman</w:t>
            </w:r>
          </w:p>
        </w:tc>
      </w:tr>
      <w:tr>
        <w:trPr>
          <w:trHeight w:val="270"/>
        </w:trPr>
        <w:tc>
          <w:tcPr>
            <w:tcW w:w="4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702"/>
        </w:trPr>
        <w:tc>
          <w:tcPr>
            <w:tcW w:w="4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36</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00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0000" w:type="dxa"/>
            <w:vAlign w:val="bottom"/>
          </w:tcPr>
          <w:p>
            <w:pPr>
              <w:spacing w:after="0"/>
              <w:rPr>
                <w:sz w:val="17"/>
                <w:szCs w:val="17"/>
                <w:color w:val="auto"/>
              </w:rPr>
            </w:pPr>
          </w:p>
        </w:tc>
      </w:tr>
      <w:tr>
        <w:trPr>
          <w:trHeight w:val="291"/>
        </w:trPr>
        <w:tc>
          <w:tcPr>
            <w:tcW w:w="2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Form of Stock Option Agreement (Executive Officers)</w:t>
            </w:r>
          </w:p>
        </w:tc>
      </w:tr>
      <w:tr>
        <w:trPr>
          <w:trHeight w:val="756"/>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Form of Stock Option Agreement for Glenn Coleman</w:t>
            </w:r>
          </w:p>
        </w:tc>
      </w:tr>
      <w:tr>
        <w:trPr>
          <w:trHeight w:val="756"/>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Agreement and General Release by and between Robert Paltridge and Integra LifeSciences Corporation</w:t>
            </w:r>
          </w:p>
        </w:tc>
      </w:tr>
      <w:tr>
        <w:trPr>
          <w:trHeight w:val="526"/>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c>
          <w:tcPr>
            <w:tcW w:w="10000" w:type="dxa"/>
            <w:vAlign w:val="bottom"/>
          </w:tcPr>
          <w:p>
            <w:pPr>
              <w:ind w:left="140"/>
              <w:spacing w:after="0"/>
              <w:rPr>
                <w:sz w:val="20"/>
                <w:szCs w:val="20"/>
                <w:color w:val="auto"/>
              </w:rPr>
            </w:pPr>
            <w:r>
              <w:rPr>
                <w:rFonts w:ascii="Arial" w:cs="Arial" w:eastAsia="Arial" w:hAnsi="Arial"/>
                <w:sz w:val="18"/>
                <w:szCs w:val="18"/>
                <w:color w:val="auto"/>
                <w:w w:val="91"/>
              </w:rPr>
              <w:t>Form of Change in Control Severance Agreement (Incorporated by reference to Exhibit 10.1 to the Company's Current Report on Form</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8-K filed on January 30, 2015)</w:t>
            </w:r>
          </w:p>
        </w:tc>
      </w:tr>
      <w:tr>
        <w:trPr>
          <w:trHeight w:val="756"/>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26"/>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99.1</w:t>
            </w:r>
          </w:p>
        </w:tc>
        <w:tc>
          <w:tcPr>
            <w:tcW w:w="10000" w:type="dxa"/>
            <w:vAlign w:val="bottom"/>
          </w:tcPr>
          <w:p>
            <w:pPr>
              <w:ind w:left="140"/>
              <w:spacing w:after="0"/>
              <w:rPr>
                <w:sz w:val="20"/>
                <w:szCs w:val="20"/>
                <w:color w:val="auto"/>
              </w:rPr>
            </w:pPr>
            <w:r>
              <w:rPr>
                <w:rFonts w:ascii="Arial" w:cs="Arial" w:eastAsia="Arial" w:hAnsi="Arial"/>
                <w:sz w:val="18"/>
                <w:szCs w:val="18"/>
                <w:color w:val="auto"/>
                <w:w w:val="91"/>
              </w:rPr>
              <w:t>Letter, dated January 14, 2015, from the United States Food and Drug Administration to Integra LifeSciences Corporation (Incorporated</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by reference to Exhibit 99.1 to the Company’s Current Report on Form 8-K filed on January 20, 2015)</w:t>
            </w:r>
          </w:p>
        </w:tc>
      </w:tr>
      <w:tr>
        <w:trPr>
          <w:trHeight w:val="756"/>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*†101.INS</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*†101.SCH</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6"/>
              </w:rPr>
              <w:t>*†101.CAL</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*†101.DEF</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*†101.LAB</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*†101.PRE</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500" w:hanging="492"/>
        <w:spacing w:after="0" w:line="257"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March 31, 2015 filed on May 1, 2015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NON-QUALIFIED STOCK OPTION AGREEMENT </w:t>
      </w:r>
      <w:r>
        <w:rPr>
          <w:rFonts w:ascii="Arial" w:cs="Arial" w:eastAsia="Arial" w:hAnsi="Arial"/>
          <w:sz w:val="18"/>
          <w:szCs w:val="18"/>
          <w:color w:val="auto"/>
        </w:rPr>
        <w:t>(together with the attached Notice of Grant of Stock Options and 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Grant”), the “Option Agreement”) made as of the date (the “Grant Date”) set forth in Notice of Grant, between Integra LifeSciences Holdings Corporation, a Delaware corporation (the “Company”), and the named Key Employee of the Company, a Related Corporation, or an affiliate (the “Employee”).</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afford the Employee an opportunity to purchase shares of common stock of the Company, par value $.01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(“Common Stock”), as hereinafter provided, in accordance with the provisions of the Integra LifeSciences Holdings Corporation Second Amended and Restated 2003 Equity Incentive Plan, as amended (the “Plan”). Requests for hardcopies of the “Plan” should be directed to Mythili Seshan at the New Jersey Corporate Office.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and for other good and valuable consideration the legal</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parties hereto, intending to be legally bound hereby, agree as follows: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Capitalized terms not otherwise defined below shall have the meaning set forth in the Plan. The masculine pronoun shall include the feminine and neuter, and the singular the plural, where the context so indicates.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u w:val="single" w:color="auto"/>
          <w:color w:val="auto"/>
        </w:rPr>
        <w:t>Grant of Option</w:t>
      </w:r>
      <w:r>
        <w:rPr>
          <w:rFonts w:ascii="Arial" w:cs="Arial" w:eastAsia="Arial" w:hAnsi="Arial"/>
          <w:sz w:val="17"/>
          <w:szCs w:val="17"/>
          <w:color w:val="auto"/>
        </w:rPr>
        <w:t>. Effective ___________, ____ the Company hereby grants to the Employee a non-qualified stock option (the “Option”) to</w:t>
      </w:r>
    </w:p>
    <w:p>
      <w:pPr>
        <w:spacing w:after="0" w:line="3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purchase all or any part of an aggregate of the number of shares of Common Stock as set forth in the attached Notice of Grant, subject to adjustment in accordance with Section 8 of the Plan.</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purchase price per share of the shares of Common Stock covered by the Option shall be that set forth in the attached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subject to adjustment in accordance with Section 8 of the Plan. It is the determination of the Company’s Compensation Committee (the “Committee”) that on the Grant Date the per share Option exercise price was not less than the greater of one hundred percent (100%) of the fair market value of the Common Stock, or the par value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Unless earlier terminated pursuant to any provision of this Option Agreement, this Option shall expire on ___________, ____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Notwithstanding anything herein to the contrary, this Option shall not be exercisable after the Expiration Date.</w:t>
      </w:r>
    </w:p>
    <w:p>
      <w:pPr>
        <w:spacing w:after="0" w:line="207"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Twenty Five percent (25%) of the shares of Stock Options shall become vested each of the first and second, third and fourth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anniversaries of the grant date. Any portion of the Option that becomes exercisable in accordance with the foregoing shall remain exercisable, subject to the provisions contained in this Option Agreement, until the expiration of the term of this Option as set forth above or until other termination of the Option as set forth in this Option Agreement.</w:t>
      </w:r>
    </w:p>
    <w:p>
      <w:pPr>
        <w:spacing w:after="0" w:line="18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Notwithstanding anything contained herein, no portion of the Option which has not become vested and exercisable as of the Employee’s termination of employment or in connection with Employee’s termination of employment shall thereafter become vested or exercisable.</w:t>
      </w:r>
    </w:p>
    <w:p>
      <w:pPr>
        <w:spacing w:after="0" w:line="14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u w:val="single" w:color="auto"/>
          <w:color w:val="auto"/>
        </w:rPr>
        <w:t>Method of Exercising Option</w:t>
      </w:r>
      <w:r>
        <w:rPr>
          <w:rFonts w:ascii="Arial" w:cs="Arial" w:eastAsia="Arial" w:hAnsi="Arial"/>
          <w:sz w:val="18"/>
          <w:szCs w:val="18"/>
          <w:color w:val="auto"/>
        </w:rPr>
        <w:t>. Subject to the terms and conditions of this Option Agreement, the Option may be exercised in whole or in part by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Company, at its principal office, which currently is located at 311 Enterprise Drive, Plainsboro, New Jersey 08536.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below; and shall be accompanied by payment of the full Option price of such shares.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Option price shall be paid to the Company: (i) in cash; (ii) in cash equivalent; (iii) in Common Stock of the Company, in accordance with Section 7.1(f)(ii) of the Plan (as in effect on the date of this Option Agreement); (iv) by delivering a properly executed notice of exercise of the Option, in accordance with Section 7.1(f)(iii) of the Plan (as in effect on the date of this Option Agreement); (v) in Common Stock of the Company issuable pursuant to the exercise of the Option or otherwise withheld in net settlement of the Option, in accordance with Section 7.1(f)(iv) of the Plan (as in effect on the date of this Option Agreement); or (vi) by any combination of (i)-(v).</w:t>
      </w:r>
    </w:p>
    <w:p>
      <w:pPr>
        <w:sectPr>
          <w:pgSz w:w="11900" w:h="16838" w:orient="portrait"/>
          <w:cols w:equalWidth="0" w:num="1">
            <w:col w:w="11420"/>
          </w:cols>
          <w:pgMar w:left="240" w:top="584" w:right="239" w:bottom="1440" w:gutter="0" w:footer="0" w:header="0"/>
        </w:sectPr>
      </w:pPr>
    </w:p>
    <w:bookmarkStart w:id="38" w:name="page39"/>
    <w:bookmarkEnd w:id="38"/>
    <w:p>
      <w:pPr>
        <w:ind w:right="140" w:firstLine="648"/>
        <w:spacing w:after="0" w:line="291" w:lineRule="auto"/>
        <w:rPr>
          <w:sz w:val="20"/>
          <w:szCs w:val="20"/>
          <w:color w:val="auto"/>
        </w:rPr>
      </w:pPr>
      <w:r>
        <w:rPr>
          <w:rFonts w:ascii="Arial" w:cs="Arial" w:eastAsia="Arial" w:hAnsi="Arial"/>
          <w:sz w:val="16"/>
          <w:szCs w:val="16"/>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spacing w:after="0" w:line="16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b w:val="1"/>
          <w:bCs w:val="1"/>
          <w:u w:val="single" w:color="auto"/>
          <w:color w:val="auto"/>
        </w:rPr>
        <w:t>Shares to be Purchased for Investment</w:t>
      </w:r>
      <w:r>
        <w:rPr>
          <w:rFonts w:ascii="Arial" w:cs="Arial" w:eastAsia="Arial" w:hAnsi="Arial"/>
          <w:sz w:val="18"/>
          <w:szCs w:val="18"/>
          <w:color w:val="auto"/>
        </w:rPr>
        <w:t>. Unless the Company has theretofore notified the Employee that a registration statement covering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w:t>
      </w:r>
    </w:p>
    <w:p>
      <w:pPr>
        <w:spacing w:after="0" w:line="18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This Option is not assignable or transferable, in whole or in part, by the Employee other than by will or by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descent and distribution, and during the lifetime of the Employee the Option shall be exercisable only by the Employee or by his or her guardian or legal representative.</w:t>
      </w:r>
    </w:p>
    <w:p>
      <w:pPr>
        <w:spacing w:after="0" w:line="17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If the Employee’s employment with the Company and all Related Corporations is terminated prior to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for any reason other than by (i) death or disability or (ii) a Qualifying Termination upon a Change in Control as further described below, this Option may be exercised, to the extent of the number of shares with respect to which the Employee could have exercised it on the date of such termination of employment, or to any greater extent permitted by the Committee, by the Employee at any time prior to the earlier of (i) the Expiration Date or (ii) six (6) months after such termination of employment</w:t>
      </w:r>
      <w:r>
        <w:rPr>
          <w:rFonts w:ascii="Arial" w:cs="Arial" w:eastAsia="Arial" w:hAnsi="Arial"/>
          <w:sz w:val="18"/>
          <w:szCs w:val="18"/>
          <w:b w:val="1"/>
          <w:bCs w:val="1"/>
          <w:color w:val="auto"/>
        </w:rPr>
        <w:t>.</w:t>
      </w:r>
    </w:p>
    <w:p>
      <w:pPr>
        <w:spacing w:after="0" w:line="184" w:lineRule="exact"/>
        <w:rPr>
          <w:sz w:val="20"/>
          <w:szCs w:val="20"/>
          <w:color w:val="auto"/>
        </w:rPr>
      </w:pPr>
    </w:p>
    <w:p>
      <w:pPr>
        <w:ind w:right="120" w:firstLine="648"/>
        <w:spacing w:after="0" w:line="303" w:lineRule="auto"/>
        <w:rPr>
          <w:sz w:val="20"/>
          <w:szCs w:val="20"/>
          <w:color w:val="auto"/>
        </w:rPr>
      </w:pPr>
      <w:r>
        <w:rPr>
          <w:rFonts w:ascii="Arial" w:cs="Arial" w:eastAsia="Arial" w:hAnsi="Arial"/>
          <w:sz w:val="16"/>
          <w:szCs w:val="16"/>
          <w:b w:val="1"/>
          <w:bCs w:val="1"/>
          <w:u w:val="single" w:color="auto"/>
          <w:color w:val="auto"/>
        </w:rPr>
        <w:t>Death</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this Option Agreement to the contrary, if the Employee dies during his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Related Corporations and prior to the Expiration Date, the Option shall become fully vested and exercisable and such Option upon such death can be exercised by the Employee’s estate, personal representative or beneficiary who acquired the right to exercise such Option by bequest or inheritance or by reason of the Employee’s death, at any time prior to the earlier of (i) the Expiration Date or (ii) one year after the date of the Employee’s death.</w:t>
      </w:r>
    </w:p>
    <w:p>
      <w:pPr>
        <w:spacing w:after="0" w:line="15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u w:val="single" w:color="auto"/>
          <w:color w:val="auto"/>
        </w:rPr>
        <w:t>Disability</w:t>
      </w:r>
      <w:r>
        <w:rPr>
          <w:rFonts w:ascii="Arial" w:cs="Arial" w:eastAsia="Arial" w:hAnsi="Arial"/>
          <w:sz w:val="17"/>
          <w:szCs w:val="17"/>
          <w:color w:val="auto"/>
        </w:rPr>
        <w:t>. Notwithstanding anything contained in this Option Agreement to the contrary, if the Employee incurs a disability, as defined in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his employment with the Company and Related Corporations and, prior to the Expiration Date, the Employee’s employment is terminated as a consequence of such disability, this Option shall become fully vested and exercisable and such Option upon such termination due to such Disability can be exercised by the Employee, or in the event of the Employee’s legal disability, by the Employee’s legal representative, at any time prior to the earlier of (i) the Expiration Date or (ii) one year after the date of such termination of employment due to such Disability.</w:t>
      </w:r>
    </w:p>
    <w:p>
      <w:pPr>
        <w:spacing w:after="0" w:line="168"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Double Trigger Change in Control</w:t>
      </w:r>
      <w:r>
        <w:rPr>
          <w:rFonts w:ascii="Arial" w:cs="Arial" w:eastAsia="Arial" w:hAnsi="Arial"/>
          <w:sz w:val="17"/>
          <w:szCs w:val="17"/>
          <w:color w:val="auto"/>
        </w:rPr>
        <w:t>. Notwithstanding anything contained in this Option Agreement to the contrary, if during the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and Related Corporations and prior to the Expiration Date, a Change in Control occurs and the Employee incurs a Qualifying Termination on or within twelve (12) months following the date of such Change in Control, this Option shall become fully vested and exercisable and such Option upon such Qualifying Termination can be exercised by the Employee at any time prior to the Expiration Date.</w:t>
      </w:r>
    </w:p>
    <w:p>
      <w:pPr>
        <w:spacing w:after="0" w:line="165" w:lineRule="exact"/>
        <w:rPr>
          <w:sz w:val="20"/>
          <w:szCs w:val="20"/>
          <w:color w:val="auto"/>
        </w:rPr>
      </w:pPr>
    </w:p>
    <w:p>
      <w:pPr>
        <w:ind w:right="140" w:firstLine="648"/>
        <w:spacing w:after="0" w:line="303" w:lineRule="auto"/>
        <w:rPr>
          <w:sz w:val="20"/>
          <w:szCs w:val="20"/>
          <w:color w:val="auto"/>
        </w:rPr>
      </w:pPr>
      <w:r>
        <w:rPr>
          <w:rFonts w:ascii="Arial" w:cs="Arial" w:eastAsia="Arial" w:hAnsi="Arial"/>
          <w:sz w:val="16"/>
          <w:szCs w:val="16"/>
          <w:b w:val="1"/>
          <w:bCs w:val="1"/>
          <w:u w:val="single" w:color="auto"/>
          <w:color w:val="auto"/>
        </w:rPr>
        <w:t>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Plan or the Option Agreement to the contrary, the Option shall be subject to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Option under the Plan.</w:t>
      </w:r>
    </w:p>
    <w:p>
      <w:pPr>
        <w:spacing w:after="0" w:line="15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color w:val="auto"/>
        </w:rPr>
        <w:t>. The obligation of the Company to deliver shares of Common Stock upon the exercise of the Option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federal, state and local tax withholding requirements. If the exercise of any Option is subject to the withholding requirements of applicable federal, state or local tax laws, the Committee, in its discretion, may</w:t>
      </w:r>
    </w:p>
    <w:p>
      <w:pPr>
        <w:sectPr>
          <w:pgSz w:w="11900" w:h="16838" w:orient="portrait"/>
          <w:cols w:equalWidth="0" w:num="1">
            <w:col w:w="11420"/>
          </w:cols>
          <w:pgMar w:left="240" w:top="584" w:right="239" w:bottom="1440" w:gutter="0" w:footer="0" w:header="0"/>
        </w:sectPr>
      </w:pPr>
    </w:p>
    <w:bookmarkStart w:id="39" w:name="page40"/>
    <w:bookmarkEnd w:id="39"/>
    <w:p>
      <w:pPr>
        <w:spacing w:after="0" w:line="255" w:lineRule="auto"/>
        <w:rPr>
          <w:sz w:val="20"/>
          <w:szCs w:val="20"/>
          <w:color w:val="auto"/>
        </w:rPr>
      </w:pPr>
      <w:r>
        <w:rPr>
          <w:rFonts w:ascii="Arial" w:cs="Arial" w:eastAsia="Arial" w:hAnsi="Arial"/>
          <w:sz w:val="18"/>
          <w:szCs w:val="18"/>
          <w:color w:val="auto"/>
        </w:rPr>
        <w:t>permit the Employee, subject to the provisions of the Plan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spacing w:after="0" w:line="189"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Except as would be in conflict with any specific provision herein, this Option Agreement is made under and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Plan as in effect on the Grant Date and, except as would conflict with the provisions of this Option Agreement, all of the provisions of the Plan as in effect on the Grant Date are hereby incorporated herein as provisions of this Option Agreement. Notwithstanding the foregoing, provisions of this Option Agreement that conflict with the Plan will be given effect only to the extent they do not exceed the Committee’s discretion under the Plan.</w:t>
      </w:r>
    </w:p>
    <w:p>
      <w:pPr>
        <w:spacing w:after="0" w:line="151"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Non-Qualified Stock Option Agreement shall be governed by applicable federal law and otherwise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Option Agreement has been executed and delivered by the parties hereto.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Peter J. Arduini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EMPLOYEE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ectPr>
          <w:pgSz w:w="11900" w:h="16838" w:orient="portrait"/>
          <w:cols w:equalWidth="0" w:num="1">
            <w:col w:w="11420"/>
          </w:cols>
          <w:pgMar w:left="240" w:top="58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10.2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NON-QUALIFIED STOCK OPTION AGREEMENT </w:t>
      </w:r>
      <w:r>
        <w:rPr>
          <w:rFonts w:ascii="Arial" w:cs="Arial" w:eastAsia="Arial" w:hAnsi="Arial"/>
          <w:sz w:val="18"/>
          <w:szCs w:val="18"/>
          <w:color w:val="auto"/>
        </w:rPr>
        <w:t>(together with the attached Notice of Grant of Stock Options and 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Grant”), the “Option Agreement”) made as of the date (the “Grant Date”) set forth in Notice of Grant, between Integra LifeSciences Holdings Corporation, a Delaware corporation (the “Company”), and Glenn G. Coleman (the “Employee”).</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afford the Employee an opportunity to purchase shares of common stock of the Company, par value $.01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(“Common Stock”), as hereinafter provided, in accordance with the provisions of the Integra LifeSciences Holdings Corporation Second Amended and Restated 2003 Equity Incentive Plan, as amended (the “Plan”). Requests for hardcopies of the “Plan” should be directed to Mythili Seshan at the New Jersey Corporate Office.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and for other good and valuable consideration the legal</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parties hereto, intending to be legally bound hereby, agree as follows: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Capitalized terms not otherwise defined below shall have the meaning set forth in the Plan. The masculine pronoun shall include the feminine and neuter, and the singular the plural, where the context so indicates.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u w:val="single" w:color="auto"/>
          <w:color w:val="auto"/>
        </w:rPr>
        <w:t>Grant of Option</w:t>
      </w:r>
      <w:r>
        <w:rPr>
          <w:rFonts w:ascii="Arial" w:cs="Arial" w:eastAsia="Arial" w:hAnsi="Arial"/>
          <w:sz w:val="17"/>
          <w:szCs w:val="17"/>
          <w:color w:val="auto"/>
        </w:rPr>
        <w:t>. Effective ___________, ____, the Company hereby grants to the Employee a non-qualified stock option (the “Option”) to</w:t>
      </w:r>
    </w:p>
    <w:p>
      <w:pPr>
        <w:spacing w:after="0" w:line="3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purchase all or any part of an aggregate of the number of shares of Common Stock as set forth in the attached Notice of Grant, subject to adjustment in accordance with Section 8 of the Plan.</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purchase price per share of the shares of Common Stock covered by the Option shall be that set forth in the attached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subject to adjustment in accordance with Section 8 of the Plan. It is the determination of the Company’s Compensation Committee (the “Committee”) that on the Grant Date the per share Option exercise price was not less than the greater of one hundred percent (100%) of the fair market value of the Common Stock, or the par value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Unless earlier terminated pursuant to any provision of this Option Agreement, this Option shall expire on ___________, ____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Notwithstanding anything herein to the contrary, this Option shall not be exercisable after the Expiration Date.</w:t>
      </w:r>
    </w:p>
    <w:p>
      <w:pPr>
        <w:spacing w:after="0" w:line="207"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Thirty-three percent (33%) of the shares of Stock Options shall become vested each of the first and second anniversaries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date, and thirty-four percent (34%) of the shares of Stock Options shall become vested on the third anniversary of the grant date.</w:t>
      </w:r>
    </w:p>
    <w:p>
      <w:pPr>
        <w:spacing w:after="0" w:line="12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Any portion of the Option that becomes exercisable in accordance with the foregoing shall remain exercisable, subject to the provisions contained in this Option Agreement, until the expiration of the term of this Option as set forth above or until other termination of the Option as set forth in this Option Agreement.</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Notwithstanding anything contained herein, no portion of the Option which has not become vested and exercisable as of the Employee’s termination of employment or in connection with Employee’s termination of employment shall thereafter become vested or exercisable.</w:t>
      </w:r>
    </w:p>
    <w:p>
      <w:pPr>
        <w:spacing w:after="0" w:line="14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u w:val="single" w:color="auto"/>
          <w:color w:val="auto"/>
        </w:rPr>
        <w:t>Method of Exercising Option</w:t>
      </w:r>
      <w:r>
        <w:rPr>
          <w:rFonts w:ascii="Arial" w:cs="Arial" w:eastAsia="Arial" w:hAnsi="Arial"/>
          <w:sz w:val="18"/>
          <w:szCs w:val="18"/>
          <w:color w:val="auto"/>
        </w:rPr>
        <w:t>. Subject to the terms and conditions of this Option Agreement, the Option may be exercised in whole or in part by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Company, at its principal office, which currently is located at 311 Enterprise Drive, Plainsboro, New Jersey 08536.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below; and shall be accompanied by payment of the full Option price of such shares.</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Option price shall be paid to the Company: (i) in cash; (ii) in cash equivalent; (iii) in Common Stock of the Company, in accordance with Section 7.1(f)(ii) of the Plan (as in effect on the date of this Option Agreement); (iv) by delivering a properly executed notice of exercise of the Option, in accordance with Section 7.1(f)(iii) of the Plan (as in effect on the date of this Option Agreement); (v) in Common Stock of the Company issuable pursuant to the exercise of the Option or</w:t>
      </w:r>
    </w:p>
    <w:p>
      <w:pPr>
        <w:sectPr>
          <w:pgSz w:w="11900" w:h="16838" w:orient="portrait"/>
          <w:cols w:equalWidth="0" w:num="1">
            <w:col w:w="11420"/>
          </w:cols>
          <w:pgMar w:left="240" w:top="584" w:right="2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otherwise withheld in net settlement of the Option, in accordance with Section 7.1(f)(iv) of the Plan (as in effect on the date of this Option Agreement); or (vi) by any combination of (i)-(v).</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spacing w:after="0" w:line="16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b w:val="1"/>
          <w:bCs w:val="1"/>
          <w:u w:val="single" w:color="auto"/>
          <w:color w:val="auto"/>
        </w:rPr>
        <w:t>Shares to be Purchased for Investment</w:t>
      </w:r>
      <w:r>
        <w:rPr>
          <w:rFonts w:ascii="Arial" w:cs="Arial" w:eastAsia="Arial" w:hAnsi="Arial"/>
          <w:sz w:val="18"/>
          <w:szCs w:val="18"/>
          <w:color w:val="auto"/>
        </w:rPr>
        <w:t>. Unless the Company has theretofore notified the Employee that a registration statement covering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w:t>
      </w:r>
    </w:p>
    <w:p>
      <w:pPr>
        <w:spacing w:after="0" w:line="18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This Option is not assignable or transferable, in whole or in part, by the Employee other than by will or by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descent and distribution, and during the lifetime of the Employee the Option shall be exercisable only by the Employee or by his or her guardian or legal representative.</w:t>
      </w:r>
    </w:p>
    <w:p>
      <w:pPr>
        <w:spacing w:after="0" w:line="17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If the Employee’s employment with the Company and all Related Corporations is terminated prior to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for any reason other than by (i) death or disability or (ii) a Qualifying Termination upon a Change in Control as further described below, this Option may be exercised, to the extent of the number of shares with respect to which the Employee could have exercised it on the date of such termination of employment, or to any greater extent permitted by the Committee, by the Employee at any time prior to the earlier of (i) the Expiration Date or (ii) six (6) months after such termination of employment</w:t>
      </w:r>
      <w:r>
        <w:rPr>
          <w:rFonts w:ascii="Arial" w:cs="Arial" w:eastAsia="Arial" w:hAnsi="Arial"/>
          <w:sz w:val="18"/>
          <w:szCs w:val="18"/>
          <w:b w:val="1"/>
          <w:bCs w:val="1"/>
          <w:color w:val="auto"/>
        </w:rPr>
        <w:t>.</w:t>
      </w:r>
    </w:p>
    <w:p>
      <w:pPr>
        <w:spacing w:after="0" w:line="184" w:lineRule="exact"/>
        <w:rPr>
          <w:sz w:val="20"/>
          <w:szCs w:val="20"/>
          <w:color w:val="auto"/>
        </w:rPr>
      </w:pPr>
    </w:p>
    <w:p>
      <w:pPr>
        <w:ind w:right="120" w:firstLine="648"/>
        <w:spacing w:after="0" w:line="303" w:lineRule="auto"/>
        <w:rPr>
          <w:sz w:val="20"/>
          <w:szCs w:val="20"/>
          <w:color w:val="auto"/>
        </w:rPr>
      </w:pPr>
      <w:r>
        <w:rPr>
          <w:rFonts w:ascii="Arial" w:cs="Arial" w:eastAsia="Arial" w:hAnsi="Arial"/>
          <w:sz w:val="16"/>
          <w:szCs w:val="16"/>
          <w:b w:val="1"/>
          <w:bCs w:val="1"/>
          <w:u w:val="single" w:color="auto"/>
          <w:color w:val="auto"/>
        </w:rPr>
        <w:t>Death</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this Option Agreement to the contrary, if the Employee dies during his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Related Corporations and prior to the Expiration Date, the Option shall become fully vested and exercisable and such Option upon such death can be exercised by the Employee’s estate, personal representative or beneficiary who acquired the right to exercise such Option by bequest or inheritance or by reason of the Employee’s death, at any time prior to the earlier of (i) the Expiration Date or (ii) one year after the date of the Employee’s death.</w:t>
      </w:r>
    </w:p>
    <w:p>
      <w:pPr>
        <w:spacing w:after="0" w:line="15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u w:val="single" w:color="auto"/>
          <w:color w:val="auto"/>
        </w:rPr>
        <w:t>Disability</w:t>
      </w:r>
      <w:r>
        <w:rPr>
          <w:rFonts w:ascii="Arial" w:cs="Arial" w:eastAsia="Arial" w:hAnsi="Arial"/>
          <w:sz w:val="17"/>
          <w:szCs w:val="17"/>
          <w:color w:val="auto"/>
        </w:rPr>
        <w:t>. Notwithstanding anything contained in this Option Agreement to the contrary, if the Employee incurs a disability, as defined in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his employment with the Company and Related Corporations and, prior to the Expiration Date, the Employee’s employment is terminated as a consequence of such disability, this Option shall become fully vested and exercisable and such Option upon such termination due to such Disability can be exercised by the Employee, or in the event of the Employee’s legal disability, by the Employee’s legal representative, at any time prior to the earlier of (i) the Expiration Date or (ii) one year after the date of such termination of employment due to such Disability.</w:t>
      </w:r>
    </w:p>
    <w:p>
      <w:pPr>
        <w:spacing w:after="0" w:line="168"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Double Trigger Change in Control</w:t>
      </w:r>
      <w:r>
        <w:rPr>
          <w:rFonts w:ascii="Arial" w:cs="Arial" w:eastAsia="Arial" w:hAnsi="Arial"/>
          <w:sz w:val="17"/>
          <w:szCs w:val="17"/>
          <w:color w:val="auto"/>
        </w:rPr>
        <w:t>. Notwithstanding anything contained in this Option Agreement to the contrary, if during the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and Related Corporations and prior to the Expiration Date, a Change in Control occurs and the Employee incurs a Qualifying Termination on or within twelve (12) months following the date of such Change in Control, this Option shall become fully vested and exercisable and such Option upon such Qualifying Termination can be exercised by the Employee at any time prior to the Expiration Date.</w:t>
      </w:r>
    </w:p>
    <w:p>
      <w:pPr>
        <w:spacing w:after="0" w:line="165" w:lineRule="exact"/>
        <w:rPr>
          <w:sz w:val="20"/>
          <w:szCs w:val="20"/>
          <w:color w:val="auto"/>
        </w:rPr>
      </w:pPr>
    </w:p>
    <w:p>
      <w:pPr>
        <w:ind w:right="140" w:firstLine="648"/>
        <w:spacing w:after="0" w:line="303" w:lineRule="auto"/>
        <w:rPr>
          <w:sz w:val="20"/>
          <w:szCs w:val="20"/>
          <w:color w:val="auto"/>
        </w:rPr>
      </w:pPr>
      <w:r>
        <w:rPr>
          <w:rFonts w:ascii="Arial" w:cs="Arial" w:eastAsia="Arial" w:hAnsi="Arial"/>
          <w:sz w:val="16"/>
          <w:szCs w:val="16"/>
          <w:b w:val="1"/>
          <w:bCs w:val="1"/>
          <w:u w:val="single" w:color="auto"/>
          <w:color w:val="auto"/>
        </w:rPr>
        <w:t>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Plan or the Option Agreement to the contrary, the Option shall be subject to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Option under the Plan.</w:t>
      </w:r>
    </w:p>
    <w:p>
      <w:pPr>
        <w:sectPr>
          <w:pgSz w:w="11900" w:h="16838" w:orient="portrait"/>
          <w:cols w:equalWidth="0" w:num="1">
            <w:col w:w="11420"/>
          </w:cols>
          <w:pgMar w:left="240" w:top="584" w:right="239" w:bottom="1440" w:gutter="0" w:footer="0" w:header="0"/>
        </w:sectPr>
      </w:pPr>
    </w:p>
    <w:bookmarkStart w:id="42" w:name="page43"/>
    <w:bookmarkEnd w:id="42"/>
    <w:p>
      <w:pPr>
        <w:ind w:firstLine="648"/>
        <w:spacing w:after="0" w:line="272" w:lineRule="auto"/>
        <w:rPr>
          <w:sz w:val="20"/>
          <w:szCs w:val="20"/>
          <w:color w:val="auto"/>
        </w:rPr>
      </w:pPr>
      <w:r>
        <w:rPr>
          <w:rFonts w:ascii="Arial" w:cs="Arial" w:eastAsia="Arial" w:hAnsi="Arial"/>
          <w:sz w:val="17"/>
          <w:szCs w:val="17"/>
          <w:b w:val="1"/>
          <w:bCs w:val="1"/>
          <w:u w:val="single" w:color="auto"/>
          <w:color w:val="auto"/>
        </w:rPr>
        <w:t>Withholding of Taxes</w:t>
      </w:r>
      <w:r>
        <w:rPr>
          <w:rFonts w:ascii="Arial" w:cs="Arial" w:eastAsia="Arial" w:hAnsi="Arial"/>
          <w:sz w:val="17"/>
          <w:szCs w:val="17"/>
          <w:color w:val="auto"/>
        </w:rPr>
        <w:t>. The obligation of the Company to deliver shares of Common Stock upon the exercise of the Option shall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federal, state and local tax withholding requirements. If the exercise of any Option is subject to the withholding requirements of applicable federal, state or local tax laws, the Committee, in its discretion, may permit the Employee, subject to the provisions of the Plan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spacing w:after="0" w:line="172"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Except as would be in conflict with any specific provision herein, this Option Agreement is made under and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Plan as in effect on the Grant Date and, except as would conflict with the provisions of this Option Agreement, all of the provisions of the Plan as in effect on the Grant Date are hereby incorporated herein as provisions of this Option Agreement. Notwithstanding the foregoing, provisions of this Option Agreement that conflict with the Plan will be given effect only to the extent they do not exceed the Committee’s discretion under the Plan.</w:t>
      </w:r>
    </w:p>
    <w:p>
      <w:pPr>
        <w:spacing w:after="0" w:line="151"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Non-Qualified Stock Option Agreement shall be governed by applicable federal law and otherwise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Option Agreement has been executed and delivered by the parties hereto.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Peter J. Arduini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EMPLOYEE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Glenn Coleman</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10.3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 AND GENERAL RELEASE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This Agreement and General Release is made and entered into by and between Robert Paltridge (“</w:t>
      </w:r>
      <w:r>
        <w:rPr>
          <w:rFonts w:ascii="Arial" w:cs="Arial" w:eastAsia="Arial" w:hAnsi="Arial"/>
          <w:sz w:val="18"/>
          <w:szCs w:val="18"/>
          <w:b w:val="1"/>
          <w:bCs w:val="1"/>
          <w:color w:val="auto"/>
        </w:rPr>
        <w:t>Releasor</w:t>
      </w:r>
      <w:r>
        <w:rPr>
          <w:rFonts w:ascii="Arial" w:cs="Arial" w:eastAsia="Arial" w:hAnsi="Arial"/>
          <w:sz w:val="18"/>
          <w:szCs w:val="18"/>
          <w:color w:val="auto"/>
        </w:rPr>
        <w:t>”) and Integra LifeSciences Corporation (“</w:t>
      </w: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has decided to terminate Releasor’s employment relationship by way of Releasor’s termination from employment effective July 7, 2014; 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Releasor and the Company wish to enter into this Agreement and General Release which settles fully and finally any and all differences and matters between them.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HEREBY AGREED by and between Releasor and the Company as follows:</w:t>
      </w:r>
    </w:p>
    <w:p>
      <w:pPr>
        <w:spacing w:after="0" w:line="252" w:lineRule="exact"/>
        <w:rPr>
          <w:sz w:val="20"/>
          <w:szCs w:val="20"/>
          <w:color w:val="auto"/>
        </w:rPr>
      </w:pPr>
    </w:p>
    <w:p>
      <w:pPr>
        <w:jc w:val="both"/>
        <w:ind w:firstLine="656"/>
        <w:spacing w:after="0" w:line="339" w:lineRule="auto"/>
        <w:tabs>
          <w:tab w:leader="none" w:pos="143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Releasor, for and in consideration of the Company’s undertakings set forth herein, and intending to be legally bound, does hereby REMISE, RELEASE, AND FOREVER DISCHARGE the Company and its parent, subsidiary and affiliated entities, its and their respective officers, directors, employees and agents, and its and their predecessors, successors and assigns, heirs, executors and administrators, of and from any and all manner of legally waivable actions and causes of action, suits, debts, claims and demands whatsoever, in law or in equity, which Releasor ever had, now has, or hereafter may have, or which Releasor’s heirs, executors or administrators hereafter may have, by reason of any matter, cause or thing whatsoever, from the beginning of the world to the effective date of this Agreement, and particularly, but without limitation of the foregoing general terms, any claims arising from or relating in any way to Releasor’s employment relationship and the termination of Releasor’s employment relationship with the Company, including any claims which Releasor may have under federal, state or local laws, rules and regulations, including but not limited to, the New Jersey Law Against Discrimination (NJSA 10:5-1 et seq.); New Jersey Conscientious Employee Protection Act (NJSA 34:19-1 et seq.); Title VII of the Civil Rights Act of 1964, 42 U.S.C. §2000e et seq.; the Equal Pay Act of 1963, 29 U.S.C. §206 et seq., the Americans with Disabilities Act, 42 U.S.C. §12101 et seq., the Family and Medical Leave Act (“</w:t>
      </w:r>
      <w:r>
        <w:rPr>
          <w:rFonts w:ascii="Arial" w:cs="Arial" w:eastAsia="Arial" w:hAnsi="Arial"/>
          <w:sz w:val="16"/>
          <w:szCs w:val="16"/>
          <w:b w:val="1"/>
          <w:bCs w:val="1"/>
          <w:color w:val="auto"/>
        </w:rPr>
        <w:t>FMLA</w:t>
      </w:r>
      <w:r>
        <w:rPr>
          <w:rFonts w:ascii="Arial" w:cs="Arial" w:eastAsia="Arial" w:hAnsi="Arial"/>
          <w:sz w:val="16"/>
          <w:szCs w:val="16"/>
          <w:color w:val="auto"/>
        </w:rPr>
        <w:t>”), the Age Discrimination in Employment Act (“</w:t>
      </w:r>
      <w:r>
        <w:rPr>
          <w:rFonts w:ascii="Arial" w:cs="Arial" w:eastAsia="Arial" w:hAnsi="Arial"/>
          <w:sz w:val="16"/>
          <w:szCs w:val="16"/>
          <w:b w:val="1"/>
          <w:bCs w:val="1"/>
          <w:color w:val="auto"/>
        </w:rPr>
        <w:t>ADEA</w:t>
      </w:r>
      <w:r>
        <w:rPr>
          <w:rFonts w:ascii="Arial" w:cs="Arial" w:eastAsia="Arial" w:hAnsi="Arial"/>
          <w:sz w:val="16"/>
          <w:szCs w:val="16"/>
          <w:color w:val="auto"/>
        </w:rPr>
        <w:t>”), 29 U.S.C. §621 et seq., the Employee Retirement Income Security Act of 1974, 29 U.S.C. §1001 et seq., the Fair Labor Standards Act, the New Jersey Wage and Hour Laws, claims under any other federal, state or local anti-discrimination law, whistle-blowing law, family and/or medical leave law and wage and hour law, claims for wages, commissions, bonuses or incentive compensation, any state or federal common law contract or tort claims now existing or hereafter recognized, including but not limited to breach of contract, promissory estoppel, equitable estoppel, misrepresentation or wrongful discharge, and all claims for counsel fees and costs.</w:t>
      </w:r>
    </w:p>
    <w:p>
      <w:pPr>
        <w:spacing w:after="0" w:line="166" w:lineRule="exact"/>
        <w:rPr>
          <w:rFonts w:ascii="Arial" w:cs="Arial" w:eastAsia="Arial" w:hAnsi="Arial"/>
          <w:sz w:val="16"/>
          <w:szCs w:val="16"/>
          <w:color w:val="auto"/>
        </w:rPr>
      </w:pPr>
    </w:p>
    <w:p>
      <w:pPr>
        <w:ind w:left="1440" w:hanging="784"/>
        <w:spacing w:after="0"/>
        <w:tabs>
          <w:tab w:leader="none" w:pos="1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full consideration of Releasor’s signing this Agreement, and Releasor’s agreement to be bound by its terms, the Company will:</w:t>
      </w:r>
    </w:p>
    <w:p>
      <w:pPr>
        <w:spacing w:after="0" w:line="277" w:lineRule="exact"/>
        <w:rPr>
          <w:rFonts w:ascii="Arial" w:cs="Arial" w:eastAsia="Arial" w:hAnsi="Arial"/>
          <w:sz w:val="17"/>
          <w:szCs w:val="17"/>
          <w:color w:val="auto"/>
        </w:rPr>
      </w:pPr>
    </w:p>
    <w:p>
      <w:pPr>
        <w:ind w:firstLine="980"/>
        <w:spacing w:after="0" w:line="357" w:lineRule="auto"/>
        <w:tabs>
          <w:tab w:leader="none" w:pos="14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pay to Releasor, in total, the gross sum of Seven-Hundred Fifty Thousand Dollars ($ 750,000.00), less all payroll withholding taxes and other deductions required by law, in a lump sum payment made within thirty (30) days of Releasor’s execution and return of this Agreement;</w:t>
      </w:r>
    </w:p>
    <w:p>
      <w:pPr>
        <w:spacing w:after="0" w:line="147" w:lineRule="exact"/>
        <w:rPr>
          <w:rFonts w:ascii="Arial" w:cs="Arial" w:eastAsia="Arial" w:hAnsi="Arial"/>
          <w:sz w:val="17"/>
          <w:szCs w:val="17"/>
          <w:color w:val="auto"/>
        </w:rPr>
      </w:pPr>
    </w:p>
    <w:p>
      <w:pPr>
        <w:jc w:val="both"/>
        <w:ind w:firstLine="980"/>
        <w:spacing w:after="0" w:line="322" w:lineRule="auto"/>
        <w:tabs>
          <w:tab w:leader="none" w:pos="1506"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Releasor properly and timely elects to continue healthcare coverage (medical, dental and vision) under the health insurance plan in accordance with the continuation requirements of Consolidated Omnibus Budget Reconciliation Act (COBRA), Releasor shall pay only his current active monthly premium rate for up to the period of his first eighteen (18) months of COBRA coverage with Company subsidizing the difference between Releasor’s current monthly premium rate and Releasor’s monthly COBRA premium for that eighteen (18) month period. Thereafter, Releasor shall be entitled to continue such COBRA coverage for the remainder of the COBRA period, at Releasor’s own expense, at applicable COBRA rates, and subject to relevant law. Company’s obligations in this Paragraph 2(b) shall cease immediately upon Releasor accepting subsequent employment that includes access to health care coverage within the eighteen (18) month period set forth in this Paragraph 2(b); and,</w:t>
      </w:r>
    </w:p>
    <w:p>
      <w:pPr>
        <w:spacing w:after="0" w:line="176" w:lineRule="exact"/>
        <w:rPr>
          <w:rFonts w:ascii="Arial" w:cs="Arial" w:eastAsia="Arial" w:hAnsi="Arial"/>
          <w:sz w:val="17"/>
          <w:szCs w:val="17"/>
          <w:color w:val="auto"/>
        </w:rPr>
      </w:pPr>
    </w:p>
    <w:p>
      <w:pPr>
        <w:ind w:firstLine="980"/>
        <w:spacing w:after="0" w:line="395" w:lineRule="auto"/>
        <w:tabs>
          <w:tab w:leader="none" w:pos="1496"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 response to inquiries from prospective employers, state only Releasor’s dates of employment, the positions held and that the position was eliminated. Releasor will direct all such inquiries to Laura Rosa, Head of Human Resources Service Delivery or a successor in that capacity.</w:t>
      </w:r>
    </w:p>
    <w:p>
      <w:pPr>
        <w:spacing w:after="0" w:line="123" w:lineRule="exact"/>
        <w:rPr>
          <w:rFonts w:ascii="Arial" w:cs="Arial" w:eastAsia="Arial" w:hAnsi="Arial"/>
          <w:sz w:val="16"/>
          <w:szCs w:val="16"/>
          <w:color w:val="auto"/>
        </w:rPr>
      </w:pPr>
    </w:p>
    <w:p>
      <w:pPr>
        <w:jc w:val="both"/>
        <w:ind w:firstLine="656"/>
        <w:spacing w:after="0" w:line="336" w:lineRule="auto"/>
        <w:tabs>
          <w:tab w:leader="none" w:pos="1431"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is expressly agreed and understood that neither the Company nor its affiliated entities has, or will have, any obligation to provide Releasor at any time in the future with any payments, benefits or considerations other than those recited in Paragraph 2 above, except for any claims for vested benefits (including, without limitation, payment for unused PTO) under the terms of any of the Company’s employee benefit plans.</w:t>
      </w:r>
    </w:p>
    <w:p>
      <w:pPr>
        <w:sectPr>
          <w:pgSz w:w="11900" w:h="16838" w:orient="portrait"/>
          <w:cols w:equalWidth="0" w:num="1">
            <w:col w:w="11420"/>
          </w:cols>
          <w:pgMar w:left="240" w:top="801" w:right="239" w:bottom="1440" w:gutter="0" w:footer="0" w:header="0"/>
        </w:sectPr>
      </w:pPr>
    </w:p>
    <w:bookmarkStart w:id="44" w:name="page45"/>
    <w:bookmarkEnd w:id="44"/>
    <w:p>
      <w:pPr>
        <w:jc w:val="both"/>
        <w:ind w:left="-656" w:firstLine="656"/>
        <w:spacing w:after="0" w:line="336" w:lineRule="auto"/>
        <w:tabs>
          <w:tab w:leader="none" w:pos="7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Releasor agrees and acknowledges that the agreement by the Company described herein is not and shall not be construed to be an admission of any violation of any federal, state or local law, rule or regulation, or of any legal obligation or duty owed by the Company to Releasor and that this Agreement is made voluntarily to provide an amicable conclusion of Releasor’s employment relationship with the Company.</w:t>
      </w:r>
    </w:p>
    <w:p>
      <w:pPr>
        <w:spacing w:after="0" w:line="164" w:lineRule="exact"/>
        <w:rPr>
          <w:rFonts w:ascii="Arial" w:cs="Arial" w:eastAsia="Arial" w:hAnsi="Arial"/>
          <w:sz w:val="17"/>
          <w:szCs w:val="17"/>
          <w:color w:val="auto"/>
        </w:rPr>
      </w:pPr>
    </w:p>
    <w:p>
      <w:pPr>
        <w:ind w:left="-656" w:firstLine="656"/>
        <w:spacing w:after="0" w:line="357" w:lineRule="auto"/>
        <w:tabs>
          <w:tab w:leader="none" w:pos="7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Releasor hereby agrees and acknowledges that Releasor’s employment relationship with the Company is being permanently and irrevocably severed and that the Company does not have any obligation, contractual or otherwise, to hire, rehire or re-employ Releasor in the future.</w:t>
      </w:r>
    </w:p>
    <w:p>
      <w:pPr>
        <w:spacing w:after="0" w:line="147" w:lineRule="exact"/>
        <w:rPr>
          <w:rFonts w:ascii="Arial" w:cs="Arial" w:eastAsia="Arial" w:hAnsi="Arial"/>
          <w:sz w:val="17"/>
          <w:szCs w:val="17"/>
          <w:color w:val="auto"/>
        </w:rPr>
      </w:pPr>
    </w:p>
    <w:p>
      <w:pPr>
        <w:jc w:val="both"/>
        <w:ind w:left="-656" w:firstLine="656"/>
        <w:spacing w:after="0" w:line="336" w:lineRule="auto"/>
        <w:tabs>
          <w:tab w:leader="none" w:pos="7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Releasor will make himself available and will cooperate in any reasonable manner even after leaving employment and will provide assistance to the Company in concluding any matters which may arise in the future which may relate to Releasor’s employment with the Company, provided that such cooperation and assistance shall not unreasonably interfere with any subsequent employment obtained by Releasor.</w:t>
      </w:r>
    </w:p>
    <w:p>
      <w:pPr>
        <w:spacing w:after="0" w:line="164" w:lineRule="exact"/>
        <w:rPr>
          <w:rFonts w:ascii="Arial" w:cs="Arial" w:eastAsia="Arial" w:hAnsi="Arial"/>
          <w:sz w:val="17"/>
          <w:szCs w:val="17"/>
          <w:color w:val="auto"/>
        </w:rPr>
      </w:pPr>
    </w:p>
    <w:p>
      <w:pPr>
        <w:jc w:val="both"/>
        <w:ind w:left="-656" w:firstLine="656"/>
        <w:spacing w:after="0" w:line="343" w:lineRule="auto"/>
        <w:tabs>
          <w:tab w:leader="none" w:pos="7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and in consideration of the Company’s undertakings set forth herein, Releasor agrees not to directly or indirectly use or disclose any technical data, trade secrets, know-how, research, product or business plans, formulae, processes, products, services, projects, proposals, customer lists and customers (including, but not limited to, customers of the Company on whom he called or with whom he become acquainted during the term of his employment), markets, software, developments, Inventions (as defined in Paragraph 8 below), processes, formulas, technology, designs, drawings, engineering, marketing, distribution and sales methods and systems, sales and profit figures, finances and other business information created by Releasor during his employment with the Company or disclosed to him by the Company, either directly or indirectly in writing, orally or by drawings or inspection of documents or other tangible property (collectively, “Confidential Information”), for the benefit of anyone other than the Company, either during or after the term of his employment with the Company, without written authorization of the CEO of the Company or his designee.</w:t>
      </w:r>
    </w:p>
    <w:p>
      <w:pPr>
        <w:spacing w:after="0" w:line="165" w:lineRule="exact"/>
        <w:rPr>
          <w:rFonts w:ascii="Arial" w:cs="Arial" w:eastAsia="Arial" w:hAnsi="Arial"/>
          <w:sz w:val="16"/>
          <w:szCs w:val="16"/>
          <w:color w:val="auto"/>
        </w:rPr>
      </w:pPr>
    </w:p>
    <w:p>
      <w:pPr>
        <w:jc w:val="both"/>
        <w:ind w:left="-656" w:firstLine="656"/>
        <w:spacing w:after="0" w:line="318" w:lineRule="auto"/>
        <w:tabs>
          <w:tab w:leader="none" w:pos="7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and in consideration of the Company’s undertakings set forth herein, Releasor will promptly make full written disclosure to the Company (or any persons designated by it), will hold in trust for the sole right and benefit of the Company, and hereby assign to the Company, or its designee, without further compensation, all of his right, title, and interest in and to any and all inventions, original works of authorship, discoveries, design improvements, processes, trade secrets, trade know-how and all other intellectual property, whether or not patentable or registrable under patent, copyright or similar laws, and any and all rights and benefits resulting therefrom, that (a) relate to medical devices, life sciences, health care or related fields and the business of the Company or any other company or person with which the Company is doing business or that relate to experimental work that the Company is doing or (b) result from the use of the premises or personal property (whether tangible or intangible) owned, leased or contracted for by the Company (collectively, “Inventions”), which Releasor solely or jointly conceived of, developed or reduced to practice during his employment with the Company. All such Inventions and the benefits thereof shall immediately become the sole and absolute property of the Company and its assigns. Releasor further acknowledge that all original works of authorship which were made by Releasor (solely or jointly with others) within the scope of his employment and which are protectable by copyright are "works made for hire," as that term is defined in the United States Copyright Act. Releasor shall assist Company, at Company’s sole expense, to obtain patents, copyrights or trademarks, as the case may be, on all such Inventions deemed patentable, copyrightable or trademarkable by Company and shall execute all documents and do all things necessary to obtain letters patent, copyrights and trademarks, vest in the Company full and exclusive title thereto, and protect the same against infringement by others.</w:t>
      </w:r>
    </w:p>
    <w:p>
      <w:pPr>
        <w:spacing w:after="0" w:line="182" w:lineRule="exact"/>
        <w:rPr>
          <w:rFonts w:ascii="Arial" w:cs="Arial" w:eastAsia="Arial" w:hAnsi="Arial"/>
          <w:sz w:val="17"/>
          <w:szCs w:val="17"/>
          <w:color w:val="auto"/>
        </w:rPr>
      </w:pPr>
    </w:p>
    <w:p>
      <w:pPr>
        <w:jc w:val="both"/>
        <w:ind w:left="-656" w:firstLine="656"/>
        <w:spacing w:after="0" w:line="311" w:lineRule="auto"/>
        <w:tabs>
          <w:tab w:leader="none" w:pos="7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and in consideration of the Company’s undertakings set forth herein, Releasor agrees that he shall not for a period of twelve (12) months immediately following the termination of his employment with the Company for any reason (whether voluntarily or involuntarily), either directly or indirectly, on his own behalf or in the service or on behalf of others:</w:t>
      </w:r>
    </w:p>
    <w:p>
      <w:pPr>
        <w:spacing w:after="0" w:line="154" w:lineRule="exact"/>
        <w:rPr>
          <w:rFonts w:ascii="Arial" w:cs="Arial" w:eastAsia="Arial" w:hAnsi="Arial"/>
          <w:sz w:val="18"/>
          <w:szCs w:val="18"/>
          <w:color w:val="auto"/>
        </w:rPr>
      </w:pPr>
    </w:p>
    <w:p>
      <w:pPr>
        <w:jc w:val="both"/>
        <w:ind w:left="-656" w:firstLine="980"/>
        <w:spacing w:after="0" w:line="270" w:lineRule="auto"/>
        <w:tabs>
          <w:tab w:leader="none" w:pos="701" w:val="left"/>
        </w:tabs>
        <w:numPr>
          <w:ilvl w:val="1"/>
          <w:numId w:val="17"/>
        </w:numPr>
        <w:rPr>
          <w:rFonts w:ascii="Arial" w:cs="Arial" w:eastAsia="Arial" w:hAnsi="Arial"/>
          <w:sz w:val="17"/>
          <w:szCs w:val="17"/>
          <w:color w:val="auto"/>
        </w:rPr>
      </w:pPr>
      <w:r>
        <w:rPr>
          <w:rFonts w:ascii="Arial" w:cs="Arial" w:eastAsia="Arial" w:hAnsi="Arial"/>
          <w:sz w:val="17"/>
          <w:szCs w:val="17"/>
          <w:color w:val="auto"/>
        </w:rPr>
        <w:t>whether alone or as a partner, officer, director, consultant, agent, employee, contractor, or stockholder of any company or other commercial enterprise, directly or indirectly engage in any business or other activity conducted or operated in the United States, Canada and internationally which is or may be competitive with, or render services to any firm or business organization which competes or which plans to compete with, the Company in the products or services being published, manufactured, marketed, distributed, planned in writing or developed by the Company at the time of termination of such employment relating to the extremity reconstruction, burn or wound care markets. Notwithstanding the foregoing, the Releasor may own shares of companies whose securities are publicly traded, so long as ownership of such securities does not constitute more than five percent (5%) of the outstanding securities of any such company. Further, nothing set forth in this paragraph 9(a) shall prohibit Releasor from becoming an employee or agent of, or consultant to, any entity that competes with the Company in the extremity reconstruction, burn or wound care markets so long as Releasor does not engage in any competitive activities in any capacity for said entity;</w:t>
      </w:r>
    </w:p>
    <w:p>
      <w:pPr>
        <w:sectPr>
          <w:pgSz w:w="11900" w:h="16838" w:orient="portrait"/>
          <w:cols w:equalWidth="0" w:num="1">
            <w:col w:w="10764"/>
          </w:cols>
          <w:pgMar w:left="896" w:top="611" w:right="239" w:bottom="1440" w:gutter="0" w:footer="0" w:header="0"/>
        </w:sectPr>
      </w:pPr>
    </w:p>
    <w:bookmarkStart w:id="45" w:name="page46"/>
    <w:bookmarkEnd w:id="45"/>
    <w:p>
      <w:pPr>
        <w:jc w:val="both"/>
        <w:ind w:firstLine="980"/>
        <w:spacing w:after="0" w:line="257" w:lineRule="auto"/>
        <w:tabs>
          <w:tab w:leader="none" w:pos="13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entice or induce any customer, vendor, distributor, OEM manufacturer or employee of the Company to become a client, customer, OEM, distributor or reseller of any other person, firm or corporation with respect to products and/or services then sold or under development by the Company or competitive with products and/or services then sold or under development by the Company, or to cease doing business with the Company, and Releasor shall not contact or approach any such person, firm or corporation for such purpose or authorize or knowingly approve the taking of such actions by any other person; or</w:t>
      </w:r>
    </w:p>
    <w:p>
      <w:pPr>
        <w:spacing w:after="0" w:line="188" w:lineRule="exact"/>
        <w:rPr>
          <w:rFonts w:ascii="Arial" w:cs="Arial" w:eastAsia="Arial" w:hAnsi="Arial"/>
          <w:sz w:val="18"/>
          <w:szCs w:val="18"/>
          <w:color w:val="auto"/>
        </w:rPr>
      </w:pPr>
    </w:p>
    <w:p>
      <w:pPr>
        <w:jc w:val="both"/>
        <w:ind w:firstLine="980"/>
        <w:spacing w:after="0" w:line="259" w:lineRule="auto"/>
        <w:tabs>
          <w:tab w:leader="none" w:pos="14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solicit, recruit or hire (or attempt to solicit, recruit or hire) any employee of the Company (whether or not such person is a full-time employee or whether or not such employment is pursuant to a written agreement or at-will) to terminate such person's employment with the Company, work for a third party other than the Company, work in self-employment or as an independent contractor, or engage in any activity that would cause any such employee to violate any agreement with the Company.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parties recognize that the Company shall be deemed to compete in the United States, Canada and internationally in those segments of the medical devices industry relating to the extremity reconstruction, burn or wound care markets in which the Company shall be engaged in business as of the date of this Agreement, and the Releasor agrees that he shall not engage in any of the activities proscribed in this Paragraph 9 in such segments in the United States, Canada and internationally for the time periods set forth in this Paragraph 9. If the Releasor violates or is in breach of any provision of this Paragraph 9, then the provisions of the restrictive covenant he breaches shall be applicable to him for an additional period of time equal to the amount of time remaining on the restrictive covenant at the time of breach.</w:t>
      </w:r>
    </w:p>
    <w:p>
      <w:pPr>
        <w:spacing w:after="0" w:line="220" w:lineRule="exact"/>
        <w:rPr>
          <w:sz w:val="20"/>
          <w:szCs w:val="20"/>
          <w:color w:val="auto"/>
        </w:rPr>
      </w:pPr>
    </w:p>
    <w:p>
      <w:pPr>
        <w:jc w:val="both"/>
        <w:ind w:firstLine="656"/>
        <w:spacing w:after="0" w:line="322" w:lineRule="auto"/>
        <w:tabs>
          <w:tab w:leader="none" w:pos="1521"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Releasor hereby certifies that Releasor has read the terms of the Agreement and General Release, that the Company hereby advises Releasor to consult with an attorney of Releasor’s own choice prior to executing this Agreement, that Releasor has had an opportunity to do so and that Releasor understands this Agreement’s terms and effects. Releasor acknowledges, further, that Releasor is executing this Agreement and General Release of Releasor’s own volition, with full understanding of its terms and effects and with the intention of releasing all employment claims recited herein in exchange, among other commitments made by Releasor, for the consideration described herein, which Releasor acknowledges is adequate and satisfactory. Releasor certifies that neither the Company nor any of its agents, representatives, or attorneys has made any representations to Releasor concerning the terms or effects of this Agreement and General Release other than those contained herein.</w:t>
      </w:r>
    </w:p>
    <w:p>
      <w:pPr>
        <w:spacing w:after="0" w:line="176" w:lineRule="exact"/>
        <w:rPr>
          <w:rFonts w:ascii="Arial" w:cs="Arial" w:eastAsia="Arial" w:hAnsi="Arial"/>
          <w:sz w:val="17"/>
          <w:szCs w:val="17"/>
          <w:color w:val="auto"/>
        </w:rPr>
      </w:pPr>
    </w:p>
    <w:p>
      <w:pPr>
        <w:jc w:val="both"/>
        <w:ind w:firstLine="656"/>
        <w:spacing w:after="0" w:line="323" w:lineRule="auto"/>
        <w:tabs>
          <w:tab w:leader="none" w:pos="15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Releasor acknowledges that Releasor has been informed that Releasor has the right to consider this Agreement for a period of at least twenty-one (21) days prior to entering into the Agreement. Releasor also understands that Releasor has the right to revoke this Agreement for a period of seven (7) days following Releasor’s execution of the Agreement by giving written notice to the Company, within said seven (7) day period, in care of Padma Thiruvengadam, Corporate Vice President and Chief Human Resources Officer, or her successor in that capacity, at the following address: Integra LifeSciences Corporation, 311 Enterprise Drive, Plainsboro, New Jersey 08536. This Agreement shall be effective upon expiration of said seven (7) day period. If Releasor exercises Releasor’s right to revoke this agreement, this Agreement shall be null and void.</w:t>
      </w:r>
    </w:p>
    <w:p>
      <w:pPr>
        <w:spacing w:after="0" w:line="177" w:lineRule="exact"/>
        <w:rPr>
          <w:rFonts w:ascii="Arial" w:cs="Arial" w:eastAsia="Arial" w:hAnsi="Arial"/>
          <w:sz w:val="17"/>
          <w:szCs w:val="17"/>
          <w:color w:val="auto"/>
        </w:rPr>
      </w:pPr>
    </w:p>
    <w:p>
      <w:pPr>
        <w:jc w:val="both"/>
        <w:ind w:firstLine="656"/>
        <w:spacing w:after="0" w:line="320" w:lineRule="auto"/>
        <w:tabs>
          <w:tab w:leader="none" w:pos="1521"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Releasor further agrees, covenants and promises that Releasor will not communicate or disclose the terms of this Agreement and General Release, as described herein, to any persons with the exception of members of Releasor’s immediate family, Releasor’s attorney, and Releasor’s accountant, all of whom shall be advised of the confidentiality requirements of this Agreement and who must agree to be bound by this provision as a condition of such disclosure. Notwithstanding anything set forth in this Agreement to the contrary, if a court of competent jurisdiction determines that Releasor (or anyone to whom he makes a disclosure to pursuant to Paragraph 12 of this AGREEMENT) breaches the terms of this Paragraph, the Company shall be entitled to recover all damages, expenses, costs and fees determined by the court as a result of said breach. Company, in addition to any other rights it may have at law or in equity, shall have the right to seek enforcement of this Agreement in an action at law or in equity and the Company shall have the right to recover its legal fees, costs and expenses in such action to enforce this Agreement, to the extent permitted by law and to the extent that such recovery does not result in the invalidation of this Agreement.</w:t>
      </w:r>
    </w:p>
    <w:p>
      <w:pPr>
        <w:spacing w:after="0" w:line="179" w:lineRule="exact"/>
        <w:rPr>
          <w:rFonts w:ascii="Arial" w:cs="Arial" w:eastAsia="Arial" w:hAnsi="Arial"/>
          <w:sz w:val="17"/>
          <w:szCs w:val="17"/>
          <w:color w:val="auto"/>
        </w:rPr>
      </w:pPr>
    </w:p>
    <w:p>
      <w:pPr>
        <w:jc w:val="both"/>
        <w:ind w:firstLine="656"/>
        <w:spacing w:after="0" w:line="311" w:lineRule="auto"/>
        <w:tabs>
          <w:tab w:leader="none" w:pos="15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Releasor shall not engage in any communications that disparage the Company and/or its directors, officers, or employees or interfere with its existing or prospective business relationships. The Company shall not authorize or condone any communications made by any of its directors or officers that disparage Releasor or interfere with his existing or prospective employment or business relationships.</w:t>
      </w:r>
    </w:p>
    <w:p>
      <w:pPr>
        <w:spacing w:after="0" w:line="181" w:lineRule="exact"/>
        <w:rPr>
          <w:rFonts w:ascii="Arial" w:cs="Arial" w:eastAsia="Arial" w:hAnsi="Arial"/>
          <w:sz w:val="18"/>
          <w:szCs w:val="18"/>
          <w:color w:val="auto"/>
        </w:rPr>
      </w:pPr>
    </w:p>
    <w:p>
      <w:pPr>
        <w:jc w:val="both"/>
        <w:ind w:firstLine="656"/>
        <w:spacing w:after="0" w:line="311" w:lineRule="auto"/>
        <w:tabs>
          <w:tab w:leader="none" w:pos="15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Releasor represents that Releasor has returned all material and property in Releasor’s possession that belongs to the Company including, but not limited to Confidential Information, keys and any other material or equipment belonging to the Company. Company will arrange to port the telephone number associated with Releasor’s work cell phone to Releasor for his future personal use.</w:t>
      </w:r>
    </w:p>
    <w:p>
      <w:pPr>
        <w:spacing w:after="0" w:line="181" w:lineRule="exact"/>
        <w:rPr>
          <w:rFonts w:ascii="Arial" w:cs="Arial" w:eastAsia="Arial" w:hAnsi="Arial"/>
          <w:sz w:val="18"/>
          <w:szCs w:val="18"/>
          <w:color w:val="auto"/>
        </w:rPr>
      </w:pPr>
    </w:p>
    <w:p>
      <w:pPr>
        <w:ind w:firstLine="656"/>
        <w:spacing w:after="0" w:line="324" w:lineRule="auto"/>
        <w:tabs>
          <w:tab w:leader="none" w:pos="15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Agreement shall be governed by, construed and enforced under the laws of the State of New Jersey (without regard to conflict of laws principles) and any dispute pertaining to this Agreement shall be brought only in, and Releasor and</w:t>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311" w:lineRule="auto"/>
        <w:rPr>
          <w:sz w:val="20"/>
          <w:szCs w:val="20"/>
          <w:color w:val="auto"/>
        </w:rPr>
      </w:pPr>
      <w:r>
        <w:rPr>
          <w:rFonts w:ascii="Arial" w:cs="Arial" w:eastAsia="Arial" w:hAnsi="Arial"/>
          <w:sz w:val="18"/>
          <w:szCs w:val="18"/>
          <w:color w:val="auto"/>
        </w:rPr>
        <w:t>Company agree to subject themselves to the personal jurisdiction of, the Superior Court of New Jersey, Mercer County or the United States District Court for the District of New Jersey, Trenton Vicinage (to the extent that subject matter jurisdiction exists). Company shall be entitled to seek injunctive relief in accordance with applicable law for breaches (including anticipated breaches) of this Agreement.</w:t>
      </w:r>
    </w:p>
    <w:p>
      <w:pPr>
        <w:spacing w:after="0" w:line="181" w:lineRule="exact"/>
        <w:rPr>
          <w:sz w:val="20"/>
          <w:szCs w:val="20"/>
          <w:color w:val="auto"/>
        </w:rPr>
      </w:pPr>
    </w:p>
    <w:p>
      <w:pPr>
        <w:jc w:val="both"/>
        <w:ind w:firstLine="656"/>
        <w:spacing w:after="0" w:line="311" w:lineRule="auto"/>
        <w:tabs>
          <w:tab w:leader="none" w:pos="1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dispute arising out of this Agreement or any dispute between the parties to this Agreement on any subject matter shall be tried without a jury. The parties recognize that with this provision they are expressly and voluntarily waiving their respective rights to a jury trial and do so in order to resolve any future disputes in a more efficient and cost-effective manner.</w:t>
      </w:r>
    </w:p>
    <w:p>
      <w:pPr>
        <w:spacing w:after="0" w:line="181" w:lineRule="exact"/>
        <w:rPr>
          <w:rFonts w:ascii="Arial" w:cs="Arial" w:eastAsia="Arial" w:hAnsi="Arial"/>
          <w:sz w:val="18"/>
          <w:szCs w:val="18"/>
          <w:color w:val="auto"/>
        </w:rPr>
      </w:pPr>
    </w:p>
    <w:p>
      <w:pPr>
        <w:ind w:left="1520" w:hanging="864"/>
        <w:spacing w:after="0"/>
        <w:tabs>
          <w:tab w:leader="none" w:pos="1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Releasor and Company shall each bear his and its own costs including attorneys’ fees incurred in connection with this Agreement.</w:t>
      </w:r>
    </w:p>
    <w:p>
      <w:pPr>
        <w:spacing w:after="0" w:line="277" w:lineRule="exact"/>
        <w:rPr>
          <w:rFonts w:ascii="Arial" w:cs="Arial" w:eastAsia="Arial" w:hAnsi="Arial"/>
          <w:sz w:val="17"/>
          <w:szCs w:val="17"/>
          <w:color w:val="auto"/>
        </w:rPr>
      </w:pPr>
    </w:p>
    <w:p>
      <w:pPr>
        <w:jc w:val="both"/>
        <w:ind w:firstLine="656"/>
        <w:spacing w:after="0" w:line="306" w:lineRule="auto"/>
        <w:tabs>
          <w:tab w:leader="none" w:pos="1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Agreement supersedes and voids all previous agreements, policies and practices between Releasor and Company, whether written or oral, including, but not limited to, any severance offer made prior to the date Releasor signs this Agreement other than as set forth in this Agreement. This Agreement sets forth the entire understanding of the parties as to the subject matter contained herein and may be modified solely by a writing executed by the individual then holding the office of CEO of the Company or his designee and Releasor.</w:t>
      </w:r>
    </w:p>
    <w:p>
      <w:pPr>
        <w:spacing w:after="0" w:line="3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and intending to be legally bound hereby, the parties hereto have executed the foregoing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Padma Thiruvengadam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Padma Thiruvengadam, Corporate Vice President and Chief Human Resources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July 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Releasor</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Paltridge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Paltridge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July 7, 2014</w:t>
      </w:r>
    </w:p>
    <w:p>
      <w:pPr>
        <w:sectPr>
          <w:pgSz w:w="11900" w:h="16838" w:orient="portrait"/>
          <w:cols w:equalWidth="0" w:num="1">
            <w:col w:w="11420"/>
          </w:cols>
          <w:pgMar w:left="240" w:top="61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May 1, 2015</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2015</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2015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May 1, 2015</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0" w:name="page51"/>
    <w:bookmarkEnd w:id="50"/>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2015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2015</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Roman"/>
      <w:start w:val="1"/>
    </w:lvl>
  </w:abstractNum>
  <w:abstractNum w:abstractNumId="7">
    <w:nsid w:val="6B68079A"/>
    <w:multiLevelType w:val="hybridMultilevel"/>
    <w:lvl w:ilvl="0">
      <w:lvlJc w:val="left"/>
      <w:lvlText w:val="%1."/>
      <w:numFmt w:val="lowerRoman"/>
      <w:start w:val="1"/>
    </w:lvl>
    <w:lvl w:ilvl="1">
      <w:lvlJc w:val="left"/>
      <w:lvlText w:val="%2."/>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lvl w:ilvl="1">
      <w:lvlJc w:val="left"/>
      <w:lvlText w:val="*"/>
      <w:numFmt w:val="bullet"/>
      <w:start w:val="1"/>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1."/>
      <w:numFmt w:val="decimal"/>
      <w:start w:val="1"/>
    </w:lvl>
    <w:lvl w:ilvl="1">
      <w:lvlJc w:val="left"/>
      <w:lvlText w:val="(%2)"/>
      <w:numFmt w:val="lowerLetter"/>
      <w:start w:val="1"/>
    </w:lvl>
  </w:abstractNum>
  <w:abstractNum w:abstractNumId="16">
    <w:nsid w:val="436C6125"/>
    <w:multiLevelType w:val="hybridMultilevel"/>
    <w:lvl w:ilvl="0">
      <w:lvlJc w:val="left"/>
      <w:lvlText w:val="%1."/>
      <w:numFmt w:val="decimal"/>
      <w:start w:val="4"/>
    </w:lvl>
    <w:lvl w:ilvl="1">
      <w:lvlJc w:val="left"/>
      <w:lvlText w:val="(%2)"/>
      <w:numFmt w:val="lowerLetter"/>
      <w:start w:val="1"/>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decimal"/>
      <w:start w:val="10"/>
    </w:lvl>
  </w:abstractNum>
  <w:abstractNum w:abstractNumId="19">
    <w:nsid w:val="721DA317"/>
    <w:multiLevelType w:val="hybridMultilevel"/>
    <w:lvl w:ilvl="0">
      <w:lvlJc w:val="left"/>
      <w:lvlText w:val="%1."/>
      <w:numFmt w:val="decimal"/>
      <w:start w:val="16"/>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2019-12-29T18:03:02Z</dcterms:created>
  <dcterms:modified xsi:type="dcterms:W3CDTF">2019-12-29T18:03:02Z</dcterms:modified>
</cp:coreProperties>
</file>