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Exchange Act of 1934 (Amendment No. )</w:t>
      </w:r>
    </w:p>
    <w:p>
      <w:pPr>
        <w:spacing w:after="0" w:line="61"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1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25"/>
          <w:szCs w:val="25"/>
          <w:color w:val="auto"/>
        </w:rPr>
        <w:t>INTEGRA LIFESCIENCES HOLDINGS CORPORATION</w:t>
      </w:r>
    </w:p>
    <w:p>
      <w:pPr>
        <w:spacing w:after="0" w:line="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4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right="259" w:hanging="379"/>
        <w:spacing w:after="0" w:line="277"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20" w:hanging="188"/>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520" w:right="419" w:hanging="188"/>
        <w:spacing w:after="0" w:line="26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900" w:hanging="37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-4546600</wp:posOffset>
            </wp:positionV>
            <wp:extent cx="58146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-3980815</wp:posOffset>
            </wp:positionV>
            <wp:extent cx="581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-3277870</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-2711450</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-2145665</wp:posOffset>
            </wp:positionV>
            <wp:extent cx="581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-893445</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-327660</wp:posOffset>
            </wp:positionV>
            <wp:extent cx="581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238125</wp:posOffset>
            </wp:positionV>
            <wp:extent cx="581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ectPr>
          <w:pgSz w:w="11900" w:h="16838" w:orient="portrait"/>
          <w:cols w:equalWidth="0" w:num="1">
            <w:col w:w="10219"/>
          </w:cols>
          <w:pgMar w:left="240" w:top="122" w:right="1440" w:bottom="289" w:gutter="0" w:footer="0" w:header="0"/>
        </w:sectPr>
      </w:pPr>
    </w:p>
    <w:bookmarkStart w:id="2" w:name="page3"/>
    <w:bookmarkEnd w:id="2"/>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238125</wp:posOffset>
            </wp:positionV>
            <wp:extent cx="581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-326390</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99"/>
          </w:cols>
          <w:pgMar w:left="760" w:top="12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2898775"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311 ENTERPRISE DRIVE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PLAINSBORO, NEW JERSEY 08536</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NOTICE OF ANNUAL MEETING OF STOCKHOLDERS TO BE HELD ON MAY 17, 2007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85" w:lineRule="exact"/>
        <w:rPr>
          <w:sz w:val="20"/>
          <w:szCs w:val="20"/>
          <w:color w:val="auto"/>
        </w:rPr>
      </w:pPr>
    </w:p>
    <w:p>
      <w:pPr>
        <w:ind w:left="340" w:right="1360" w:firstLine="389"/>
        <w:spacing w:after="0" w:line="277" w:lineRule="auto"/>
        <w:rPr>
          <w:sz w:val="20"/>
          <w:szCs w:val="20"/>
          <w:color w:val="auto"/>
        </w:rPr>
      </w:pPr>
      <w:r>
        <w:rPr>
          <w:rFonts w:ascii="Arial" w:cs="Arial" w:eastAsia="Arial" w:hAnsi="Arial"/>
          <w:sz w:val="18"/>
          <w:szCs w:val="18"/>
          <w:color w:val="auto"/>
        </w:rPr>
        <w:t>NOTICE IS HEREBY GIVEN that the 2007 Annual Meeting of Stockholders (the “Meeting”) of Integra LifeSciences Holdings Corporation (the “Company”) will be held as, and for the purposes,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ind w:left="340"/>
              <w:spacing w:after="0"/>
              <w:rPr>
                <w:sz w:val="20"/>
                <w:szCs w:val="20"/>
                <w:color w:val="auto"/>
              </w:rPr>
            </w:pPr>
            <w:r>
              <w:rPr>
                <w:rFonts w:ascii="Arial" w:cs="Arial" w:eastAsia="Arial" w:hAnsi="Arial"/>
                <w:sz w:val="18"/>
                <w:szCs w:val="18"/>
                <w:color w:val="auto"/>
              </w:rPr>
              <w:t>TIME</w:t>
            </w:r>
          </w:p>
        </w:tc>
        <w:tc>
          <w:tcPr>
            <w:tcW w:w="9020" w:type="dxa"/>
            <w:vAlign w:val="bottom"/>
          </w:tcPr>
          <w:p>
            <w:pPr>
              <w:ind w:left="360"/>
              <w:spacing w:after="0"/>
              <w:rPr>
                <w:sz w:val="20"/>
                <w:szCs w:val="20"/>
                <w:color w:val="auto"/>
              </w:rPr>
            </w:pPr>
            <w:r>
              <w:rPr>
                <w:rFonts w:ascii="Arial" w:cs="Arial" w:eastAsia="Arial" w:hAnsi="Arial"/>
                <w:sz w:val="18"/>
                <w:szCs w:val="18"/>
                <w:color w:val="auto"/>
              </w:rPr>
              <w:t>9:00 a.m. local time on Thursday, May 17, 2007</w:t>
            </w:r>
          </w:p>
        </w:tc>
      </w:tr>
      <w:tr>
        <w:trPr>
          <w:trHeight w:val="418"/>
        </w:trPr>
        <w:tc>
          <w:tcPr>
            <w:tcW w:w="2400" w:type="dxa"/>
            <w:vAlign w:val="bottom"/>
          </w:tcPr>
          <w:p>
            <w:pPr>
              <w:ind w:left="340"/>
              <w:spacing w:after="0"/>
              <w:rPr>
                <w:sz w:val="20"/>
                <w:szCs w:val="20"/>
                <w:color w:val="auto"/>
              </w:rPr>
            </w:pPr>
            <w:r>
              <w:rPr>
                <w:rFonts w:ascii="Arial" w:cs="Arial" w:eastAsia="Arial" w:hAnsi="Arial"/>
                <w:sz w:val="18"/>
                <w:szCs w:val="18"/>
                <w:color w:val="auto"/>
              </w:rPr>
              <w:t>PLACE</w:t>
            </w:r>
          </w:p>
        </w:tc>
        <w:tc>
          <w:tcPr>
            <w:tcW w:w="9020" w:type="dxa"/>
            <w:vAlign w:val="bottom"/>
          </w:tcPr>
          <w:p>
            <w:pPr>
              <w:ind w:left="360"/>
              <w:spacing w:after="0"/>
              <w:rPr>
                <w:sz w:val="20"/>
                <w:szCs w:val="20"/>
                <w:color w:val="auto"/>
              </w:rPr>
            </w:pPr>
            <w:r>
              <w:rPr>
                <w:rFonts w:ascii="Arial" w:cs="Arial" w:eastAsia="Arial" w:hAnsi="Arial"/>
                <w:sz w:val="18"/>
                <w:szCs w:val="18"/>
                <w:color w:val="auto"/>
              </w:rPr>
              <w:t>Holiday Inn Hotel</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100 Independence Way</w:t>
            </w:r>
          </w:p>
        </w:tc>
      </w:tr>
      <w:tr>
        <w:trPr>
          <w:trHeight w:val="230"/>
        </w:trPr>
        <w:tc>
          <w:tcPr>
            <w:tcW w:w="24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Princeton, New Jersey 08540</w:t>
            </w:r>
          </w:p>
        </w:tc>
      </w:tr>
      <w:tr>
        <w:trPr>
          <w:trHeight w:val="418"/>
        </w:trPr>
        <w:tc>
          <w:tcPr>
            <w:tcW w:w="2400" w:type="dxa"/>
            <w:vAlign w:val="bottom"/>
          </w:tcPr>
          <w:p>
            <w:pPr>
              <w:ind w:left="340"/>
              <w:spacing w:after="0"/>
              <w:rPr>
                <w:sz w:val="20"/>
                <w:szCs w:val="20"/>
                <w:color w:val="auto"/>
              </w:rPr>
            </w:pPr>
            <w:r>
              <w:rPr>
                <w:rFonts w:ascii="Arial" w:cs="Arial" w:eastAsia="Arial" w:hAnsi="Arial"/>
                <w:sz w:val="18"/>
                <w:szCs w:val="18"/>
                <w:color w:val="auto"/>
              </w:rPr>
              <w:t>ITEMS OF BUSINESS</w:t>
            </w:r>
          </w:p>
        </w:tc>
        <w:tc>
          <w:tcPr>
            <w:tcW w:w="9020" w:type="dxa"/>
            <w:vAlign w:val="bottom"/>
          </w:tcPr>
          <w:p>
            <w:pPr>
              <w:ind w:left="360"/>
              <w:spacing w:after="0"/>
              <w:rPr>
                <w:sz w:val="20"/>
                <w:szCs w:val="20"/>
                <w:color w:val="auto"/>
              </w:rPr>
            </w:pPr>
            <w:r>
              <w:rPr>
                <w:rFonts w:ascii="Arial" w:cs="Arial" w:eastAsia="Arial" w:hAnsi="Arial"/>
                <w:sz w:val="18"/>
                <w:szCs w:val="18"/>
                <w:color w:val="auto"/>
              </w:rPr>
              <w:t>1.  To elect eight directors of the Company to serve until the next annual meeting of stockholders</w:t>
            </w:r>
          </w:p>
        </w:tc>
      </w:tr>
      <w:tr>
        <w:trPr>
          <w:trHeight w:val="230"/>
        </w:trPr>
        <w:tc>
          <w:tcPr>
            <w:tcW w:w="240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and until their successors are duly elected and qualified.</w:t>
            </w:r>
          </w:p>
        </w:tc>
      </w:tr>
      <w:tr>
        <w:trPr>
          <w:trHeight w:val="418"/>
        </w:trPr>
        <w:tc>
          <w:tcPr>
            <w:tcW w:w="240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2.  To ratify the appointment of PricewaterhouseCoopers LLP as the Company's independent</w:t>
            </w:r>
          </w:p>
        </w:tc>
      </w:tr>
      <w:tr>
        <w:trPr>
          <w:trHeight w:val="230"/>
        </w:trPr>
        <w:tc>
          <w:tcPr>
            <w:tcW w:w="240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registered public accounting firm for the current fiscal year.</w:t>
            </w:r>
          </w:p>
        </w:tc>
      </w:tr>
      <w:tr>
        <w:trPr>
          <w:trHeight w:val="418"/>
        </w:trPr>
        <w:tc>
          <w:tcPr>
            <w:tcW w:w="2400" w:type="dxa"/>
            <w:vAlign w:val="bottom"/>
          </w:tcPr>
          <w:p>
            <w:pPr>
              <w:spacing w:after="0"/>
              <w:rPr>
                <w:sz w:val="24"/>
                <w:szCs w:val="24"/>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3.  To act upon any other matters properly coming before the meeting or any adjournment or</w:t>
            </w:r>
          </w:p>
        </w:tc>
      </w:tr>
      <w:tr>
        <w:trPr>
          <w:trHeight w:val="230"/>
        </w:trPr>
        <w:tc>
          <w:tcPr>
            <w:tcW w:w="240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postponement thereof.</w:t>
            </w:r>
          </w:p>
        </w:tc>
      </w:tr>
      <w:tr>
        <w:trPr>
          <w:trHeight w:val="418"/>
        </w:trPr>
        <w:tc>
          <w:tcPr>
            <w:tcW w:w="2400" w:type="dxa"/>
            <w:vAlign w:val="bottom"/>
          </w:tcPr>
          <w:p>
            <w:pPr>
              <w:ind w:left="340"/>
              <w:spacing w:after="0"/>
              <w:rPr>
                <w:sz w:val="20"/>
                <w:szCs w:val="20"/>
                <w:color w:val="auto"/>
              </w:rPr>
            </w:pPr>
            <w:r>
              <w:rPr>
                <w:rFonts w:ascii="Arial" w:cs="Arial" w:eastAsia="Arial" w:hAnsi="Arial"/>
                <w:sz w:val="18"/>
                <w:szCs w:val="18"/>
                <w:color w:val="auto"/>
              </w:rPr>
              <w:t>RECORD DATE</w:t>
            </w:r>
          </w:p>
        </w:tc>
        <w:tc>
          <w:tcPr>
            <w:tcW w:w="9020" w:type="dxa"/>
            <w:vAlign w:val="bottom"/>
          </w:tcPr>
          <w:p>
            <w:pPr>
              <w:ind w:left="360"/>
              <w:spacing w:after="0"/>
              <w:rPr>
                <w:sz w:val="20"/>
                <w:szCs w:val="20"/>
                <w:color w:val="auto"/>
              </w:rPr>
            </w:pPr>
            <w:r>
              <w:rPr>
                <w:rFonts w:ascii="Arial" w:cs="Arial" w:eastAsia="Arial" w:hAnsi="Arial"/>
                <w:sz w:val="18"/>
                <w:szCs w:val="18"/>
                <w:color w:val="auto"/>
              </w:rPr>
              <w:t>Holders of record of the Company's common stock at the close of business on March 30, 2007</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are entitled to notice of, and to vote at, the Meeting and any adjournment or postponement</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thereof. A complete list of stockholders entitled to vote at the Meeting will be</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available for inspection by any stockholder for any purpose germane to the Meeting for ten</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days prior to the Meeting during ordinary business hours at the Company's headquarters</w:t>
            </w:r>
          </w:p>
        </w:tc>
      </w:tr>
      <w:tr>
        <w:trPr>
          <w:trHeight w:val="230"/>
        </w:trPr>
        <w:tc>
          <w:tcPr>
            <w:tcW w:w="24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located at 311 Enterprise Drive, Plainsboro, New Jersey.</w:t>
            </w:r>
          </w:p>
        </w:tc>
      </w:tr>
      <w:tr>
        <w:trPr>
          <w:trHeight w:val="418"/>
        </w:trPr>
        <w:tc>
          <w:tcPr>
            <w:tcW w:w="2400" w:type="dxa"/>
            <w:vAlign w:val="bottom"/>
          </w:tcPr>
          <w:p>
            <w:pPr>
              <w:ind w:left="340"/>
              <w:spacing w:after="0"/>
              <w:rPr>
                <w:sz w:val="20"/>
                <w:szCs w:val="20"/>
                <w:color w:val="auto"/>
              </w:rPr>
            </w:pPr>
            <w:r>
              <w:rPr>
                <w:rFonts w:ascii="Arial" w:cs="Arial" w:eastAsia="Arial" w:hAnsi="Arial"/>
                <w:sz w:val="18"/>
                <w:szCs w:val="18"/>
                <w:color w:val="auto"/>
              </w:rPr>
              <w:t>ANNUAL REPORT</w:t>
            </w:r>
          </w:p>
        </w:tc>
        <w:tc>
          <w:tcPr>
            <w:tcW w:w="9020" w:type="dxa"/>
            <w:vAlign w:val="bottom"/>
          </w:tcPr>
          <w:p>
            <w:pPr>
              <w:ind w:left="360"/>
              <w:spacing w:after="0"/>
              <w:rPr>
                <w:sz w:val="20"/>
                <w:szCs w:val="20"/>
                <w:color w:val="auto"/>
              </w:rPr>
            </w:pPr>
            <w:r>
              <w:rPr>
                <w:rFonts w:ascii="Arial" w:cs="Arial" w:eastAsia="Arial" w:hAnsi="Arial"/>
                <w:sz w:val="18"/>
                <w:szCs w:val="18"/>
                <w:color w:val="auto"/>
              </w:rPr>
              <w:t>The 2006 Annual Report of Integra LifeSciences Holdings Corporation is being mailed</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simultaneously herewith. The Annual Report is not to be considered part of the proxy</w:t>
            </w:r>
          </w:p>
        </w:tc>
      </w:tr>
      <w:tr>
        <w:trPr>
          <w:trHeight w:val="230"/>
        </w:trPr>
        <w:tc>
          <w:tcPr>
            <w:tcW w:w="24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solicitation materials.</w:t>
            </w:r>
          </w:p>
        </w:tc>
      </w:tr>
      <w:tr>
        <w:trPr>
          <w:trHeight w:val="418"/>
        </w:trPr>
        <w:tc>
          <w:tcPr>
            <w:tcW w:w="2400" w:type="dxa"/>
            <w:vAlign w:val="bottom"/>
          </w:tcPr>
          <w:p>
            <w:pPr>
              <w:ind w:left="340"/>
              <w:spacing w:after="0"/>
              <w:rPr>
                <w:sz w:val="20"/>
                <w:szCs w:val="20"/>
                <w:color w:val="auto"/>
              </w:rPr>
            </w:pPr>
            <w:r>
              <w:rPr>
                <w:rFonts w:ascii="Arial" w:cs="Arial" w:eastAsia="Arial" w:hAnsi="Arial"/>
                <w:sz w:val="18"/>
                <w:szCs w:val="18"/>
                <w:color w:val="auto"/>
              </w:rPr>
              <w:t>IMPORTANT</w:t>
            </w:r>
          </w:p>
        </w:tc>
        <w:tc>
          <w:tcPr>
            <w:tcW w:w="9020" w:type="dxa"/>
            <w:vAlign w:val="bottom"/>
          </w:tcPr>
          <w:p>
            <w:pPr>
              <w:ind w:left="360"/>
              <w:spacing w:after="0"/>
              <w:rPr>
                <w:sz w:val="20"/>
                <w:szCs w:val="20"/>
                <w:color w:val="auto"/>
              </w:rPr>
            </w:pPr>
            <w:r>
              <w:rPr>
                <w:rFonts w:ascii="Arial" w:cs="Arial" w:eastAsia="Arial" w:hAnsi="Arial"/>
                <w:sz w:val="18"/>
                <w:szCs w:val="18"/>
                <w:color w:val="auto"/>
              </w:rPr>
              <w:t>In order to avoid additional soliciting expense to the Company, please MARK, SIGN, DATE</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and MAIL your proxy PROMPTLY in the return envelope provided, even if you plan to attend</w:t>
            </w:r>
          </w:p>
        </w:tc>
      </w:tr>
      <w:tr>
        <w:trPr>
          <w:trHeight w:val="216"/>
        </w:trPr>
        <w:tc>
          <w:tcPr>
            <w:tcW w:w="2400" w:type="dxa"/>
            <w:vAlign w:val="bottom"/>
          </w:tcPr>
          <w:p>
            <w:pPr>
              <w:spacing w:after="0"/>
              <w:rPr>
                <w:sz w:val="18"/>
                <w:szCs w:val="18"/>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the Meeting. If you attend the Meeting and wish to vote your shares in person,</w:t>
            </w:r>
          </w:p>
        </w:tc>
      </w:tr>
      <w:tr>
        <w:trPr>
          <w:trHeight w:val="230"/>
        </w:trPr>
        <w:tc>
          <w:tcPr>
            <w:tcW w:w="2400" w:type="dxa"/>
            <w:vAlign w:val="bottom"/>
          </w:tcPr>
          <w:p>
            <w:pPr>
              <w:spacing w:after="0"/>
              <w:rPr>
                <w:sz w:val="20"/>
                <w:szCs w:val="20"/>
                <w:color w:val="auto"/>
              </w:rPr>
            </w:pPr>
          </w:p>
        </w:tc>
        <w:tc>
          <w:tcPr>
            <w:tcW w:w="9020" w:type="dxa"/>
            <w:vAlign w:val="bottom"/>
          </w:tcPr>
          <w:p>
            <w:pPr>
              <w:ind w:left="360"/>
              <w:spacing w:after="0"/>
              <w:rPr>
                <w:sz w:val="20"/>
                <w:szCs w:val="20"/>
                <w:color w:val="auto"/>
              </w:rPr>
            </w:pPr>
            <w:r>
              <w:rPr>
                <w:rFonts w:ascii="Arial" w:cs="Arial" w:eastAsia="Arial" w:hAnsi="Arial"/>
                <w:sz w:val="18"/>
                <w:szCs w:val="18"/>
                <w:color w:val="auto"/>
              </w:rPr>
              <w:t>arrangements will be made for you to do so.</w:t>
            </w:r>
          </w:p>
        </w:tc>
      </w:tr>
      <w:tr>
        <w:trPr>
          <w:trHeight w:val="432"/>
        </w:trPr>
        <w:tc>
          <w:tcPr>
            <w:tcW w:w="2400" w:type="dxa"/>
            <w:vAlign w:val="bottom"/>
          </w:tcPr>
          <w:p>
            <w:pPr>
              <w:spacing w:after="0"/>
              <w:rPr>
                <w:sz w:val="24"/>
                <w:szCs w:val="24"/>
                <w:color w:val="auto"/>
              </w:rPr>
            </w:pPr>
          </w:p>
        </w:tc>
        <w:tc>
          <w:tcPr>
            <w:tcW w:w="9020" w:type="dxa"/>
            <w:vAlign w:val="bottom"/>
          </w:tcPr>
          <w:p>
            <w:pPr>
              <w:ind w:left="1300"/>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2400" w:type="dxa"/>
            <w:vAlign w:val="bottom"/>
          </w:tcPr>
          <w:p>
            <w:pPr>
              <w:spacing w:after="0"/>
              <w:rPr>
                <w:sz w:val="24"/>
                <w:szCs w:val="24"/>
                <w:color w:val="auto"/>
              </w:rPr>
            </w:pPr>
          </w:p>
        </w:tc>
        <w:tc>
          <w:tcPr>
            <w:tcW w:w="9020" w:type="dxa"/>
            <w:vAlign w:val="bottom"/>
          </w:tcPr>
          <w:p>
            <w:pPr>
              <w:ind w:left="1300"/>
              <w:spacing w:after="0"/>
              <w:rPr>
                <w:sz w:val="20"/>
                <w:szCs w:val="20"/>
                <w:color w:val="auto"/>
              </w:rPr>
            </w:pPr>
            <w:r>
              <w:rPr>
                <w:rFonts w:ascii="Arial" w:cs="Arial" w:eastAsia="Arial" w:hAnsi="Arial"/>
                <w:sz w:val="18"/>
                <w:szCs w:val="18"/>
                <w:color w:val="auto"/>
              </w:rPr>
              <w:t>/s/ Richard D. Gorelick</w:t>
            </w:r>
          </w:p>
        </w:tc>
      </w:tr>
      <w:tr>
        <w:trPr>
          <w:trHeight w:val="418"/>
        </w:trPr>
        <w:tc>
          <w:tcPr>
            <w:tcW w:w="2400" w:type="dxa"/>
            <w:vAlign w:val="bottom"/>
          </w:tcPr>
          <w:p>
            <w:pPr>
              <w:ind w:left="340"/>
              <w:spacing w:after="0"/>
              <w:rPr>
                <w:sz w:val="20"/>
                <w:szCs w:val="20"/>
                <w:color w:val="auto"/>
              </w:rPr>
            </w:pPr>
            <w:r>
              <w:rPr>
                <w:rFonts w:ascii="Arial" w:cs="Arial" w:eastAsia="Arial" w:hAnsi="Arial"/>
                <w:sz w:val="18"/>
                <w:szCs w:val="18"/>
                <w:color w:val="auto"/>
              </w:rPr>
              <w:t>Plainsboro, New Jersey</w:t>
            </w:r>
          </w:p>
        </w:tc>
        <w:tc>
          <w:tcPr>
            <w:tcW w:w="9020" w:type="dxa"/>
            <w:vAlign w:val="bottom"/>
          </w:tcPr>
          <w:p>
            <w:pPr>
              <w:ind w:left="1300"/>
              <w:spacing w:after="0"/>
              <w:rPr>
                <w:sz w:val="20"/>
                <w:szCs w:val="20"/>
                <w:color w:val="auto"/>
              </w:rPr>
            </w:pPr>
            <w:r>
              <w:rPr>
                <w:rFonts w:ascii="Arial" w:cs="Arial" w:eastAsia="Arial" w:hAnsi="Arial"/>
                <w:sz w:val="18"/>
                <w:szCs w:val="18"/>
                <w:color w:val="auto"/>
              </w:rPr>
              <w:t>Richard D. Gorelick</w:t>
            </w:r>
          </w:p>
        </w:tc>
      </w:tr>
      <w:tr>
        <w:trPr>
          <w:trHeight w:val="230"/>
        </w:trPr>
        <w:tc>
          <w:tcPr>
            <w:tcW w:w="2400" w:type="dxa"/>
            <w:vAlign w:val="bottom"/>
          </w:tcPr>
          <w:p>
            <w:pPr>
              <w:ind w:left="340"/>
              <w:spacing w:after="0"/>
              <w:rPr>
                <w:sz w:val="20"/>
                <w:szCs w:val="20"/>
                <w:color w:val="auto"/>
              </w:rPr>
            </w:pPr>
            <w:r>
              <w:rPr>
                <w:rFonts w:ascii="Arial" w:cs="Arial" w:eastAsia="Arial" w:hAnsi="Arial"/>
                <w:sz w:val="18"/>
                <w:szCs w:val="18"/>
                <w:color w:val="auto"/>
              </w:rPr>
              <w:t>April 16, 2007</w:t>
            </w:r>
          </w:p>
        </w:tc>
        <w:tc>
          <w:tcPr>
            <w:tcW w:w="9020" w:type="dxa"/>
            <w:vAlign w:val="bottom"/>
          </w:tcPr>
          <w:p>
            <w:pPr>
              <w:ind w:left="1300"/>
              <w:spacing w:after="0"/>
              <w:rPr>
                <w:sz w:val="20"/>
                <w:szCs w:val="20"/>
                <w:color w:val="auto"/>
              </w:rPr>
            </w:pPr>
            <w:r>
              <w:rPr>
                <w:rFonts w:ascii="Arial" w:cs="Arial" w:eastAsia="Arial" w:hAnsi="Arial"/>
                <w:sz w:val="18"/>
                <w:szCs w:val="18"/>
                <w:i w:val="1"/>
                <w:iCs w:val="1"/>
                <w:color w:val="auto"/>
              </w:rPr>
              <w:t>Senior Vice President, General Counsel and Secretary</w:t>
            </w:r>
          </w:p>
        </w:tc>
      </w:tr>
      <w:tr>
        <w:trPr>
          <w:trHeight w:val="1023"/>
        </w:trPr>
        <w:tc>
          <w:tcPr>
            <w:tcW w:w="240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ind w:left="322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PURPOSE OF MEETING</w:t>
        </w:r>
      </w:hyperlink>
    </w:p>
    <w:p>
      <w:pPr>
        <w:spacing w:after="0" w:line="23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RECORD DATE</w:t>
        </w:r>
      </w:hyperlink>
    </w:p>
    <w:p>
      <w:pPr>
        <w:spacing w:after="0" w:line="23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VOTING AND REVOCABILITY OF PROXIES</w:t>
        </w:r>
      </w:hyperlink>
    </w:p>
    <w:p>
      <w:pPr>
        <w:spacing w:after="0" w:line="233"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PROPOSAL 1. ELECTION OF DIRECTORS</w:t>
        </w:r>
      </w:hyperlink>
    </w:p>
    <w:p>
      <w:pPr>
        <w:spacing w:after="0" w:line="233"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INFORMATION CONCERNING MEETINGS AND CERTAIN COMMITTEES</w:t>
        </w:r>
      </w:hyperlink>
    </w:p>
    <w:p>
      <w:pPr>
        <w:spacing w:after="0" w:line="233" w:lineRule="exact"/>
        <w:rPr>
          <w:sz w:val="20"/>
          <w:szCs w:val="20"/>
          <w:color w:val="auto"/>
        </w:rPr>
      </w:pPr>
    </w:p>
    <w:p>
      <w:pPr>
        <w:ind w:right="679"/>
        <w:spacing w:after="0" w:line="25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DIRECTOR ATTENDANCE AT ANNUAL MEETINGS; SHAREHOLDER COMMUNICATIONS</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WITH DIRECTORS</w:t>
        </w:r>
      </w:hyperlink>
    </w:p>
    <w:p>
      <w:pPr>
        <w:spacing w:after="0" w:line="200" w:lineRule="exact"/>
        <w:rPr>
          <w:sz w:val="20"/>
          <w:szCs w:val="20"/>
          <w:color w:val="auto"/>
        </w:rPr>
      </w:pPr>
    </w:p>
    <w:p>
      <w:pPr>
        <w:ind w:right="999"/>
        <w:spacing w:after="0" w:line="25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PROPOSAL 2. RATIFICATION OF INDEPENDENT REGISTERED PUBLIC ACCOUNTING</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FIRM</w:t>
        </w:r>
      </w:hyperlink>
    </w:p>
    <w:p>
      <w:pPr>
        <w:spacing w:after="0" w:line="200" w:lineRule="exact"/>
        <w:rPr>
          <w:sz w:val="20"/>
          <w:szCs w:val="20"/>
          <w:color w:val="auto"/>
        </w:rPr>
      </w:pPr>
    </w:p>
    <w:p>
      <w:pPr>
        <w:spacing w:after="0"/>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EXECUTIVE COMPENSATION</w:t>
        </w:r>
      </w:hyperlink>
    </w:p>
    <w:p>
      <w:pPr>
        <w:spacing w:after="0" w:line="233" w:lineRule="exact"/>
        <w:rPr>
          <w:sz w:val="20"/>
          <w:szCs w:val="20"/>
          <w:color w:val="auto"/>
        </w:rPr>
      </w:pPr>
    </w:p>
    <w:p>
      <w:pPr>
        <w:spacing w:after="0"/>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EQUITY COMPENSATION PLAN INFORMATION</w:t>
        </w:r>
      </w:hyperlink>
    </w:p>
    <w:p>
      <w:pPr>
        <w:spacing w:after="0" w:line="233" w:lineRule="exact"/>
        <w:rPr>
          <w:sz w:val="20"/>
          <w:szCs w:val="20"/>
          <w:color w:val="auto"/>
        </w:rPr>
      </w:pPr>
    </w:p>
    <w:p>
      <w:pPr>
        <w:ind w:right="1959"/>
        <w:spacing w:after="0" w:line="46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COMPENSATION COMMITTEE INTERLOCKS AND INSIDER PARTICIPATION</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CERTAIN RELATIONSHIPS AND RELATED TRANSACTIONS</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AUDIT COMMITTEE REPORT</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PRINCIPAL STOCKHOLDERS</w:t>
        </w:r>
      </w:hyperlink>
    </w:p>
    <w:p>
      <w:pPr>
        <w:spacing w:after="0" w:line="233"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SECTION 16(a) BENEFICIAL OWNERSHIP REPORTING COMPLIANCE</w:t>
        </w:r>
      </w:hyperlink>
    </w:p>
    <w:p>
      <w:pPr>
        <w:spacing w:after="0" w:line="233"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STOCKHOLDER PROPOSALS</w:t>
        </w:r>
      </w:hyperlink>
    </w:p>
    <w:p>
      <w:pPr>
        <w:spacing w:after="0" w:line="233"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48">
        <w:r>
          <w:rPr>
            <w:rFonts w:ascii="Arial" w:cs="Arial" w:eastAsia="Arial" w:hAnsi="Arial"/>
            <w:sz w:val="22"/>
            <w:szCs w:val="22"/>
            <w:u w:val="single" w:color="auto"/>
            <w:color w:val="0000EE"/>
          </w:rPr>
          <w:t>OTHER MATTERS</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-311150</wp:posOffset>
            </wp:positionH>
            <wp:positionV relativeFrom="paragraph">
              <wp:posOffset>297180</wp:posOffset>
            </wp:positionV>
            <wp:extent cx="617855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8550" cy="21590"/>
                    </a:xfrm>
                    <a:prstGeom prst="rect">
                      <a:avLst/>
                    </a:prstGeom>
                    <a:noFill/>
                  </pic:spPr>
                </pic:pic>
              </a:graphicData>
            </a:graphic>
          </wp:anchor>
        </w:drawing>
      </w:r>
    </w:p>
    <w:p>
      <w:pPr>
        <w:sectPr>
          <w:pgSz w:w="11900" w:h="16838" w:orient="portrait"/>
          <w:cols w:equalWidth="0" w:num="1">
            <w:col w:w="9399"/>
          </w:cols>
          <w:pgMar w:left="106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311 ENTERPRISE DRIVE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16122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85725</wp:posOffset>
            </wp:positionV>
            <wp:extent cx="16122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MAY 17,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MEETING</w:t>
      </w:r>
    </w:p>
    <w:p>
      <w:pPr>
        <w:spacing w:after="0" w:line="189"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be voted at the Company’s 2007 Annual Meeting of Stockholders (the “Meeting”) and at any adjournments or postponements thereof. The Meeting will begin at 9:00 a.m. local time on Thursday, May 17, 2007 at the Holiday Inn Hotel, 100 Independence Way, Princeton, New Jersey. We are first mailing this Proxy Statement, the Notice of Annual Meeting of Stockholders and the form of proxy to stockholders of the Company on or about April 16, 2007.</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198" w:lineRule="exact"/>
        <w:rPr>
          <w:sz w:val="20"/>
          <w:szCs w:val="20"/>
          <w:color w:val="auto"/>
        </w:rPr>
      </w:pPr>
    </w:p>
    <w:p>
      <w:pPr>
        <w:ind w:left="700" w:right="159" w:hanging="330"/>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eight directors to serve until the next annual meeting of stockholders and until their successors are duly elected and qualified (see “Proposal 1. Election of Directors”); and</w:t>
      </w:r>
    </w:p>
    <w:p>
      <w:pPr>
        <w:spacing w:after="0" w:line="170" w:lineRule="exact"/>
        <w:rPr>
          <w:rFonts w:ascii="Arial" w:cs="Arial" w:eastAsia="Arial" w:hAnsi="Arial"/>
          <w:sz w:val="18"/>
          <w:szCs w:val="18"/>
          <w:color w:val="auto"/>
        </w:rPr>
      </w:pPr>
    </w:p>
    <w:p>
      <w:pPr>
        <w:jc w:val="both"/>
        <w:ind w:left="700" w:right="159" w:hanging="330"/>
        <w:spacing w:after="0" w:line="264"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current fiscal year (see “Proposal 2. Ratification of Independent Registered Public Accounting Firm”).</w:t>
      </w:r>
    </w:p>
    <w:p>
      <w:pPr>
        <w:spacing w:after="0" w:line="141"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0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As of March 30, 2007, the record date for the Meeting, 27,320,211 shares of our common stock were outstanding. Only holders of record of our common stock as of the close of business on the record date are entitled to notice of, and to vote at, the Meeting or at any adjournment or postponement thereof.</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REVOCABILITY OF PROXIES</w:t>
      </w:r>
    </w:p>
    <w:p>
      <w:pPr>
        <w:spacing w:after="0" w:line="189"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Each share of our common stock entitles the holder of record thereof to one vote. Each stockholder may vote in person or by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626745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14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For each proposal, you may vote “FOR,” “AGAINST” or “ABSTAIN.” If you sign your proxy card or broker voting instruction card with no further instructions, your shares will be voted in accordance with the recommendations of the Board of Directors.</w:t>
      </w:r>
    </w:p>
    <w:p>
      <w:pPr>
        <w:spacing w:after="0" w:line="118"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Senior Vice President, General Counsel and Secretary. Beneficial owners of our common stock who are not holders of record and wish to revoke their proxy should contact their bank, brokerage firm or other custodian, nominee or fiduciary to inquire about how to revoke their proxy.</w:t>
      </w:r>
    </w:p>
    <w:p>
      <w:pPr>
        <w:spacing w:after="0" w:line="15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the mail, proxies may be solicited by telephone, telegraph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1. ELECTION OF DIRECTORS</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Board of Directors has nominated eight persons for election as directors whose terms will expire at the 2008 Annual Meeting of Stockholders and when their successors are elected and qualified: Thomas J. Baltimore, Jr., Keith Bradley, Ph.D., Richard E. Caruso, Ph.D., Stuart M. Essig, Neal Moszkowski, Christian S. Schade, James M. Sullivan and Anne M. VanLent, each of whom are currently directors of the Company.</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THOMAS J. BALTIMORE JR. has been a director of the Company since March 2007. He has served as President of RLJ Development, LLC, which he founded, since 2000. Prior to 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from 1988 to 1989 and from 1991 to 1993, holding various positions in the company, including Senior Director and Manager. Prior to his employment with Marriott, Mr. Baltimore was a staff auditor for Price Waterhouse. Mr. Baltimore is 43 years old.</w:t>
      </w:r>
    </w:p>
    <w:p>
      <w:pPr>
        <w:spacing w:after="0" w:line="16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KEITH BRADLEY, PH.D. has been a director of the Company since 1992. Between 1996 and 2003, he was a director of Highway Insurance plc, a London Stock Exchange corporation,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London Business Schools. Dr. Bradley has taught at the London School of Economics and was the director of the School’s Business Performance Group for more than six years. He received B.A., M.A. and Ph.D. degrees from British universities. Dr. Bradley is 62 years old.</w:t>
      </w:r>
    </w:p>
    <w:p>
      <w:pPr>
        <w:spacing w:after="0" w:line="14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RICHARD E. CARUSO, PH.D. founded the Company in 1989 and has served as the Company’s Chairman since March 1992. Dr. Caruso is currently a member of The Provco Group, a venture and real estate investment company, and an advisor to Quaker BioVentures, a medical venture capital financial investor.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63 years old.</w:t>
      </w:r>
    </w:p>
    <w:p>
      <w:pPr>
        <w:spacing w:after="0" w:line="126"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experience at Goldman Sachs serving as a senior merger and acquisitions advisor to a broad range of domestic and international medical technology, pharmaceutical and biotechnology clients. Mr. Essig</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received an A.B. degree from the Woodrow Wilson School of Public and International Affairs at Princeton University and an M.B.A. and a Ph.D. degree in Financial Economics from the University of Chicago, Graduate School of Business. Mr. Essig also serves as a director of St. Jude Medical Corporation, Zimmer Holdings, Inc. and ADVAMED, the Advanced Medical Technology Association. Mr. Essig is 45 years old.</w:t>
      </w:r>
    </w:p>
    <w:p>
      <w:pPr>
        <w:spacing w:after="0" w:line="16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NEAL MOSZKOWSKI has been a director of the Company since 2006. He previously served as a director of the Company from March 1999 to May 2005. He has been the Co-Chief Executive Officer of TowerBrook Capital Partners, LP, a private equity investment company with $2.5 billion under management, since 2005. Prior to joining TowerBrook, Mr. Moszkowski was Managing Director and Co-Head of Soros Private Equity, the private equity investment business of Soros Fund Management LLC, where he served since August 1998. From August 1993 to August 1998, Mr. Moszkowski worked for Goldman, Sachs &amp; Co. and affiliates, where he served as Vice President and Executive Director in the Principal Investment Area. Mr. Moszkowski also currently serves as a director of Wellcare Health Plans, Inc., Bluefly, Inc., Spheris, Inc. and JetBlue Airways Corporation. Mr. Moszkowski is 41 years old.</w:t>
      </w:r>
    </w:p>
    <w:p>
      <w:pPr>
        <w:spacing w:after="0" w:line="127"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CHRISTIAN S. SCHADE has been a director of the Company since 2006. He has been the Senior Vice President, Finance and Administration, and Chief Financial Officer of Medarex, Inc. since 2000. From 1992 to 2000, Mr. Schade was a Managing Director of Merrill Lynch &amp; Co. Mr. Schade received an A.B. degree from Princeton University and an M.B.A. degree from the Wharton School of the University of Pennsylvania. Mr. Schade is 46 years old.</w:t>
      </w:r>
    </w:p>
    <w:p>
      <w:pPr>
        <w:spacing w:after="0" w:line="146"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JAMES M. SULLIVAN has been a director of the Company since 1992. Since 1986, he has held several positions with Marriott International, Inc. (and its predecessor, Marriott Corp.), including Vice President of Mergers and Acquisitions, and his current position as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63 years old.</w:t>
      </w:r>
    </w:p>
    <w:p>
      <w:pPr>
        <w:spacing w:after="0" w:line="152"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ANNE M. VANLENT has been a director of the Company since 2004. She has been Executive Vice President and Chief Financial Officer of Barrier Therapeutics, Inc., a publicly-traded pharmaceutical company that develops and markets prescription dermatology products, since May 2002. Prior to joining Barrier Therapeutics, Ms. VanLent served as a principal of the Technology Compass Group, LLC, a healthcare/technology consulting firm, since she founded it in October 2001. From July 1997 to October 2001, she was the Executive Vice President—Portfolio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of Penwest Pharmaceuticals Co., a Nasdaq-listed company. Ms. VanLent received a B.A. degree in Physics from Mount Holyoke College. Ms. VanLent is 59 years old.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89"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Corporate Governance and Nominating</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Committee would then make a recommendation to the Board of Directors whether to accept or reject the resignation, or whether other action should be taken. The Board of Directors will act on the Corporate Governance and Nominating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157" w:lineRule="exact"/>
        <w:rPr>
          <w:sz w:val="20"/>
          <w:szCs w:val="20"/>
          <w:color w:val="auto"/>
        </w:rPr>
      </w:pPr>
    </w:p>
    <w:p>
      <w:pPr>
        <w:jc w:val="center"/>
        <w:ind w:left="580" w:right="120"/>
        <w:spacing w:after="0" w:line="282" w:lineRule="auto"/>
        <w:rPr>
          <w:sz w:val="20"/>
          <w:szCs w:val="20"/>
          <w:color w:val="auto"/>
        </w:rPr>
      </w:pPr>
      <w:r>
        <w:rPr>
          <w:rFonts w:ascii="Arial" w:cs="Arial" w:eastAsia="Arial" w:hAnsi="Arial"/>
          <w:sz w:val="18"/>
          <w:szCs w:val="18"/>
          <w:b w:val="1"/>
          <w:bCs w:val="1"/>
          <w:color w:val="auto"/>
        </w:rPr>
        <w:t>The Board of Directors hereby recommends that the stockholders of the Company vote “FOR” the election of each nominee for director.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INFORMATION CONCERNING MEETINGS AND CERTAIN COMMITTEES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Board of Directors held five regularly scheduled and three special meetings during 2006. The Company’s independent directors meet at least twice a year in executive session without management present. The Board of Directors has determined that all of the Company’s directors, except for Mr. Essig, are independent, as defined by the applicable Nasdaq Stock Market listing standards. In making this decision with respect to Dr. Caruso, the Board of Directors considered that the Company leases certain production equipment from an entity controlled by Dr. Caruso. In making this decision with respect to Mr. Sullivan, who serves as Executive Vice President of Lodging Development of Marriott International, Inc., the Board of Directors considered that the Company makes payments to Marriott International, Inc. and its franchisees for hotel rooms and meeting facilities.</w:t>
      </w:r>
    </w:p>
    <w:p>
      <w:pPr>
        <w:spacing w:after="0" w:line="15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8"/>
          <w:szCs w:val="18"/>
          <w:u w:val="single" w:color="auto"/>
          <w:color w:val="auto"/>
        </w:rPr>
        <w:t>www.integra-LS.com</w:t>
      </w:r>
      <w:r>
        <w:rPr>
          <w:rFonts w:ascii="Arial" w:cs="Arial" w:eastAsia="Arial" w:hAnsi="Arial"/>
          <w:sz w:val="18"/>
          <w:szCs w:val="18"/>
          <w:color w:val="auto"/>
        </w:rPr>
        <w:t xml:space="preserve"> through the “Investors Relations” link under the heading “Corporate Governance.” During 2006, each incumbent director attended in person or by conference telephone at least 75% of the total number of meetings of the Board of Directors and of each committee of the Board of Directors on which he or she served.</w:t>
      </w:r>
    </w:p>
    <w:p>
      <w:pPr>
        <w:spacing w:after="0" w:line="14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Audit Committee is comprised of Ms. VanLent (chair), Mr. Schade and Mr. Sullivan, and it met eight</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2006.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Ms. VanLent, Mr. Schade and Mr. Sullivan are “audit committee financial experts,” as defined under Item 407(d) of Regulation S-K, and that each of them are “financially sophisticated” in accordance with Nasdaq Stock Market listing standards.</w:t>
      </w:r>
    </w:p>
    <w:p>
      <w:pPr>
        <w:spacing w:after="0" w:line="137"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Nominating and Corporate Governance Committee is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Dr. Caruso (chair), Dr. Bradley and Mr. Sullivan, and it met four times in 2006.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marketing, finance and other elements relevant to the success of a publicly-traded company in today’s business environment, experience in the Company’s industry and with relevant social policy concerns, experience as a board member of another publicly held company, academic expertise in an area of the Company’s operations, and practical and mature business judgment, including the ability to make independent analytical inquiries. The Nominating and Corporate Governance Committee applies the same criteria to nominees recommended by stockholders that it does to other new nominees.</w:t>
      </w:r>
    </w:p>
    <w:p>
      <w:pPr>
        <w:spacing w:after="0" w:line="14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Mr. Moszkowski’s nomination for election to the Board of Directors was recommended by Mr. Essig. Mr. Baltimore’s nomination for election to the Board of Directors was recommended by Mr. Essig and Mr. Sullivan.</w:t>
      </w:r>
    </w:p>
    <w:p>
      <w:pPr>
        <w:spacing w:after="0" w:line="13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Nominating and Corporate Governance Committee will consider stockholder nominated candidates for director provided that the nominating stockholder identifies the candidate’s principal occupation or employment, the number of shares of the Company’s common stock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w:t>
      </w:r>
    </w:p>
    <w:p>
      <w:pPr>
        <w:spacing w:after="0" w:line="13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A stockholder’s recommendation must also set forth the name and address, as they appear on the Company’s books, of the stockholder making such recommendation, the class and number of shares of the Company’s common stock beneficially owned by the stockholder and the date the stockholder acquired such shares, any material interest of the stockholder in such nomination, any other information that is required to be provided by the stockholder pursuant to Regulation 14A under the Exchange Act,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and Secretary.</w:t>
      </w:r>
    </w:p>
    <w:p>
      <w:pPr>
        <w:spacing w:after="0" w:line="139"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is currently comprised of Dr. Bradley (chair), Mr. Moszkowski and</w:t>
      </w:r>
      <w:r>
        <w:rPr>
          <w:rFonts w:ascii="Arial" w:cs="Arial" w:eastAsia="Arial" w:hAnsi="Arial"/>
          <w:sz w:val="16"/>
          <w:szCs w:val="16"/>
          <w:i w:val="1"/>
          <w:iCs w:val="1"/>
          <w:color w:val="auto"/>
        </w:rPr>
        <w:t xml:space="preserve"> </w:t>
      </w:r>
      <w:r>
        <w:rPr>
          <w:rFonts w:ascii="Arial" w:cs="Arial" w:eastAsia="Arial" w:hAnsi="Arial"/>
          <w:sz w:val="16"/>
          <w:szCs w:val="16"/>
          <w:color w:val="auto"/>
        </w:rPr>
        <w:t>Mr. Schade, and it met eight times in 2006. The Compensation Committee makes decisions concerning salaries and incentive compensation, including the issuance of stock options and other equity awards, for employees and consultants of the Company. The Compensation Committee also administers the Company’s 2000, 2001 and 2003 Equity Incentive Plans, the Company’s 1998 and 1999 Stock Option Plans, the Company’s 1993 and 1996 Incentive Stock Option and Non-Qualified Stock Option Plans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12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Compensation Committee may delegate any or all of its responsibilities, except that it shall not delegate its responsibilities regarding (i) the annual review and approval of all elements of</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161"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Compensation Committee has delegated authority for making equity awards to employees under the Approved Plans to a Special Award Committee, consisting of Mr. Essig. The authority to grant equity to executive officers, employees who are, or could be, a “covered employee” within the meaning of Section 162(m) of the Code or employees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17, 2006.</w:t>
      </w:r>
    </w:p>
    <w:p>
      <w:pPr>
        <w:spacing w:after="0" w:line="13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Company’s President and Chief Executive Officer provides significant input on the compensation, including annual merit adjustments and equity awards, of his direct reports and the other executive officers. As discussed below in “Executive Compensation</w:t>
      </w:r>
    </w:p>
    <w:p>
      <w:pPr>
        <w:ind w:left="340" w:right="179"/>
        <w:spacing w:after="0" w:line="290" w:lineRule="auto"/>
        <w:rPr>
          <w:sz w:val="20"/>
          <w:szCs w:val="20"/>
          <w:color w:val="auto"/>
        </w:rPr>
      </w:pPr>
      <w:r>
        <w:rPr>
          <w:rFonts w:ascii="Arial" w:cs="Arial" w:eastAsia="Arial" w:hAnsi="Arial"/>
          <w:sz w:val="17"/>
          <w:szCs w:val="17"/>
          <w:color w:val="auto"/>
        </w:rPr>
        <w:t>— Compensation Disclosure and Analysis — Annual Review of Compensation,” the Compensation Committee approves the compensation of these officers, taking into consideration the recommendations of the President and Chief Executive Officer.</w:t>
      </w:r>
    </w:p>
    <w:p>
      <w:pPr>
        <w:spacing w:after="0" w:line="12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does not regularly use compensation consultants. However, during 2006, Watson Wyatt &amp; Company served as a consultant in connection with the establishment of the Company’s management incentive compensation plan.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ATTENDANCE AT ANNUAL MEETINGS; SHAREHOLDER COMMUNICATIONS WITH DIRECTORS</w:t>
      </w:r>
    </w:p>
    <w:p>
      <w:pPr>
        <w:spacing w:after="0" w:line="18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It is our policy to encourage our directors to attend the annual meeting of stockholders. Five of our directors attended the 2006 Annual Meeting of Stockholders.</w:t>
      </w:r>
    </w:p>
    <w:p>
      <w:pPr>
        <w:spacing w:after="0" w:line="13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and Secretary.</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20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2006 and has been selected by the Audit Committee to serve in the same capacity for fiscal year 2007.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During fiscal year 2006, PricewaterhouseCoopers LLP not only provided audit services, but also rendered other services, including tax and acquisition-related due diligence services.</w:t>
      </w:r>
    </w:p>
    <w:p>
      <w:pPr>
        <w:spacing w:after="0" w:line="14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7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4"/>
                <w:szCs w:val="14"/>
                <w:color w:val="auto"/>
              </w:rPr>
              <w:t>Actual Fees (in thousands)</w:t>
            </w:r>
          </w:p>
        </w:tc>
      </w:tr>
      <w:tr>
        <w:trPr>
          <w:trHeight w:val="142"/>
        </w:trPr>
        <w:tc>
          <w:tcPr>
            <w:tcW w:w="7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color w:val="auto"/>
              </w:rPr>
              <w:t>2006</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2005</w:t>
            </w:r>
          </w:p>
        </w:tc>
        <w:tc>
          <w:tcPr>
            <w:tcW w:w="120" w:type="dxa"/>
            <w:vAlign w:val="bottom"/>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16"/>
        </w:trPr>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Audit and Audit-Related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Tax Fees</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r>
      <w:tr>
        <w:trPr>
          <w:trHeight w:val="27"/>
        </w:trPr>
        <w:tc>
          <w:tcPr>
            <w:tcW w:w="7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2,107</w:t>
            </w:r>
          </w:p>
        </w:tc>
      </w:tr>
    </w:tbl>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185"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i w:val="1"/>
          <w:iCs w:val="1"/>
          <w:color w:val="auto"/>
        </w:rPr>
        <w:t xml:space="preserve">Audit Fees — </w:t>
      </w:r>
      <w:r>
        <w:rPr>
          <w:rFonts w:ascii="Arial" w:cs="Arial" w:eastAsia="Arial" w:hAnsi="Arial"/>
          <w:sz w:val="17"/>
          <w:szCs w:val="17"/>
          <w:color w:val="auto"/>
        </w:rPr>
        <w:t>Consists of professional services rendered for the integrated audit of the consolidated financial statements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management’s assessment of internal control over financial reporting, quarterly reviews, statutory audits, consents, and assistance with and review of documents filed with the Securities and Exchange Commission.</w:t>
      </w:r>
    </w:p>
    <w:p>
      <w:pPr>
        <w:spacing w:after="0" w:line="139"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 Consists of services related to an employee benefits plan audit, financial due diligence and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consultations in connection with proposed acquisitions and consultations concerning financial accounting and reporting standards.</w:t>
      </w:r>
    </w:p>
    <w:p>
      <w:pPr>
        <w:spacing w:after="0" w:line="8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Consists of tax compliance (review and preparation of corporate tax returns, assistance with tax audits, review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treatment for certain expenses, extra-territorial income analysis, transfer pricing documentation for compliance purposes and tax due diligence relating to acquisitions) and state and local tax planning and consultations with respect to various domestic and international tax planning matters.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other fees were incurred to PricewaterhouseCoopers LLP during 2005 or 2006.</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fees described above were approved by the Audit Committee.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154"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Management submits requests for approval in writing to the Audit Committee, which meets to discuss such requests and to approve or decline to approve the requests. Audit Committee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12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 Audit Committee pre-approval of non-audit services (other than review and attest services) also will not be required if such services fall within available exceptions established by the Securities and Exchange Commission.</w:t>
      </w:r>
    </w:p>
    <w:p>
      <w:pPr>
        <w:spacing w:after="0" w:line="15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143"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current fiscal year. Abstentions will not be voted and will have the effect of a vote against this proposal. Broker non-votes will not be counted in determining the number of shares necessary for approval and will have no effect on the outcome of this proposal.</w:t>
      </w:r>
    </w:p>
    <w:p>
      <w:pPr>
        <w:spacing w:after="0" w:line="157" w:lineRule="exact"/>
        <w:rPr>
          <w:sz w:val="20"/>
          <w:szCs w:val="20"/>
          <w:color w:val="auto"/>
        </w:rPr>
      </w:pPr>
    </w:p>
    <w:p>
      <w:pPr>
        <w:jc w:val="center"/>
        <w:ind w:left="580" w:right="1060"/>
        <w:spacing w:after="0" w:line="258" w:lineRule="auto"/>
        <w:rPr>
          <w:sz w:val="20"/>
          <w:szCs w:val="20"/>
          <w:color w:val="auto"/>
        </w:rPr>
      </w:pPr>
      <w:r>
        <w:rPr>
          <w:rFonts w:ascii="Arial" w:cs="Arial" w:eastAsia="Arial" w:hAnsi="Arial"/>
          <w:sz w:val="18"/>
          <w:szCs w:val="18"/>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2007.</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Compensation Disclosure and Analysis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This discussion supplements the more detailed information concerning executive compensation in the tables and narrative discussion that follow. We aim to provide a better understanding of our executive compensation practices and the decisions we made concerning the compensation payable to our executive officers for 2006, including the executives officers named in the Summary Compensation Table (the “named executive officers”) that appears in this Proxy Statement.</w:t>
      </w:r>
    </w:p>
    <w:p>
      <w:pPr>
        <w:spacing w:after="0" w:line="14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Compensation Committee of our Board of Directors plays a key role in designing and administering our executive compensation program. All principal elements of compensation paid to our executive officers are subject to the Compensation Committee’s approval. The report of the committee appears following this section.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Philosophy</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We have designed our executive compensation program to attract, retain and motivate highly qualified executives and to align their interests with the interests of our stockholders. 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and includes major compensation components that are linked to increases in recognized measures of stockholder value. Our use of equity-based awards that vest over time also encourages our talented executives to remain in our employ. Executive officers are required to enter into non-competition or other restrictive covenants with us, a practice that we believe limits the possibility of losing them to our closest competitors. We also encourage executives to act as equity owners through the stock ownership guidelines described later in this discussion.</w:t>
      </w:r>
    </w:p>
    <w:p>
      <w:pPr>
        <w:spacing w:after="0" w:line="13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 the last two years, we have taken the following actions with respect to compensation arrangements, including those with named executive officers:</w:t>
      </w:r>
    </w:p>
    <w:p>
      <w:pPr>
        <w:spacing w:after="0" w:line="130" w:lineRule="exact"/>
        <w:rPr>
          <w:sz w:val="20"/>
          <w:szCs w:val="20"/>
          <w:color w:val="auto"/>
        </w:rPr>
      </w:pPr>
    </w:p>
    <w:p>
      <w:pPr>
        <w:ind w:left="1080" w:right="17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Adopting a management incentive compensation plan to provide for annual cash incentive awards if certain performance goals are met;</w:t>
      </w:r>
    </w:p>
    <w:p>
      <w:pPr>
        <w:spacing w:after="0" w:line="170"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Entering into employment agreements with Executive Vice Presidents that provide for target cash bonus payments to be paid, based upon the satisfaction of certain performance objectives;</w:t>
      </w:r>
    </w:p>
    <w:p>
      <w:pPr>
        <w:spacing w:after="0" w:line="170"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Moving from granting stock options with vesting over time to granting restricted stock and performance stock with “cliff vesting”; and</w:t>
      </w:r>
    </w:p>
    <w:p>
      <w:pPr>
        <w:spacing w:after="0" w:line="170"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Amending the employment agreement with our President and Chief Executive Officer to provide “change-in-control” protections.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discussed below, we believe that the above actions support our compensation objectives.</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Role of Executive Officers in Compensation Process</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Our President and Chief Executive Officer provides significant input on the compensation, including annual merit adjustments and equity awards, of his direct reports and the other named executive officers. As discussed below under “—Annual Review of Compensation,” the Compensation Committee approves the compensation of these officers, taking into consideration the recommendations of our President and Chief Executive Officer.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Consultants</w:t>
      </w:r>
    </w:p>
    <w:p>
      <w:pPr>
        <w:spacing w:after="0" w:line="18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We do not regularly use compensation consultants. However, during 2006 Watson Wyatt &amp; Company served as a consultant in connection with the establishment of our management incentive compensation plan.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Benchmarking</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Our Compensation Committee considers the compensation practices of other companies in our industry. This consideration generally occurs in connection with our entering into employment or severance agreements with executive officers, rather than on an annual basis. Over the past several years, the list of these companies has included Advanced Medical Optics, Inc., Advanced Neuromodulation Systems, ArthroCare Corporation, Biosite Incorporated, Bio-Rad Laboratories, ConMed Corporation, CooperVision, Inc., Cyberonics, Inc., Cytyc Corporation, Dade Behring, Inc., Edwards Lifesciences Corporation, Haemonetics Corporation, Hologic, Inc., Inamed Corporation, Intermagnetics General Corporation, Medicis Pharmaceutical Corporation, Mentor Corporation, PolyMedica Corporation, PSS World Medical, Inc., Respironics, Inc., Viasys Healthcare, Inc. and Steris Corporation. We do not target our executives’ base salaries at a specific percentile of market salaries.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Elements of Compensation</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There are three major elements of our executive compensation program: base salary, annual cash incentives in the form of bonus and/or incentive compensation plan payments and long-term equity-based incentives in the form of stock options, restricted stock, performance stock and other forms of equity. The Compensation Committee reviews these elements of compensation on an annual basis.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Base Salaries</w:t>
      </w:r>
    </w:p>
    <w:p>
      <w:pPr>
        <w:spacing w:after="0" w:line="18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We use base salary as a recruiting and retention tool, and to recognize individual performance and responsibility through merit and promotional increases. Historically, we typically paid base salaries of executives at below the 50th percentile of salaries for comparable positions or responsibilities at other medical device companies, based on the data obtained from the published salary survey sources and these companies’ proxy statements. This decision was based, in part, upon the size of company, our historical lack of cash and our desire to use our available cash for acquisitions. In addition, we wanted to link managerial compensation to our stock performance and, as a growing company, to attract people with an entrepreneurial spirit and a long-term objective. However, we have consciously moved our compensation program towards a greater percentage of cash compensation to become more competitive with larger companies and companies in our geographic region. The Compensation Committee reviews base salaries annually, but it does not automatically increase them if the Compensation Committee believes that other elements of compensation are more appropriate in light of our stated objectives. We consider market factors, individual performance, responsibilities and experience when considering merit or promotion-related increases.</w:t>
      </w: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Because our company has grown and become recognized as a market leader, we need to pay competitively to retain our top executives and attract new ones. Accordingly, we have determined that we need to provide a greater percentage of cash compensation. To move our compensation program towards providing a greater percentage of cash compensation, in 2006 we introduced cash bonuses and adopted the Integra LifeSciences Holdings Corporation Management Incentive Compensation Plan (the “MICP”). These forms of compensation create annual incentive opportunities tied to objectives that are designed to help us achieve our short-term plans to grow the business and increase stockholder value.</w:t>
      </w:r>
    </w:p>
    <w:p>
      <w:pPr>
        <w:spacing w:after="0" w:line="13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i w:val="1"/>
          <w:iCs w:val="1"/>
          <w:color w:val="auto"/>
        </w:rPr>
        <w:t>Cash Bonuses</w:t>
      </w:r>
      <w:r>
        <w:rPr>
          <w:rFonts w:ascii="Arial" w:cs="Arial" w:eastAsia="Arial" w:hAnsi="Arial"/>
          <w:sz w:val="17"/>
          <w:szCs w:val="17"/>
          <w:color w:val="auto"/>
        </w:rPr>
        <w:t>. A target bonus accomplishes the goal of creating annual incentives, and we believe that this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is comparable to what other companies offer. The employment agreements that we entered into with our President and Chief Executive Officer (Mr. Essig), our Executive Vice Presidents (Ms. Bellantoni, Mr. Carlozzi and Mr. Henneman) and our former Senior Vice President, Finance (Mr. Holtz) provide (or, in the case of Mr. Holtz, provided) for annual cash bonuses equal to a targeted percentage of base salary. The targeted amounts are 100% for Mr. Essig, 40% for our Executive Vice Presidents and 30% for Mr. Holtz. As discussed below under "—Annual Review of Compensation,” the amount of the bonus that we will pay is based upon the satisfaction of performance objectives and is determined by the Compensation Committee, in its sole discretion. As discussed below, prior to 2006 Mr. Essig waived his right to receive an annual cash bonus.</w:t>
      </w:r>
    </w:p>
    <w:p>
      <w:pPr>
        <w:spacing w:after="0" w:line="13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Our President and Chief Executive Officer and our Executive Vice Presidents do not participate in the MICP because their employment agreements, which were all entered into prior to the adoption of the MICP, provide for targeted cash bonuses. We believe that paying these executive officers a targeted bonus based on qualitative objectives, as opposed to quantitative measures under the MICP, allows the Compensation Committee to have flexibility to judge the performance of these officers on a number of factors, such as leadership, the accomplishment of goals that were set during the year after the MICP performance goals are set and compliance.</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Management Incentive Compensation Plan</w:t>
      </w:r>
      <w:r>
        <w:rPr>
          <w:rFonts w:ascii="Arial" w:cs="Arial" w:eastAsia="Arial" w:hAnsi="Arial"/>
          <w:sz w:val="18"/>
          <w:szCs w:val="18"/>
          <w:color w:val="auto"/>
        </w:rPr>
        <w:t>. In August 2006, we adopted the MICP. The purpose of the MICP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to key employees below the level of Executive Vice President by rewarding the achievement of corporate goals and specifically measured individual goals which are consistent with and support our overall corporate goals. Under the MICP, these key employees are eligible for an annual cash incentive award.</w:t>
      </w:r>
    </w:p>
    <w:p>
      <w:pPr>
        <w:spacing w:after="0" w:line="14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Compensation Committee is charged with establishing the performance goals in making award opportunities to executive officers under the MICP. The Compensation Committee is responsible for establishing these performance goals and the amount of the target awards prior to the beginning of each year after a review of the factors it believes will be most important to our business over the coming year. The target award will be equal to a percentage of the officer’s base salary. The amount of the awards to be paid is conditioned upon our achievement of those targets. We may not make any payments if we fail to achieve a performance level of at least 90% of the target performance goal. We may increase the award by as much as 50% above the target award upon the approval of the Compensation Committee or, in the case of employees who are not executive officers, the MICP administrator (our Senior Vice President, Human Resources) based on the extent to which the level of achievement of the performance goals exceeds the target level for that performance period.</w:t>
      </w:r>
    </w:p>
    <w:p>
      <w:pPr>
        <w:spacing w:after="0" w:line="141"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MICP allows the Compensation Committee or the MICP administrator to select EBITDA and/or sales as the performance measures. In addition, performance measures may relate to the participant’s attainment of other performance goals that are specified for such participant and may be weighted as to corporate and individual goals. However, we have not yet used individual performance goals under the MICP for our executive officers. Target performance goals are set at levels that are</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achievable in the opinion of the Compensation Committee, but at levels high enough so that the achievement of these levels would benefit the Company. For the second half of 2006, the first performance period in which the MICP was in effect, the performance measure was adjusted EBITDA (defined as net income before interest, taxes, depreciation and amortization, as adjusted, in the discretion of the Compensation Committee, to account for any items that do not reflect our core operating performance).</w:t>
      </w:r>
    </w:p>
    <w:p>
      <w:pPr>
        <w:spacing w:after="0" w:line="12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Employees who participate in the MICP are entitled to receive cash bonuses in addition to their MICP payments. These additional bonuses are, however, reserved for extraordinary performance and may be granted in the sole discretion of the President and Chief Executive Officer, except that all such awards to executive officers require approval of the Compensation Committee. There is no limit on the amount of such bonuses. The amount of MICP payments that these employees receive is taken into account in determining these bonus payments. For 2006, no executive officer who participated in the MICP received a non-MICP bonus in excess of $3,000.</w:t>
      </w:r>
    </w:p>
    <w:p>
      <w:pPr>
        <w:spacing w:after="0" w:line="15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Long-Term Equity-Based Incentives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We use stock options, restricted stock, performance stock and other equity equivalents to provide long-term incentives. These awards help us retain executives and align their interests with stockholders by setting multi-year vesting requirements and subjecting a significant portion of the compensation value to increases in the value of our stock. Existing ownership levels are not a factor in award determination because we do not want to discourage executives and other employees from holding significant amounts of our stock if they so choose.</w:t>
      </w:r>
    </w:p>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We grant equity to employees in three situations: (1) upon their hiring or entering into new employment agreements, (2) in connection with annual performance reviews (as compensation for the year for which performance is reviewed) and (3) from time to time, to award employees who have accomplished projects that benefit our company.</w:t>
      </w:r>
    </w:p>
    <w:p>
      <w:pPr>
        <w:spacing w:after="0" w:line="141"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With one exception, we have historically used stock options with six-year terms that vested over a period of four years to provide incentives to members of management. Under the terms of Mr. Essig’s employment agreements, we have granted restricted units to Mr. Essig at the time he entered into new employment agreements and have made annual stock option grants with 10-year terms to him. In 2005 we began granting restricted stock with a three-year “cliff” vesting in addition to options, and in 2006, we ceased granting options, except for Mr. Essig’s annual option grant (which is required under his employment agreement) and for compensation of our Board of Directors. The three-year cliff vesting provides that no shares shall vest until the third anniversary of the grant, at which time all shares will vest. Restricted stock ties the value of employees’ equity compensation to our long-term performance. By granting restricted stock instead of stock options we are able to issue less equity and conserve the amount of equity available under our equity incentive plans. In addition, stock options no longer receive favorable accounting treatment. Thus, we lost the benefit that stock options previously provided. Finally, the three-year cliff vesting provides an effective retention tool.</w:t>
      </w:r>
    </w:p>
    <w:p>
      <w:pPr>
        <w:spacing w:after="0" w:line="12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2006, we granted performance stock to our Executive Vice Presidents in connection with entering into employment agreements with them. In April 2007, we granted performance stock to two of these officers in connection with the equity grants relating to their 2006 performance. The decision to grant performance stock was based on the reasons described above relating to the use of restricted stock, as well to provide for a minimum baseline level of performance and to satisfy the requirements of performance-based compensation under Section 162(m) of the Internal Revenue Code.</w:t>
      </w:r>
    </w:p>
    <w:p>
      <w:pPr>
        <w:spacing w:after="0" w:line="16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Shares of restricted stock generally vest on the third anniversary of the date of grant, subject to continued employment. If the performance condition is met, shares of our outstanding performance stock are deliverable on the third anniversary of the date of grant, subject to continued employment. The</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performance condition used for our outstanding performance stock is that our revenues during any year of the three-year performance period exceed revenues during the year prior to the performance period.</w:t>
      </w:r>
    </w:p>
    <w:p>
      <w:pPr>
        <w:spacing w:after="0" w:line="14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Compensation Committee has delegated authority for making equity awards to employees under our equity plans to a Special Award Committee, consisting of Mr. Essig. The authority to grant equity to executive officers, employees who are, or could be, a “covered employee” within the meaning of Section 162(m) of the Internal Revenue Code, or persons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during the year.</w:t>
      </w:r>
    </w:p>
    <w:p>
      <w:pPr>
        <w:spacing w:after="0" w:line="15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We require all executive officers and substantially all U.S.-based employees to sign a non-competition agreement, or an employment or severance agreement with non-competition provisions, as a condition of receiving an equity award.</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Perquisites</w:t>
      </w:r>
    </w:p>
    <w:p>
      <w:pPr>
        <w:spacing w:after="0" w:line="19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We provide our executive officers with very few perquisites and other benefits not generally available to other employees. We have provided relocation assistance, including reimbursement of temporary housing and moving expenses, for certain executive officers upon their hiring. We also provide management-level employees with a corporate credit card not available to all employees and provide Mr. Essig with an annual medical examination and an airport club membership.</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Annual Review of Compensation</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We make the key decisions regarding executive officer compensation (salary increases, equity grants and, beginning with fiscal 2006, bonus and MICP payments) in connection with our annual performance review process. The decisions regarding Mr. Essig’s compensation generally occur at the Compensation Committee meeting held each December. For fiscal 2006, we completed our review process for other executive officers in March 2007. We anticipate that we will adhere to a similar timetable for annual reviews in future years. Because we consider annual equity grants as compensation for the officer’s performance after the conclusion of the year being reviewed, we will not make grants to officers other than Mr. Essig until the following year. Thus, such grants will not appear in the Summary Compensation Table for the year in which cash compensation is reported.</w:t>
      </w:r>
    </w:p>
    <w:p>
      <w:pPr>
        <w:spacing w:after="0" w:line="15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Each year, Mr. Essig provides a list of performance objectives to the Board of Directors. These objectives cover financial and organization matters. The financial measures include revenue, gross margin, earnings and similar metrics. At the end of each year, Mr. Essig provides a self-evaluation of his performance, which the Compensation Committee reviews and discusses with Mr. Essig to determine Mr. Essig’s annual salary increase, bonus and stock option grant. Mr. Essig’s targets and objectives are purposely set to be aggressive and ambitious. As a result, the objectives are not meant to be a “check-the-box” chart pursuant to which we will award Mr. Essig a certain percentage of his contractually obligated salary increase, equity award and bonus based upon a percentage of the objectives achieved. Rather, they are meant to guide the members of the Compensation Committee as to what compensation awards Mr. Essig has earned based upon his overall performance.</w:t>
      </w:r>
    </w:p>
    <w:p>
      <w:pPr>
        <w:spacing w:after="0" w:line="13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Messrs. Carlozzi and Henneman provide performance objectives, and Ms. Bellantoni began providing performance objectives in 2007. The objectives relate to the officer’s areas of responsibility and include achieving the year’s operating plan performance levels. Ms. Bellantoni was not asked to provide written performance objectives for 2006, her first year with the Company, because her primary performance objective for 2006 was the restructuring of the Finance Department. At the end of each year, Mr. Essig reviews the performance of these officers, which includes evaluating whether they satisfied their performance objectives, and makes recommendations to the Compensation Committee regarding</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their salary increases, bonuses and equity awards. Mr. Essig also evaluates the performance of the other executive officers with their supervisors and makes similar recommendation to the Compensation Committee. The Compensation Committee then considers Mr. Essig’s recommendations in making its compensation determinations for these officers.</w:t>
      </w:r>
    </w:p>
    <w:p>
      <w:pPr>
        <w:spacing w:after="0" w:line="154"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Mr. Essig’s employment agreement provides that (1) we increase Mr. Essig’s salary by a minimum of $50,000 each year during the term of the agreement, (2) Mr. Essig be eligible for a cash bonus that shall not be less than 100% of his base salary and (3) we award Mr. Essig an annual grant of between 100,000 and 200,000 stock options. The compensation we have paid to Mr. Essig has demonstrated a connection between these three provisions. We have increased Mr. Essig’s salary by the minimum amount during each year of his agreement. Prior to 2006, Mr. Essig has waived his right to a cash bonus because of our limited historical cash flow. However, we have awarded Mr. Essig the maximum amount of 200,000 stock options each year of his employment agreement due, in part, to our decisions regarding Mr. Essig’s salary increase and Mr. Essig’s decision to waive his right to a cash bonus.</w:t>
      </w:r>
    </w:p>
    <w:p>
      <w:pPr>
        <w:spacing w:after="0" w:line="127"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Historically, we have not used specific guidelines in making equity grants to our other executive officers. However, we have made equity grants with the objective of compensating our executive officers in a competitive manner necessary to retain their services and have considered the cash compensation that we pay to executive officers in setting the size of equity grants. As we continue to make bonus and MICP payments to our executive officers, the amount of annual equity awards that we grant may decrease as a percentage of total compensation from historical levels.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Grant Practices</w:t>
      </w:r>
    </w:p>
    <w:p>
      <w:pPr>
        <w:spacing w:after="0" w:line="20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Equity grant decisions are made without regard to anticipated earnings or other major announcements by the Company. Historically, the Compensation Committee has approved option grants to Mr. Essig at its December meeting and generally approved the annual stock option or other equity-based grants to other management-level employees at a meeting held in the last quarter of the year. The Compensation Committee, however, approved the year-end restricted stock awards for 2006 on March 15, 2007 by written consent after our annual review process was completed. We expect this timetable to continue.</w:t>
      </w:r>
    </w:p>
    <w:p>
      <w:pPr>
        <w:spacing w:after="0" w:line="132"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The grant date of Mr. Essig’s annual stock option grant under his current employment agreement, entered into in July 2004, has been the date the award was approved. The grant date for awards to other executive officers is either the date of the required approval or, for administrative convenience, the first business day of the month following the required approval. For example, of the Compensation Committee designated April 1, 2007 as the grant date for the restricted stock and performance stock awards that the Compensation Committee approved on March 15, 2007. As we have moved from granting options to granting restricted stock and performance stock, we expect grants to executive officers, other than stock option grants to Mr. Essig, to be made on the first business day of the month following Compensation Committee approval. The Special Award Committee approves and makes equity grants on the first business day of the month. We make equity grants to members of our Board of Directors on the date of our annual meeting of stockholders. Because directors may elect to receive their annual retainer in the form of cash, restricted stock or stock options, we postponed the grant date on one occasion when our trading window was closed on the date of the annual meeting.</w:t>
      </w:r>
    </w:p>
    <w:p>
      <w:pPr>
        <w:spacing w:after="0" w:line="12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exercise price of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counsel advises that it is necessary or advisable to do so under the applicable country’s law. This practice with respect to setting stock option exercise prices is consistent with the</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terms of our equity incentive plans. The terms of these plans require that the exercise price of options granted under the plans be not less than the fair market value of our common stock on the date of grant. The plans define “fair market value” as the closing prices of our common stock on the Nasdaq Global Select Market on the date of grant.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Post-Employment Arrangements</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We have entered into employment agreements with our President and Chief Executive Officer and our Executive Vice Presidents. We also entered into an employment agreement with Mr. Holtz, who left the Company on December 31, 2006. The employment agreements provide for payments in the event that the executive is terminated by us other than for cause and in the event that the executive terminates his or her employment for good reason and provides for additional payments in the event the executive’s employment is terminated under these circumstances following a change in control.</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Mr. Holtz’s employment agreement contained similar provisions to that of our Executive Vice Presidents. Under Mr. Holtz’s employment agreement, however, the definition of “good reason” included the Company’s appointing a Chief Financial Officer, with Mr. Holtz no longer being responsible for the Company’s Finance Department, and the Company and Mr. Holtz not mutually agreeing to an amended job title and/or responsibilities for Mr. Holtz by the 30th day before the agreement’s December 31, 2006 expiration date. This provision was included in order to facilitate an orderly transition of his responsibilities following the hiring of a Chief Financial Officer.</w:t>
      </w:r>
    </w:p>
    <w:p>
      <w:pPr>
        <w:spacing w:after="0" w:line="16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In 2006, we began replacing the employment agreements that we had entered into with Senior Vice Presidents with severance agreements that provide for payment to the officer under fewer scenarios than provided for under the employment agreements. In January 2007, we entered into a severance agreement with Ms. O’Grady that replaced the employment agreement that we had entered into with her in 2003. Ms. O’Grady’s severance agreement provides for a payment in the event that, following a change in control, we terminate her employment other than for cause or she terminates her employment with us for good reason. Our movement from employment agreements to severance agreements reflects our philosophy that it is in the best interest of our stockholders to limit the number of employees who receive termination payments outside of a change in control event. As a result of this change, the only executive officers who have employment agreements that provide for termination payments outside of a change in control are our President and Chief Executive Officer and our three Executive Vice Presidents, and only a limited number of U.S.-based employees are parties to agreements that provide for such payments.</w:t>
      </w:r>
    </w:p>
    <w:p>
      <w:pPr>
        <w:spacing w:after="0" w:line="137" w:lineRule="exact"/>
        <w:rPr>
          <w:sz w:val="20"/>
          <w:szCs w:val="20"/>
          <w:color w:val="auto"/>
        </w:rPr>
      </w:pPr>
    </w:p>
    <w:p>
      <w:pPr>
        <w:jc w:val="both"/>
        <w:ind w:left="340" w:right="179" w:firstLine="389"/>
        <w:spacing w:after="0" w:line="271" w:lineRule="auto"/>
        <w:rPr>
          <w:sz w:val="20"/>
          <w:szCs w:val="20"/>
          <w:color w:val="auto"/>
        </w:rPr>
      </w:pPr>
      <w:r>
        <w:rPr>
          <w:rFonts w:ascii="Arial" w:cs="Arial" w:eastAsia="Arial" w:hAnsi="Arial"/>
          <w:sz w:val="17"/>
          <w:szCs w:val="17"/>
          <w:color w:val="auto"/>
        </w:rPr>
        <w:t>In 2006, we amended Mr. Essig’s employment agreement to provide for change-in-control benefits. Mr. Essig’s employment agreement entered into in 2004 provided that on a change in control all stock options will vest and become exercisable through their original expiration date and all restricted unit shares will vest and be distributed on the date of the change in control. Mr. Essig’s employment agreement also provided for a full gross-up payment to cover excise taxes under Section 280G of the Internal Revenue Code. However, there were no special severance benefits that are payable to him in connection with a change in control until this amendment. We included change-in-control benefits in the employment agreement we entered into with our Executive Vice Presidents in late 2005 and early 2006, and our Compensation Committee determined that is was appropriate to amend Mr. Essig’s employment agreement to provide these benefits.</w:t>
      </w:r>
    </w:p>
    <w:p>
      <w:pPr>
        <w:spacing w:after="0" w:line="138"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amendment provides Mr. Essig with change-in-control benefits that are in addition to the benefits provided currently in the initial agreement. Specifically, if within 18 months following a change in control (i) we terminate Mr. Essig’s employment for a reason other than death, disability or cause, (ii) Mr. Essig terminates his employment for good reason or (iii) we do not review Mr. Essig’s employment agreement after a change in control, Mr. Essig will be entitled to additional severance benefits.</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These agreements are further described in the section entitled “Executive Compensation — Potential Payments under Termination or Change in Control.”</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2006 Named Executive Officer Compensation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Base Salaries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 December 2005 and early 2006, the Compensation Committee approved the following base salaries for the named executive officers for 2006:</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1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2006 Base Salary</w:t>
            </w:r>
          </w:p>
        </w:tc>
        <w:tc>
          <w:tcPr>
            <w:tcW w:w="3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Increase from 2005</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$500,000</w:t>
            </w:r>
          </w:p>
        </w:tc>
        <w:tc>
          <w:tcPr>
            <w:tcW w:w="17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John B. Henneman, III</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$420,000</w:t>
            </w:r>
          </w:p>
        </w:tc>
        <w:tc>
          <w:tcPr>
            <w:tcW w:w="1700" w:type="dxa"/>
            <w:vAlign w:val="bottom"/>
            <w:gridSpan w:val="2"/>
          </w:tcPr>
          <w:p>
            <w:pPr>
              <w:jc w:val="right"/>
              <w:ind w:right="32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Gerard S. Carlozzi</w:t>
            </w:r>
          </w:p>
        </w:tc>
        <w:tc>
          <w:tcPr>
            <w:tcW w:w="1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$400,000</w:t>
            </w:r>
          </w:p>
        </w:tc>
        <w:tc>
          <w:tcPr>
            <w:tcW w:w="17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Maureen B. Bellantoni</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David B. Holtz</w:t>
            </w:r>
          </w:p>
        </w:tc>
        <w:tc>
          <w:tcPr>
            <w:tcW w:w="1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$250,000</w:t>
            </w:r>
          </w:p>
        </w:tc>
        <w:tc>
          <w:tcPr>
            <w:tcW w:w="17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Judith O’Grady</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$230,000</w:t>
            </w:r>
          </w:p>
        </w:tc>
        <w:tc>
          <w:tcPr>
            <w:tcW w:w="1700" w:type="dxa"/>
            <w:vAlign w:val="bottom"/>
            <w:gridSpan w:val="2"/>
          </w:tcPr>
          <w:p>
            <w:pPr>
              <w:jc w:val="right"/>
              <w:ind w:right="32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salaries payable to Messrs. Henneman, Carlozzi and Holtz and Ms. Bellantoni were provided for in the employment agreements they entered into in December 2005 and, in the case of Ms. Bellantoni, January 2006. The increase in Mr. Essig’s salary from $450,000 to $500,000 was the minimum required under his employment agreement. The percentage increase in Ms. O’Grady’s salary was in line with that of our other Senior Vice Presidents.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Management Incentive Compensation Plan Awards and Payments</w:t>
      </w:r>
    </w:p>
    <w:p>
      <w:pPr>
        <w:spacing w:after="0" w:line="185"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For the second half of 2006, the first performance period in which the MICP was in effect, the performance objective under the MICP for Mr. Holtz and Ms. O’Grady, the named executive officers who participate in the MICP, was a specified amount of adjusted EBITDA. Adjusted EBITDA was defined as net income before interest, taxes, depreciation and amortization, as adjusted, in the discretion of the Compensation Committee, to account for any items that do not reflect our core operating performance. For this performance period, the Compensation Committee determined that these items consisted of charges relating to SFAS 123(R), in-process research and development, inventory purchase accounting, our September 2006 exchange offer and employee severance. We expect the adjusting items to differ for each performance period. The target awards under the MICP were 16.25% of base salary for each of Mr. Holtz and Ms. O’Grady. The Compensation Committee determined that we achieved 104% of the performance goal. Under the terms of the MICP, employees were able to receive up to 110% of the target award. The Compensation Committee approved a payment to Ms. O’Grady of $41,112, or 110% of the target award, the maximum allowed. This amount is set forth in the “Non-Equity Incentive Plan Compensation” column to the Summary Compensation Table in this Proxy Statement. Mr. Holtz did not receive any MICP payment as a result of his employment terminating prior to the March 2007 payment date, but he received a severance payment, as described below.</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Annual Bonus Payments</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Mr. Essig’s employment agreement provides that he shall be eligible for a cash bonus that shall not be less than 100% of his base salary. Although prior to 2006 Mr. Essig waived his right to this bonus because of our limited cash flow, in 2006, Mr. Essig received the target $500,000 bonus based upon our performance and strong cash-flow position.</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A target bonus of 40% of base salary is provided in the employment agreements to which Ms. Bellantoni, Mr. Carlozzi and Mr. Henneman are parties. The Compensation Committee awarded each of these officers the target bonus of 40%: $120,000 for Ms. Bellantoni; $160,000 for Mr. Carlozzi; and $168,000 for Mr. Henneman. These awards were made based upon the Compensation Committee’s determination that Ms. Bellantoni, Mr. Carlozzi and Mr. Henneman had substantially met their performance objectives.</w:t>
      </w:r>
    </w:p>
    <w:p>
      <w:pPr>
        <w:spacing w:after="0" w:line="127"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Although Ms. O’Grady received an MICP payment, the Compensation Committee awarded Ms. O’Grady a bonus of $3,000 for her 2006 performance.</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Equity Awards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Equity awards made in reflecting 2006 compensation consist of awards made in connection with our entering into new employment agreement with certain named executive officers and awards made for the performance of the named executive officers in 2006.</w:t>
      </w:r>
    </w:p>
    <w:p>
      <w:pPr>
        <w:spacing w:after="0" w:line="154"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i w:val="1"/>
          <w:iCs w:val="1"/>
          <w:color w:val="auto"/>
        </w:rPr>
        <w:t>Equity Awards Made Pursuant to Employment Agreements</w:t>
      </w:r>
      <w:r>
        <w:rPr>
          <w:rFonts w:ascii="Arial" w:cs="Arial" w:eastAsia="Arial" w:hAnsi="Arial"/>
          <w:sz w:val="17"/>
          <w:szCs w:val="17"/>
          <w:color w:val="auto"/>
        </w:rPr>
        <w:t>. In December 2005, Mr. Holtz received a grant of performance stock</w:t>
      </w:r>
      <w:r>
        <w:rPr>
          <w:rFonts w:ascii="Arial" w:cs="Arial" w:eastAsia="Arial" w:hAnsi="Arial"/>
          <w:sz w:val="17"/>
          <w:szCs w:val="17"/>
          <w:i w:val="1"/>
          <w:iCs w:val="1"/>
          <w:color w:val="auto"/>
        </w:rPr>
        <w:t xml:space="preserve"> </w:t>
      </w:r>
      <w:r>
        <w:rPr>
          <w:rFonts w:ascii="Arial" w:cs="Arial" w:eastAsia="Arial" w:hAnsi="Arial"/>
          <w:sz w:val="17"/>
          <w:szCs w:val="17"/>
          <w:color w:val="auto"/>
        </w:rPr>
        <w:t>having a grant date value equal to $240,098 in connection with entering into his employment agreement. The terms of the grant provided that Mr. Holtz would receive the shares of common stock underlying this grant on December 31, 2006. Because this grant was made in 2005, it does not appear in the Grants Of Plan Based Awards table.</w:t>
      </w:r>
    </w:p>
    <w:p>
      <w:pPr>
        <w:spacing w:after="0" w:line="131"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In January 2006, Messrs. Carlozzi and Henneman each received a grant of performance stock having a grant date value equal to $3,531,000 in connection with entering into their new employment agreements and Ms. Bellantoni received a grant of performance stock having a grant date value equal to $358,200 in connection with entering into her employment agreement. The performance goal of the performance stock was that our sales in any calendar year during the performance period of January 1, 2006 and ending December 31, 2008, shall be greater than consolidated sales in calendar year 2005. These officers will receive the shares of common stock underlying their grant on December 31, 2008 if the performance goal were met. On January 3, 2006, Ms. O’Grady received a grant of restricted stock having a grant date value equal to $88,275 for her 2005 performance.</w:t>
      </w:r>
    </w:p>
    <w:p>
      <w:pPr>
        <w:spacing w:after="0" w:line="13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i w:val="1"/>
          <w:iCs w:val="1"/>
          <w:color w:val="auto"/>
        </w:rPr>
        <w:t>Equity Awards Made for 2006 Performance</w:t>
      </w:r>
      <w:r>
        <w:rPr>
          <w:rFonts w:ascii="Arial" w:cs="Arial" w:eastAsia="Arial" w:hAnsi="Arial"/>
          <w:sz w:val="17"/>
          <w:szCs w:val="17"/>
          <w:color w:val="auto"/>
        </w:rPr>
        <w:t>. Mr. Essig’s employment agreement provides that we shall award him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between 100,000 and 200,000 stock options. In December 2006, we granted 200,000 stock options to Mr. Essig. Our grant of the maximum amount was due, in part, as a result of our making no more than the annual salary increase to Mr. Essig.</w:t>
      </w:r>
    </w:p>
    <w:p>
      <w:pPr>
        <w:spacing w:after="0" w:line="13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In April 2007, we granted restricted stock having a grant date value equal to $200,000 to Ms. Bellantoni and restricted stock having a grant date value equal to $165,450 to Ms. O’Grady for their 2006 performance. We granted performance stock having a grant date value equal to $200,000 to each of Mr. Carlozzi and Mr. Henneman for their 2006 performance. Because these grants were made in 2007, they do not appear in the Summary Compensation Table or the Grants Of Plan Based Awards table.</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During 2006, we granted Ms. O’Grady restricted stock having a grant date value equal to $50,000 and granted Mr. Holtz restricted stock having a grant date value equal to $10,000. These grants were made following the completion of their work on projects that were of value to the Company. Mr. Holtz’s grant was forfeited as a result of Mr. Holtz leaving the Company prior to the vesting of the restricted stock.</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Severance Payment</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November 2006, Mr. Holtz provided notice that he was terminating his employment with the Company for “good reason” under his employment agreement as a result of the Company and Mr. Holtz not mutually agreeing to an amended job title and/or responsibilities for Mr. Holtz. Mr. Holtz’s last day</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of employment was December 31, 2006. Under his employment agreement, Mr. Holtz received a payment of $325,000, the sum of his annual base salary and target bonus, and received a payment for accrued personal time. These amounts are set forth in the “All Other Compensation” column of the Summary Compensation Table.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Decisions Effective for 2007</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Base Salaries</w:t>
      </w:r>
    </w:p>
    <w:p>
      <w:pPr>
        <w:spacing w:after="0" w:line="185"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In December 2006, for Mr. Essig, and March 2007, for all others, the Compensation Committee approved the following base salaries for the named executive officers, other than Mr. Holtz whose employment ended on December 31, 2006:</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1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2007 Base Salary</w:t>
            </w:r>
          </w:p>
        </w:tc>
        <w:tc>
          <w:tcPr>
            <w:tcW w:w="300" w:type="dxa"/>
            <w:vAlign w:val="bottom"/>
          </w:tcPr>
          <w:p>
            <w:pPr>
              <w:spacing w:after="0"/>
              <w:rPr>
                <w:sz w:val="14"/>
                <w:szCs w:val="14"/>
                <w:color w:val="auto"/>
              </w:rPr>
            </w:pPr>
          </w:p>
        </w:tc>
        <w:tc>
          <w:tcPr>
            <w:tcW w:w="1400" w:type="dxa"/>
            <w:vAlign w:val="bottom"/>
          </w:tcPr>
          <w:p>
            <w:pPr>
              <w:jc w:val="right"/>
              <w:ind w:right="28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61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9"/>
              </w:rPr>
              <w:t>Increase from 2006</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$550,000</w:t>
            </w:r>
          </w:p>
        </w:tc>
        <w:tc>
          <w:tcPr>
            <w:tcW w:w="17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John B. Henneman, III</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$420,000</w:t>
            </w:r>
          </w:p>
        </w:tc>
        <w:tc>
          <w:tcPr>
            <w:tcW w:w="300" w:type="dxa"/>
            <w:vAlign w:val="bottom"/>
          </w:tcPr>
          <w:p>
            <w:pPr>
              <w:spacing w:after="0"/>
              <w:rPr>
                <w:sz w:val="18"/>
                <w:szCs w:val="18"/>
                <w:color w:val="auto"/>
              </w:rPr>
            </w:pPr>
          </w:p>
        </w:tc>
        <w:tc>
          <w:tcPr>
            <w:tcW w:w="1400" w:type="dxa"/>
            <w:vAlign w:val="bottom"/>
          </w:tcPr>
          <w:p>
            <w:pPr>
              <w:jc w:val="right"/>
              <w:ind w:right="4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Gerard S. Carlozzi</w:t>
            </w:r>
          </w:p>
        </w:tc>
        <w:tc>
          <w:tcPr>
            <w:tcW w:w="1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$420,000</w:t>
            </w:r>
          </w:p>
        </w:tc>
        <w:tc>
          <w:tcPr>
            <w:tcW w:w="17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Maureen B. Bellantoni</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$325,000</w:t>
            </w:r>
          </w:p>
        </w:tc>
        <w:tc>
          <w:tcPr>
            <w:tcW w:w="1700" w:type="dxa"/>
            <w:vAlign w:val="bottom"/>
            <w:gridSpan w:val="2"/>
          </w:tcPr>
          <w:p>
            <w:pPr>
              <w:jc w:val="right"/>
              <w:ind w:right="32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Judith O’Grady</w:t>
            </w:r>
          </w:p>
        </w:tc>
        <w:tc>
          <w:tcPr>
            <w:tcW w:w="18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$235,000</w:t>
            </w:r>
          </w:p>
        </w:tc>
        <w:tc>
          <w:tcPr>
            <w:tcW w:w="17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The increase in Mr. Essig’s salary from $500,000 to $550,000 was the minimum required under his employment agreement. The Compensation Committee determined that Mr. Henneman’s salary should not be increased because the current level was appropriate.</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MICP Awards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March 2007, we modified the target MICP awards by changing that percentage of an employee’s base salary that can be received under the MICP. We increased the percentage of salaries that Senior Vice Presidents, including Ms. O’Grady, are eligible to receive from 16.25% to 30%. We also increased the percentage of salaries that other executive officers are eligible to receive. As a result of these increases, we intend to decrease the amount of equity grants that will be made to executive officers who participate in the MICP.</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Ownership Guidelines for Executive Officers</w:t>
      </w:r>
    </w:p>
    <w:p>
      <w:pPr>
        <w:spacing w:after="0" w:line="189"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Our executive officers must meet the stock ownership guidelines the Board of Directors has established in order to align their interests more closely with those of our stockholders. The Nominating and Corporate Governance Committee oversees compliance with these guidelines and periodically reviews the guidelines. The guidelines require executive officers, including the other named executive officers, to own shares with a value equal to the executive’s base salary. Vested shares of restricted stock and vested restricted stock units may be included to determine whether the required ownership interest has been met. Directors and executive officers have five years from the later of February 23, 2006 and the date of their election or appointment as directors or officers to attain this ownership threshold. We have approved procedures by which every executive officer must obtain clearance prior to selling any shares of our common stock, in part to ensure no officer falls out of compliance with the stock ownership guidelines.</w:t>
      </w:r>
    </w:p>
    <w:p>
      <w:pPr>
        <w:spacing w:after="0" w:line="12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our policies prohibit our employees from selling our stock “short” or otherwise speculating that our stock will decline through the use of derivative securities. Such derivative transactions include writing “uncovered” call options or the purchase of put options. Buying our</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securities on margin is also prohibited. In addition, our policies also prohibit the frequent buying and selling of our stock to capture short-term profits.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Considerations</w:t>
      </w:r>
    </w:p>
    <w:p>
      <w:pPr>
        <w:spacing w:after="0" w:line="189"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i w:val="1"/>
          <w:iCs w:val="1"/>
          <w:color w:val="auto"/>
        </w:rPr>
        <w:t>Section 162(m)</w:t>
      </w:r>
      <w:r>
        <w:rPr>
          <w:rFonts w:ascii="Arial" w:cs="Arial" w:eastAsia="Arial" w:hAnsi="Arial"/>
          <w:sz w:val="18"/>
          <w:szCs w:val="18"/>
          <w:color w:val="auto"/>
        </w:rPr>
        <w:t>. Section 162(m) of the Internal Revenue Code can limit the deductibility of compensation paid to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$1,000,000 per year unless the compensation qualifies as performance-based. The Compensation Committee’s policy is to take into account Section 162(m) in establishing compensation of our executives. However, the deductibility of some types of compensation payments can depend upon the timing of the vesting or an executive’s exercise of previously granted awards.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that sum which is deductible under Section 162(m) of the Code. For example, the restricted units granted to Mr. Essig in 2004 had a value in excess of $1,000,000, and the sum of Mr. Essig’s 2007 salary and target bonus will exceed $1,000,000.</w:t>
      </w:r>
    </w:p>
    <w:p>
      <w:pPr>
        <w:spacing w:after="0" w:line="157"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equity incentive plans contain performance-based conditions and have previously been approved by stockholders to ensure deductibility of payments under those plans under Section 162(m). We will continue to monitor developments and assess alternatives for preserving the deductibility of compensation payments and benefits to the extent reasonably practicable, consistent with our compensation policies and what we believe is in the best interests of our stockholders.</w:t>
      </w:r>
    </w:p>
    <w:p>
      <w:pPr>
        <w:spacing w:after="0" w:line="14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In 2006, we reviewed the effect that Section 409A to the Internal Revenue Code could have on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 our executive officers. We entered into amendments to the agreements governing the restricted unit grants made in 2000 and 2004 to Mr. Essig in an attempt to be in good-faith compliance with the requirements of Section 409A of the Code, pending issuance of the final regulations.</w:t>
      </w:r>
    </w:p>
    <w:p>
      <w:pPr>
        <w:spacing w:after="0" w:line="14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w:t>
      </w:r>
    </w:p>
    <w:p>
      <w:pPr>
        <w:spacing w:after="0" w:line="1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Compensation Committee of the Board of Directors</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KEITH BRADLEY (CHAIR)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NEAL MOSZKOWSKI</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CHRISTIAN S. SCHADE</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Summary Compensation Table</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 set forth information regarding compensation paid to our Chief Executive Officer, the two people who served as principal financial officer in 2006 and each of our three other most highly compensated executive officers based on total compensation earned during 2006.</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Change in</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Pension</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Value and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Nonqual-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ified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Compen-</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All Other</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Compen-</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sation</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Compen-</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Salary</w:t>
            </w:r>
          </w:p>
        </w:tc>
        <w:tc>
          <w:tcPr>
            <w:tcW w:w="100" w:type="dxa"/>
            <w:vAlign w:val="bottom"/>
          </w:tcPr>
          <w:p>
            <w:pPr>
              <w:spacing w:after="0"/>
              <w:rPr>
                <w:sz w:val="11"/>
                <w:szCs w:val="11"/>
                <w:color w:val="auto"/>
              </w:rPr>
            </w:pPr>
          </w:p>
        </w:tc>
        <w:tc>
          <w:tcPr>
            <w:tcW w:w="760" w:type="dxa"/>
            <w:vAlign w:val="bottom"/>
          </w:tcPr>
          <w:p>
            <w:pPr>
              <w:jc w:val="right"/>
              <w:ind w:right="154"/>
              <w:spacing w:after="0" w:line="135" w:lineRule="exact"/>
              <w:rPr>
                <w:sz w:val="20"/>
                <w:szCs w:val="20"/>
                <w:color w:val="auto"/>
              </w:rPr>
            </w:pPr>
            <w:r>
              <w:rPr>
                <w:rFonts w:ascii="Arial" w:cs="Arial" w:eastAsia="Arial" w:hAnsi="Arial"/>
                <w:sz w:val="13"/>
                <w:szCs w:val="13"/>
                <w:b w:val="1"/>
                <w:bCs w:val="1"/>
                <w:color w:val="auto"/>
              </w:rPr>
              <w:t>Bonus</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10"/>
                <w:szCs w:val="10"/>
                <w:b w:val="1"/>
                <w:bCs w:val="1"/>
                <w:color w:val="auto"/>
                <w:w w:val="87"/>
              </w:rPr>
              <w:t>(1)</w:t>
            </w:r>
          </w:p>
        </w:tc>
        <w:tc>
          <w:tcPr>
            <w:tcW w:w="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10"/>
                <w:szCs w:val="10"/>
                <w:b w:val="1"/>
                <w:bCs w:val="1"/>
                <w:color w:val="auto"/>
                <w:w w:val="87"/>
              </w:rPr>
              <w:t>(1)</w:t>
            </w: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sation</w:t>
            </w:r>
            <w:r>
              <w:rPr>
                <w:rFonts w:ascii="Arial" w:cs="Arial" w:eastAsia="Arial" w:hAnsi="Arial"/>
                <w:sz w:val="10"/>
                <w:szCs w:val="10"/>
                <w:b w:val="1"/>
                <w:bCs w:val="1"/>
                <w:color w:val="auto"/>
                <w:w w:val="87"/>
              </w:rPr>
              <w:t>(2)</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Earnings</w:t>
            </w:r>
          </w:p>
        </w:tc>
        <w:tc>
          <w:tcPr>
            <w:tcW w:w="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sation</w:t>
            </w:r>
            <w:r>
              <w:rPr>
                <w:rFonts w:ascii="Arial" w:cs="Arial" w:eastAsia="Arial" w:hAnsi="Arial"/>
                <w:sz w:val="10"/>
                <w:szCs w:val="10"/>
                <w:b w:val="1"/>
                <w:bCs w:val="1"/>
                <w:color w:val="auto"/>
                <w:w w:val="90"/>
              </w:rPr>
              <w:t>(3)</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9"/>
        </w:trPr>
        <w:tc>
          <w:tcPr>
            <w:tcW w:w="2120" w:type="dxa"/>
            <w:vAlign w:val="bottom"/>
          </w:tcPr>
          <w:p>
            <w:pPr>
              <w:spacing w:after="0" w:line="139" w:lineRule="exact"/>
              <w:rPr>
                <w:sz w:val="20"/>
                <w:szCs w:val="20"/>
                <w:color w:val="auto"/>
              </w:rPr>
            </w:pPr>
            <w:r>
              <w:rPr>
                <w:rFonts w:ascii="Arial" w:cs="Arial" w:eastAsia="Arial" w:hAnsi="Arial"/>
                <w:sz w:val="13"/>
                <w:szCs w:val="13"/>
                <w:b w:val="1"/>
                <w:bCs w:val="1"/>
                <w:color w:val="auto"/>
              </w:rPr>
              <w:t>Name and Principal Position</w:t>
            </w:r>
          </w:p>
        </w:tc>
        <w:tc>
          <w:tcPr>
            <w:tcW w:w="80" w:type="dxa"/>
            <w:vAlign w:val="bottom"/>
          </w:tcPr>
          <w:p>
            <w:pPr>
              <w:spacing w:after="0"/>
              <w:rPr>
                <w:sz w:val="12"/>
                <w:szCs w:val="12"/>
                <w:color w:val="auto"/>
              </w:rPr>
            </w:pPr>
          </w:p>
        </w:tc>
        <w:tc>
          <w:tcPr>
            <w:tcW w:w="540" w:type="dxa"/>
            <w:vAlign w:val="bottom"/>
          </w:tcPr>
          <w:p>
            <w:pPr>
              <w:jc w:val="right"/>
              <w:ind w:right="77"/>
              <w:spacing w:after="0" w:line="139" w:lineRule="exact"/>
              <w:rPr>
                <w:sz w:val="20"/>
                <w:szCs w:val="20"/>
                <w:color w:val="auto"/>
              </w:rPr>
            </w:pPr>
            <w:r>
              <w:rPr>
                <w:rFonts w:ascii="Arial" w:cs="Arial" w:eastAsia="Arial" w:hAnsi="Arial"/>
                <w:sz w:val="13"/>
                <w:szCs w:val="13"/>
                <w:b w:val="1"/>
                <w:bCs w:val="1"/>
                <w:color w:val="auto"/>
              </w:rPr>
              <w:t>Year</w:t>
            </w:r>
          </w:p>
        </w:tc>
        <w:tc>
          <w:tcPr>
            <w:tcW w:w="840" w:type="dxa"/>
            <w:vAlign w:val="bottom"/>
            <w:gridSpan w:val="2"/>
          </w:tcPr>
          <w:p>
            <w:pPr>
              <w:ind w:left="400"/>
              <w:spacing w:after="0" w:line="139"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right"/>
              <w:ind w:right="234"/>
              <w:spacing w:after="0" w:line="139" w:lineRule="exact"/>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0"/>
              <w:spacing w:after="0" w:line="139" w:lineRule="exact"/>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0"/>
              <w:spacing w:after="0" w:line="139" w:lineRule="exact"/>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33"/>
              <w:spacing w:after="0" w:line="139" w:lineRule="exact"/>
              <w:rPr>
                <w:sz w:val="20"/>
                <w:szCs w:val="20"/>
                <w:color w:val="auto"/>
              </w:rPr>
            </w:pPr>
            <w:r>
              <w:rPr>
                <w:rFonts w:ascii="Arial" w:cs="Arial" w:eastAsia="Arial" w:hAnsi="Arial"/>
                <w:sz w:val="13"/>
                <w:szCs w:val="13"/>
                <w:b w:val="1"/>
                <w:bCs w:val="1"/>
                <w:color w:val="auto"/>
                <w:w w:val="87"/>
              </w:rPr>
              <w:t>($)</w:t>
            </w:r>
          </w:p>
        </w:tc>
        <w:tc>
          <w:tcPr>
            <w:tcW w:w="660" w:type="dxa"/>
            <w:vAlign w:val="bottom"/>
            <w:gridSpan w:val="2"/>
          </w:tcPr>
          <w:p>
            <w:pPr>
              <w:jc w:val="center"/>
              <w:ind w:left="17"/>
              <w:spacing w:after="0" w:line="139" w:lineRule="exact"/>
              <w:rPr>
                <w:sz w:val="20"/>
                <w:szCs w:val="20"/>
                <w:color w:val="auto"/>
              </w:rPr>
            </w:pPr>
            <w:r>
              <w:rPr>
                <w:rFonts w:ascii="Arial" w:cs="Arial" w:eastAsia="Arial" w:hAnsi="Arial"/>
                <w:sz w:val="13"/>
                <w:szCs w:val="13"/>
                <w:b w:val="1"/>
                <w:bCs w:val="1"/>
                <w:color w:val="auto"/>
                <w:w w:val="87"/>
              </w:rPr>
              <w:t>($)</w:t>
            </w:r>
          </w:p>
        </w:tc>
        <w:tc>
          <w:tcPr>
            <w:tcW w:w="900" w:type="dxa"/>
            <w:vAlign w:val="bottom"/>
            <w:gridSpan w:val="2"/>
          </w:tcPr>
          <w:p>
            <w:pPr>
              <w:jc w:val="center"/>
              <w:ind w:left="10"/>
              <w:spacing w:after="0" w:line="139" w:lineRule="exact"/>
              <w:rPr>
                <w:sz w:val="20"/>
                <w:szCs w:val="20"/>
                <w:color w:val="auto"/>
              </w:rPr>
            </w:pPr>
            <w:r>
              <w:rPr>
                <w:rFonts w:ascii="Arial" w:cs="Arial" w:eastAsia="Arial" w:hAnsi="Arial"/>
                <w:sz w:val="13"/>
                <w:szCs w:val="13"/>
                <w:b w:val="1"/>
                <w:bCs w:val="1"/>
                <w:color w:val="auto"/>
                <w:w w:val="87"/>
              </w:rPr>
              <w:t>($)</w:t>
            </w:r>
          </w:p>
        </w:tc>
        <w:tc>
          <w:tcPr>
            <w:tcW w:w="960" w:type="dxa"/>
            <w:vAlign w:val="bottom"/>
            <w:gridSpan w:val="2"/>
          </w:tcPr>
          <w:p>
            <w:pPr>
              <w:jc w:val="center"/>
              <w:ind w:left="29"/>
              <w:spacing w:after="0" w:line="139" w:lineRule="exact"/>
              <w:rPr>
                <w:sz w:val="20"/>
                <w:szCs w:val="20"/>
                <w:color w:val="auto"/>
              </w:rPr>
            </w:pPr>
            <w:r>
              <w:rPr>
                <w:rFonts w:ascii="Arial" w:cs="Arial" w:eastAsia="Arial" w:hAnsi="Arial"/>
                <w:sz w:val="13"/>
                <w:szCs w:val="13"/>
                <w:b w:val="1"/>
                <w:bCs w:val="1"/>
                <w:color w:val="auto"/>
                <w:w w:val="87"/>
              </w:rPr>
              <w:t>($)</w:t>
            </w:r>
          </w:p>
        </w:tc>
      </w:tr>
      <w:tr>
        <w:trPr>
          <w:trHeight w:val="149"/>
        </w:trPr>
        <w:tc>
          <w:tcPr>
            <w:tcW w:w="21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(a)</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(b)</w:t>
            </w:r>
          </w:p>
        </w:tc>
        <w:tc>
          <w:tcPr>
            <w:tcW w:w="100" w:type="dxa"/>
            <w:vAlign w:val="bottom"/>
          </w:tcPr>
          <w:p>
            <w:pPr>
              <w:spacing w:after="0"/>
              <w:rPr>
                <w:sz w:val="12"/>
                <w:szCs w:val="12"/>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(c)</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(d)</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(e)</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(f)</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(g)</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(h)</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(j)</w:t>
            </w:r>
          </w:p>
        </w:tc>
      </w:tr>
      <w:tr>
        <w:trPr>
          <w:trHeight w:val="123"/>
        </w:trPr>
        <w:tc>
          <w:tcPr>
            <w:tcW w:w="21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Stuart M. Essig</w:t>
            </w:r>
          </w:p>
        </w:tc>
        <w:tc>
          <w:tcPr>
            <w:tcW w:w="620" w:type="dxa"/>
            <w:vAlign w:val="bottom"/>
            <w:gridSpan w:val="2"/>
            <w:shd w:val="clear" w:color="auto" w:fill="CCEEFF"/>
          </w:tcPr>
          <w:p>
            <w:pPr>
              <w:jc w:val="right"/>
              <w:ind w:right="17"/>
              <w:spacing w:after="0" w:line="123"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ind w:left="280"/>
              <w:spacing w:after="0" w:line="123" w:lineRule="exact"/>
              <w:rPr>
                <w:sz w:val="20"/>
                <w:szCs w:val="20"/>
                <w:color w:val="auto"/>
              </w:rPr>
            </w:pPr>
            <w:r>
              <w:rPr>
                <w:rFonts w:ascii="Arial" w:cs="Arial" w:eastAsia="Arial" w:hAnsi="Arial"/>
                <w:sz w:val="14"/>
                <w:szCs w:val="14"/>
                <w:color w:val="auto"/>
              </w:rPr>
              <w:t>500,000</w:t>
            </w:r>
          </w:p>
        </w:tc>
        <w:tc>
          <w:tcPr>
            <w:tcW w:w="860" w:type="dxa"/>
            <w:vAlign w:val="bottom"/>
            <w:gridSpan w:val="2"/>
            <w:shd w:val="clear" w:color="auto" w:fill="CCEEFF"/>
          </w:tcPr>
          <w:p>
            <w:pPr>
              <w:jc w:val="right"/>
              <w:ind w:right="34"/>
              <w:spacing w:after="0" w:line="123"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35"/>
              <w:spacing w:after="0" w:line="12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5"/>
              <w:spacing w:after="0" w:line="123" w:lineRule="exact"/>
              <w:rPr>
                <w:sz w:val="20"/>
                <w:szCs w:val="20"/>
                <w:color w:val="auto"/>
              </w:rPr>
            </w:pPr>
            <w:r>
              <w:rPr>
                <w:rFonts w:ascii="Arial" w:cs="Arial" w:eastAsia="Arial" w:hAnsi="Arial"/>
                <w:sz w:val="14"/>
                <w:szCs w:val="14"/>
                <w:color w:val="auto"/>
              </w:rPr>
              <w:t>2,531,090</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53"/>
              <w:spacing w:after="0" w:line="12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ind w:left="280"/>
              <w:spacing w:after="0" w:line="12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95"/>
              <w:spacing w:after="0" w:line="123" w:lineRule="exact"/>
              <w:rPr>
                <w:sz w:val="20"/>
                <w:szCs w:val="20"/>
                <w:color w:val="auto"/>
              </w:rPr>
            </w:pPr>
            <w:r>
              <w:rPr>
                <w:rFonts w:ascii="Arial" w:cs="Arial" w:eastAsia="Arial" w:hAnsi="Arial"/>
                <w:sz w:val="14"/>
                <w:szCs w:val="14"/>
                <w:color w:val="auto"/>
              </w:rPr>
              <w:t>3,750</w:t>
            </w:r>
          </w:p>
        </w:tc>
        <w:tc>
          <w:tcPr>
            <w:tcW w:w="960" w:type="dxa"/>
            <w:vAlign w:val="bottom"/>
            <w:gridSpan w:val="2"/>
            <w:shd w:val="clear" w:color="auto" w:fill="CCEEFF"/>
          </w:tcPr>
          <w:p>
            <w:pPr>
              <w:jc w:val="right"/>
              <w:ind w:right="37"/>
              <w:spacing w:after="0" w:line="123" w:lineRule="exact"/>
              <w:rPr>
                <w:sz w:val="20"/>
                <w:szCs w:val="20"/>
                <w:color w:val="auto"/>
              </w:rPr>
            </w:pPr>
            <w:r>
              <w:rPr>
                <w:rFonts w:ascii="Arial" w:cs="Arial" w:eastAsia="Arial" w:hAnsi="Arial"/>
                <w:sz w:val="14"/>
                <w:szCs w:val="14"/>
                <w:color w:val="auto"/>
              </w:rPr>
              <w:t>3,534,840</w:t>
            </w: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President and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Maureen B. Bellantoni</w:t>
            </w:r>
          </w:p>
        </w:tc>
        <w:tc>
          <w:tcPr>
            <w:tcW w:w="620" w:type="dxa"/>
            <w:vAlign w:val="bottom"/>
            <w:gridSpan w:val="2"/>
          </w:tcPr>
          <w:p>
            <w:pPr>
              <w:jc w:val="right"/>
              <w:ind w:right="17"/>
              <w:spacing w:after="0" w:line="130" w:lineRule="exact"/>
              <w:rPr>
                <w:sz w:val="20"/>
                <w:szCs w:val="20"/>
                <w:color w:val="auto"/>
              </w:rPr>
            </w:pPr>
            <w:r>
              <w:rPr>
                <w:rFonts w:ascii="Arial" w:cs="Arial" w:eastAsia="Arial" w:hAnsi="Arial"/>
                <w:sz w:val="14"/>
                <w:szCs w:val="14"/>
                <w:color w:val="auto"/>
              </w:rPr>
              <w:t>2006</w:t>
            </w:r>
          </w:p>
        </w:tc>
        <w:tc>
          <w:tcPr>
            <w:tcW w:w="84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293,077</w:t>
            </w:r>
          </w:p>
        </w:tc>
        <w:tc>
          <w:tcPr>
            <w:tcW w:w="860" w:type="dxa"/>
            <w:vAlign w:val="bottom"/>
            <w:gridSpan w:val="2"/>
          </w:tcPr>
          <w:p>
            <w:pPr>
              <w:jc w:val="right"/>
              <w:ind w:right="34"/>
              <w:spacing w:after="0" w:line="130" w:lineRule="exact"/>
              <w:rPr>
                <w:sz w:val="20"/>
                <w:szCs w:val="20"/>
                <w:color w:val="auto"/>
              </w:rPr>
            </w:pPr>
            <w:r>
              <w:rPr>
                <w:rFonts w:ascii="Arial" w:cs="Arial" w:eastAsia="Arial" w:hAnsi="Arial"/>
                <w:sz w:val="14"/>
                <w:szCs w:val="14"/>
                <w:color w:val="auto"/>
              </w:rPr>
              <w:t>120,000</w:t>
            </w:r>
          </w:p>
        </w:tc>
        <w:tc>
          <w:tcPr>
            <w:tcW w:w="960" w:type="dxa"/>
            <w:vAlign w:val="bottom"/>
            <w:gridSpan w:val="2"/>
          </w:tcPr>
          <w:p>
            <w:pPr>
              <w:jc w:val="right"/>
              <w:ind w:right="35"/>
              <w:spacing w:after="0" w:line="130" w:lineRule="exact"/>
              <w:rPr>
                <w:sz w:val="20"/>
                <w:szCs w:val="20"/>
                <w:color w:val="auto"/>
              </w:rPr>
            </w:pPr>
            <w:r>
              <w:rPr>
                <w:rFonts w:ascii="Arial" w:cs="Arial" w:eastAsia="Arial" w:hAnsi="Arial"/>
                <w:sz w:val="14"/>
                <w:szCs w:val="14"/>
                <w:color w:val="auto"/>
              </w:rPr>
              <w:t>117,091</w:t>
            </w:r>
          </w:p>
        </w:tc>
        <w:tc>
          <w:tcPr>
            <w:tcW w:w="80" w:type="dxa"/>
            <w:vAlign w:val="bottom"/>
          </w:tcPr>
          <w:p>
            <w:pPr>
              <w:spacing w:after="0"/>
              <w:rPr>
                <w:sz w:val="11"/>
                <w:szCs w:val="11"/>
                <w:color w:val="auto"/>
              </w:rPr>
            </w:pPr>
          </w:p>
        </w:tc>
        <w:tc>
          <w:tcPr>
            <w:tcW w:w="880" w:type="dxa"/>
            <w:vAlign w:val="bottom"/>
          </w:tcPr>
          <w:p>
            <w:pPr>
              <w:jc w:val="right"/>
              <w:ind w:right="35"/>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tcPr>
          <w:p>
            <w:pPr>
              <w:jc w:val="right"/>
              <w:ind w:right="53"/>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ind w:left="2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118,411</w:t>
            </w:r>
            <w:r>
              <w:rPr>
                <w:rFonts w:ascii="Arial" w:cs="Arial" w:eastAsia="Arial" w:hAnsi="Arial"/>
                <w:sz w:val="12"/>
                <w:szCs w:val="12"/>
                <w:color w:val="auto"/>
              </w:rPr>
              <w:t>(4)</w:t>
            </w:r>
          </w:p>
        </w:tc>
        <w:tc>
          <w:tcPr>
            <w:tcW w:w="960" w:type="dxa"/>
            <w:vAlign w:val="bottom"/>
            <w:gridSpan w:val="2"/>
          </w:tcPr>
          <w:p>
            <w:pPr>
              <w:jc w:val="right"/>
              <w:ind w:right="37"/>
              <w:spacing w:after="0" w:line="130" w:lineRule="exact"/>
              <w:rPr>
                <w:sz w:val="20"/>
                <w:szCs w:val="20"/>
                <w:color w:val="auto"/>
              </w:rPr>
            </w:pPr>
            <w:r>
              <w:rPr>
                <w:rFonts w:ascii="Arial" w:cs="Arial" w:eastAsia="Arial" w:hAnsi="Arial"/>
                <w:sz w:val="14"/>
                <w:szCs w:val="14"/>
                <w:color w:val="auto"/>
              </w:rPr>
              <w:t>648,579</w:t>
            </w: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Executive Vice President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120" w:type="dxa"/>
            <w:vAlign w:val="bottom"/>
          </w:tcPr>
          <w:p>
            <w:pPr>
              <w:ind w:left="200"/>
              <w:spacing w:after="0"/>
              <w:rPr>
                <w:sz w:val="20"/>
                <w:szCs w:val="20"/>
                <w:color w:val="auto"/>
              </w:rPr>
            </w:pPr>
            <w:r>
              <w:rPr>
                <w:rFonts w:ascii="Arial" w:cs="Arial" w:eastAsia="Arial" w:hAnsi="Arial"/>
                <w:sz w:val="14"/>
                <w:szCs w:val="14"/>
                <w:color w:val="auto"/>
              </w:rPr>
              <w:t>and Chief Financial Officer</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David B. Holtz</w:t>
            </w:r>
          </w:p>
        </w:tc>
        <w:tc>
          <w:tcPr>
            <w:tcW w:w="620" w:type="dxa"/>
            <w:vAlign w:val="bottom"/>
            <w:gridSpan w:val="2"/>
            <w:shd w:val="clear" w:color="auto" w:fill="CCEEFF"/>
          </w:tcPr>
          <w:p>
            <w:pPr>
              <w:jc w:val="right"/>
              <w:ind w:right="17"/>
              <w:spacing w:after="0" w:line="130"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4"/>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5"/>
              <w:spacing w:after="0" w:line="130" w:lineRule="exact"/>
              <w:rPr>
                <w:sz w:val="20"/>
                <w:szCs w:val="20"/>
                <w:color w:val="auto"/>
              </w:rPr>
            </w:pPr>
            <w:r>
              <w:rPr>
                <w:rFonts w:ascii="Arial" w:cs="Arial" w:eastAsia="Arial" w:hAnsi="Arial"/>
                <w:sz w:val="14"/>
                <w:szCs w:val="14"/>
                <w:color w:val="auto"/>
              </w:rPr>
              <w:t>233,275</w:t>
            </w:r>
          </w:p>
        </w:tc>
        <w:tc>
          <w:tcPr>
            <w:tcW w:w="960" w:type="dxa"/>
            <w:vAlign w:val="bottom"/>
            <w:gridSpan w:val="2"/>
            <w:shd w:val="clear" w:color="auto" w:fill="CCEEFF"/>
          </w:tcPr>
          <w:p>
            <w:pPr>
              <w:jc w:val="right"/>
              <w:ind w:right="35"/>
              <w:spacing w:after="0" w:line="130" w:lineRule="exact"/>
              <w:rPr>
                <w:sz w:val="20"/>
                <w:szCs w:val="20"/>
                <w:color w:val="auto"/>
              </w:rPr>
            </w:pPr>
            <w:r>
              <w:rPr>
                <w:rFonts w:ascii="Arial" w:cs="Arial" w:eastAsia="Arial" w:hAnsi="Arial"/>
                <w:sz w:val="14"/>
                <w:szCs w:val="14"/>
                <w:color w:val="auto"/>
              </w:rPr>
              <w:t>181,772</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3"/>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350,777</w:t>
            </w:r>
            <w:r>
              <w:rPr>
                <w:rFonts w:ascii="Arial" w:cs="Arial" w:eastAsia="Arial" w:hAnsi="Arial"/>
                <w:sz w:val="12"/>
                <w:szCs w:val="12"/>
                <w:color w:val="auto"/>
              </w:rPr>
              <w:t>(6)</w:t>
            </w:r>
          </w:p>
        </w:tc>
        <w:tc>
          <w:tcPr>
            <w:tcW w:w="960" w:type="dxa"/>
            <w:vAlign w:val="bottom"/>
            <w:gridSpan w:val="2"/>
            <w:shd w:val="clear" w:color="auto" w:fill="CCEEFF"/>
          </w:tcPr>
          <w:p>
            <w:pPr>
              <w:jc w:val="right"/>
              <w:ind w:right="37"/>
              <w:spacing w:after="0" w:line="130" w:lineRule="exact"/>
              <w:rPr>
                <w:sz w:val="20"/>
                <w:szCs w:val="20"/>
                <w:color w:val="auto"/>
              </w:rPr>
            </w:pPr>
            <w:r>
              <w:rPr>
                <w:rFonts w:ascii="Arial" w:cs="Arial" w:eastAsia="Arial" w:hAnsi="Arial"/>
                <w:sz w:val="14"/>
                <w:szCs w:val="14"/>
                <w:color w:val="auto"/>
              </w:rPr>
              <w:t>1,015,824</w:t>
            </w:r>
          </w:p>
        </w:tc>
      </w:tr>
      <w:tr>
        <w:trPr>
          <w:trHeight w:val="167"/>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Senior Vice President, Finance</w:t>
            </w:r>
            <w:r>
              <w:rPr>
                <w:rFonts w:ascii="Arial" w:cs="Arial" w:eastAsia="Arial" w:hAnsi="Arial"/>
                <w:sz w:val="12"/>
                <w:szCs w:val="12"/>
                <w:color w:val="auto"/>
                <w:w w:val="92"/>
              </w:rPr>
              <w:t>(5)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John B. Henneman, III</w:t>
            </w:r>
          </w:p>
        </w:tc>
        <w:tc>
          <w:tcPr>
            <w:tcW w:w="620" w:type="dxa"/>
            <w:vAlign w:val="bottom"/>
            <w:gridSpan w:val="2"/>
          </w:tcPr>
          <w:p>
            <w:pPr>
              <w:jc w:val="right"/>
              <w:ind w:right="17"/>
              <w:spacing w:after="0" w:line="130" w:lineRule="exact"/>
              <w:rPr>
                <w:sz w:val="20"/>
                <w:szCs w:val="20"/>
                <w:color w:val="auto"/>
              </w:rPr>
            </w:pPr>
            <w:r>
              <w:rPr>
                <w:rFonts w:ascii="Arial" w:cs="Arial" w:eastAsia="Arial" w:hAnsi="Arial"/>
                <w:sz w:val="14"/>
                <w:szCs w:val="14"/>
                <w:color w:val="auto"/>
              </w:rPr>
              <w:t>2006</w:t>
            </w:r>
          </w:p>
        </w:tc>
        <w:tc>
          <w:tcPr>
            <w:tcW w:w="84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420,000</w:t>
            </w:r>
          </w:p>
        </w:tc>
        <w:tc>
          <w:tcPr>
            <w:tcW w:w="860" w:type="dxa"/>
            <w:vAlign w:val="bottom"/>
            <w:gridSpan w:val="2"/>
          </w:tcPr>
          <w:p>
            <w:pPr>
              <w:jc w:val="right"/>
              <w:ind w:right="34"/>
              <w:spacing w:after="0" w:line="130" w:lineRule="exact"/>
              <w:rPr>
                <w:sz w:val="20"/>
                <w:szCs w:val="20"/>
                <w:color w:val="auto"/>
              </w:rPr>
            </w:pPr>
            <w:r>
              <w:rPr>
                <w:rFonts w:ascii="Arial" w:cs="Arial" w:eastAsia="Arial" w:hAnsi="Arial"/>
                <w:sz w:val="14"/>
                <w:szCs w:val="14"/>
                <w:color w:val="auto"/>
              </w:rPr>
              <w:t>168,000</w:t>
            </w:r>
          </w:p>
        </w:tc>
        <w:tc>
          <w:tcPr>
            <w:tcW w:w="960" w:type="dxa"/>
            <w:vAlign w:val="bottom"/>
            <w:gridSpan w:val="2"/>
          </w:tcPr>
          <w:p>
            <w:pPr>
              <w:jc w:val="right"/>
              <w:ind w:right="35"/>
              <w:spacing w:after="0" w:line="130" w:lineRule="exact"/>
              <w:rPr>
                <w:sz w:val="20"/>
                <w:szCs w:val="20"/>
                <w:color w:val="auto"/>
              </w:rPr>
            </w:pPr>
            <w:r>
              <w:rPr>
                <w:rFonts w:ascii="Arial" w:cs="Arial" w:eastAsia="Arial" w:hAnsi="Arial"/>
                <w:sz w:val="14"/>
                <w:szCs w:val="14"/>
                <w:color w:val="auto"/>
              </w:rPr>
              <w:t>1,169,462</w:t>
            </w:r>
          </w:p>
        </w:tc>
        <w:tc>
          <w:tcPr>
            <w:tcW w:w="960" w:type="dxa"/>
            <w:vAlign w:val="bottom"/>
            <w:gridSpan w:val="2"/>
          </w:tcPr>
          <w:p>
            <w:pPr>
              <w:jc w:val="right"/>
              <w:ind w:right="35"/>
              <w:spacing w:after="0" w:line="130" w:lineRule="exact"/>
              <w:rPr>
                <w:sz w:val="20"/>
                <w:szCs w:val="20"/>
                <w:color w:val="auto"/>
              </w:rPr>
            </w:pPr>
            <w:r>
              <w:rPr>
                <w:rFonts w:ascii="Arial" w:cs="Arial" w:eastAsia="Arial" w:hAnsi="Arial"/>
                <w:sz w:val="14"/>
                <w:szCs w:val="14"/>
                <w:color w:val="auto"/>
              </w:rPr>
              <w:t>785,907</w:t>
            </w:r>
          </w:p>
        </w:tc>
        <w:tc>
          <w:tcPr>
            <w:tcW w:w="80" w:type="dxa"/>
            <w:vAlign w:val="bottom"/>
          </w:tcPr>
          <w:p>
            <w:pPr>
              <w:spacing w:after="0"/>
              <w:rPr>
                <w:sz w:val="11"/>
                <w:szCs w:val="11"/>
                <w:color w:val="auto"/>
              </w:rPr>
            </w:pPr>
          </w:p>
        </w:tc>
        <w:tc>
          <w:tcPr>
            <w:tcW w:w="760" w:type="dxa"/>
            <w:vAlign w:val="bottom"/>
          </w:tcPr>
          <w:p>
            <w:pPr>
              <w:jc w:val="right"/>
              <w:ind w:right="53"/>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ind w:left="2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5"/>
              <w:spacing w:after="0" w:line="130" w:lineRule="exact"/>
              <w:rPr>
                <w:sz w:val="20"/>
                <w:szCs w:val="20"/>
                <w:color w:val="auto"/>
              </w:rPr>
            </w:pPr>
            <w:r>
              <w:rPr>
                <w:rFonts w:ascii="Arial" w:cs="Arial" w:eastAsia="Arial" w:hAnsi="Arial"/>
                <w:sz w:val="14"/>
                <w:szCs w:val="14"/>
                <w:color w:val="auto"/>
              </w:rPr>
              <w:t>3,750</w:t>
            </w:r>
          </w:p>
        </w:tc>
        <w:tc>
          <w:tcPr>
            <w:tcW w:w="960" w:type="dxa"/>
            <w:vAlign w:val="bottom"/>
            <w:gridSpan w:val="2"/>
          </w:tcPr>
          <w:p>
            <w:pPr>
              <w:jc w:val="right"/>
              <w:ind w:right="37"/>
              <w:spacing w:after="0" w:line="130" w:lineRule="exact"/>
              <w:rPr>
                <w:sz w:val="20"/>
                <w:szCs w:val="20"/>
                <w:color w:val="auto"/>
              </w:rPr>
            </w:pPr>
            <w:r>
              <w:rPr>
                <w:rFonts w:ascii="Arial" w:cs="Arial" w:eastAsia="Arial" w:hAnsi="Arial"/>
                <w:sz w:val="14"/>
                <w:szCs w:val="14"/>
                <w:color w:val="auto"/>
              </w:rPr>
              <w:t>2,547,119</w:t>
            </w: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Executive Vice President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120" w:type="dxa"/>
            <w:vAlign w:val="bottom"/>
          </w:tcPr>
          <w:p>
            <w:pPr>
              <w:ind w:left="200"/>
              <w:spacing w:after="0"/>
              <w:rPr>
                <w:sz w:val="20"/>
                <w:szCs w:val="20"/>
                <w:color w:val="auto"/>
              </w:rPr>
            </w:pPr>
            <w:r>
              <w:rPr>
                <w:rFonts w:ascii="Arial" w:cs="Arial" w:eastAsia="Arial" w:hAnsi="Arial"/>
                <w:sz w:val="14"/>
                <w:szCs w:val="14"/>
                <w:color w:val="auto"/>
                <w:w w:val="96"/>
              </w:rPr>
              <w:t>and Chief Administrative Officer</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Gerard S. Carlozzi</w:t>
            </w:r>
          </w:p>
        </w:tc>
        <w:tc>
          <w:tcPr>
            <w:tcW w:w="620" w:type="dxa"/>
            <w:vAlign w:val="bottom"/>
            <w:gridSpan w:val="2"/>
            <w:shd w:val="clear" w:color="auto" w:fill="CCEEFF"/>
          </w:tcPr>
          <w:p>
            <w:pPr>
              <w:jc w:val="right"/>
              <w:ind w:right="17"/>
              <w:spacing w:after="0" w:line="130" w:lineRule="exact"/>
              <w:rPr>
                <w:sz w:val="20"/>
                <w:szCs w:val="20"/>
                <w:color w:val="auto"/>
              </w:rPr>
            </w:pPr>
            <w:r>
              <w:rPr>
                <w:rFonts w:ascii="Arial" w:cs="Arial" w:eastAsia="Arial" w:hAnsi="Arial"/>
                <w:sz w:val="14"/>
                <w:szCs w:val="14"/>
                <w:color w:val="auto"/>
              </w:rPr>
              <w:t>2006</w:t>
            </w:r>
          </w:p>
        </w:tc>
        <w:tc>
          <w:tcPr>
            <w:tcW w:w="8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400,000</w:t>
            </w:r>
          </w:p>
        </w:tc>
        <w:tc>
          <w:tcPr>
            <w:tcW w:w="860" w:type="dxa"/>
            <w:vAlign w:val="bottom"/>
            <w:gridSpan w:val="2"/>
            <w:shd w:val="clear" w:color="auto" w:fill="CCEEFF"/>
          </w:tcPr>
          <w:p>
            <w:pPr>
              <w:jc w:val="right"/>
              <w:ind w:right="34"/>
              <w:spacing w:after="0" w:line="130" w:lineRule="exact"/>
              <w:rPr>
                <w:sz w:val="20"/>
                <w:szCs w:val="20"/>
                <w:color w:val="auto"/>
              </w:rPr>
            </w:pPr>
            <w:r>
              <w:rPr>
                <w:rFonts w:ascii="Arial" w:cs="Arial" w:eastAsia="Arial" w:hAnsi="Arial"/>
                <w:sz w:val="14"/>
                <w:szCs w:val="14"/>
                <w:color w:val="auto"/>
              </w:rPr>
              <w:t>160,000</w:t>
            </w:r>
          </w:p>
        </w:tc>
        <w:tc>
          <w:tcPr>
            <w:tcW w:w="960" w:type="dxa"/>
            <w:vAlign w:val="bottom"/>
            <w:gridSpan w:val="2"/>
            <w:shd w:val="clear" w:color="auto" w:fill="CCEEFF"/>
          </w:tcPr>
          <w:p>
            <w:pPr>
              <w:jc w:val="right"/>
              <w:ind w:right="35"/>
              <w:spacing w:after="0" w:line="130" w:lineRule="exact"/>
              <w:rPr>
                <w:sz w:val="20"/>
                <w:szCs w:val="20"/>
                <w:color w:val="auto"/>
              </w:rPr>
            </w:pPr>
            <w:r>
              <w:rPr>
                <w:rFonts w:ascii="Arial" w:cs="Arial" w:eastAsia="Arial" w:hAnsi="Arial"/>
                <w:sz w:val="14"/>
                <w:szCs w:val="14"/>
                <w:color w:val="auto"/>
              </w:rPr>
              <w:t>1,169,462</w:t>
            </w:r>
          </w:p>
        </w:tc>
        <w:tc>
          <w:tcPr>
            <w:tcW w:w="960" w:type="dxa"/>
            <w:vAlign w:val="bottom"/>
            <w:gridSpan w:val="2"/>
            <w:shd w:val="clear" w:color="auto" w:fill="CCEEFF"/>
          </w:tcPr>
          <w:p>
            <w:pPr>
              <w:jc w:val="right"/>
              <w:ind w:right="35"/>
              <w:spacing w:after="0" w:line="130" w:lineRule="exact"/>
              <w:rPr>
                <w:sz w:val="20"/>
                <w:szCs w:val="20"/>
                <w:color w:val="auto"/>
              </w:rPr>
            </w:pPr>
            <w:r>
              <w:rPr>
                <w:rFonts w:ascii="Arial" w:cs="Arial" w:eastAsia="Arial" w:hAnsi="Arial"/>
                <w:sz w:val="14"/>
                <w:szCs w:val="14"/>
                <w:color w:val="auto"/>
              </w:rPr>
              <w:t>973,568</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53"/>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5"/>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7"/>
              <w:spacing w:after="0" w:line="130" w:lineRule="exact"/>
              <w:rPr>
                <w:sz w:val="20"/>
                <w:szCs w:val="20"/>
                <w:color w:val="auto"/>
              </w:rPr>
            </w:pPr>
            <w:r>
              <w:rPr>
                <w:rFonts w:ascii="Arial" w:cs="Arial" w:eastAsia="Arial" w:hAnsi="Arial"/>
                <w:sz w:val="14"/>
                <w:szCs w:val="14"/>
                <w:color w:val="auto"/>
              </w:rPr>
              <w:t>2,703,030</w:t>
            </w:r>
          </w:p>
        </w:tc>
      </w:tr>
      <w:tr>
        <w:trPr>
          <w:trHeight w:val="149"/>
        </w:trPr>
        <w:tc>
          <w:tcPr>
            <w:tcW w:w="2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Executive Vice President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Chief Operating Officer</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Judith E. O’Grady</w:t>
            </w:r>
          </w:p>
        </w:tc>
        <w:tc>
          <w:tcPr>
            <w:tcW w:w="620" w:type="dxa"/>
            <w:vAlign w:val="bottom"/>
            <w:gridSpan w:val="2"/>
          </w:tcPr>
          <w:p>
            <w:pPr>
              <w:jc w:val="right"/>
              <w:ind w:right="17"/>
              <w:spacing w:after="0" w:line="130" w:lineRule="exact"/>
              <w:rPr>
                <w:sz w:val="20"/>
                <w:szCs w:val="20"/>
                <w:color w:val="auto"/>
              </w:rPr>
            </w:pPr>
            <w:r>
              <w:rPr>
                <w:rFonts w:ascii="Arial" w:cs="Arial" w:eastAsia="Arial" w:hAnsi="Arial"/>
                <w:sz w:val="14"/>
                <w:szCs w:val="14"/>
                <w:color w:val="auto"/>
              </w:rPr>
              <w:t>2006</w:t>
            </w:r>
          </w:p>
        </w:tc>
        <w:tc>
          <w:tcPr>
            <w:tcW w:w="84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227,577</w:t>
            </w:r>
          </w:p>
        </w:tc>
        <w:tc>
          <w:tcPr>
            <w:tcW w:w="860" w:type="dxa"/>
            <w:vAlign w:val="bottom"/>
            <w:gridSpan w:val="2"/>
          </w:tcPr>
          <w:p>
            <w:pPr>
              <w:jc w:val="right"/>
              <w:ind w:right="34"/>
              <w:spacing w:after="0" w:line="130" w:lineRule="exact"/>
              <w:rPr>
                <w:sz w:val="20"/>
                <w:szCs w:val="20"/>
                <w:color w:val="auto"/>
              </w:rPr>
            </w:pPr>
            <w:r>
              <w:rPr>
                <w:rFonts w:ascii="Arial" w:cs="Arial" w:eastAsia="Arial" w:hAnsi="Arial"/>
                <w:sz w:val="14"/>
                <w:szCs w:val="14"/>
                <w:color w:val="auto"/>
              </w:rPr>
              <w:t>3,000</w:t>
            </w:r>
          </w:p>
        </w:tc>
        <w:tc>
          <w:tcPr>
            <w:tcW w:w="960" w:type="dxa"/>
            <w:vAlign w:val="bottom"/>
            <w:gridSpan w:val="2"/>
          </w:tcPr>
          <w:p>
            <w:pPr>
              <w:jc w:val="right"/>
              <w:ind w:right="35"/>
              <w:spacing w:after="0" w:line="130" w:lineRule="exact"/>
              <w:rPr>
                <w:sz w:val="20"/>
                <w:szCs w:val="20"/>
                <w:color w:val="auto"/>
              </w:rPr>
            </w:pPr>
            <w:r>
              <w:rPr>
                <w:rFonts w:ascii="Arial" w:cs="Arial" w:eastAsia="Arial" w:hAnsi="Arial"/>
                <w:sz w:val="14"/>
                <w:szCs w:val="14"/>
                <w:color w:val="auto"/>
              </w:rPr>
              <w:t>37,411</w:t>
            </w:r>
          </w:p>
        </w:tc>
        <w:tc>
          <w:tcPr>
            <w:tcW w:w="960" w:type="dxa"/>
            <w:vAlign w:val="bottom"/>
            <w:gridSpan w:val="2"/>
          </w:tcPr>
          <w:p>
            <w:pPr>
              <w:jc w:val="right"/>
              <w:ind w:right="35"/>
              <w:spacing w:after="0" w:line="130" w:lineRule="exact"/>
              <w:rPr>
                <w:sz w:val="20"/>
                <w:szCs w:val="20"/>
                <w:color w:val="auto"/>
              </w:rPr>
            </w:pPr>
            <w:r>
              <w:rPr>
                <w:rFonts w:ascii="Arial" w:cs="Arial" w:eastAsia="Arial" w:hAnsi="Arial"/>
                <w:sz w:val="14"/>
                <w:szCs w:val="14"/>
                <w:color w:val="auto"/>
              </w:rPr>
              <w:t>167,828</w:t>
            </w:r>
          </w:p>
        </w:tc>
        <w:tc>
          <w:tcPr>
            <w:tcW w:w="840" w:type="dxa"/>
            <w:vAlign w:val="bottom"/>
            <w:gridSpan w:val="2"/>
          </w:tcPr>
          <w:p>
            <w:pPr>
              <w:jc w:val="right"/>
              <w:ind w:right="53"/>
              <w:spacing w:after="0" w:line="130" w:lineRule="exact"/>
              <w:rPr>
                <w:sz w:val="20"/>
                <w:szCs w:val="20"/>
                <w:color w:val="auto"/>
              </w:rPr>
            </w:pPr>
            <w:r>
              <w:rPr>
                <w:rFonts w:ascii="Arial" w:cs="Arial" w:eastAsia="Arial" w:hAnsi="Arial"/>
                <w:sz w:val="14"/>
                <w:szCs w:val="14"/>
                <w:color w:val="auto"/>
              </w:rPr>
              <w:t>41,112</w:t>
            </w:r>
          </w:p>
        </w:tc>
        <w:tc>
          <w:tcPr>
            <w:tcW w:w="100" w:type="dxa"/>
            <w:vAlign w:val="bottom"/>
          </w:tcPr>
          <w:p>
            <w:pPr>
              <w:spacing w:after="0"/>
              <w:rPr>
                <w:sz w:val="11"/>
                <w:szCs w:val="11"/>
                <w:color w:val="auto"/>
              </w:rPr>
            </w:pPr>
          </w:p>
        </w:tc>
        <w:tc>
          <w:tcPr>
            <w:tcW w:w="560" w:type="dxa"/>
            <w:vAlign w:val="bottom"/>
          </w:tcPr>
          <w:p>
            <w:pPr>
              <w:ind w:left="2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95"/>
              <w:spacing w:after="0" w:line="130" w:lineRule="exact"/>
              <w:rPr>
                <w:sz w:val="20"/>
                <w:szCs w:val="20"/>
                <w:color w:val="auto"/>
              </w:rPr>
            </w:pPr>
            <w:r>
              <w:rPr>
                <w:rFonts w:ascii="Arial" w:cs="Arial" w:eastAsia="Arial" w:hAnsi="Arial"/>
                <w:sz w:val="14"/>
                <w:szCs w:val="14"/>
                <w:color w:val="auto"/>
              </w:rPr>
              <w:t>3,750</w:t>
            </w:r>
          </w:p>
        </w:tc>
        <w:tc>
          <w:tcPr>
            <w:tcW w:w="960" w:type="dxa"/>
            <w:vAlign w:val="bottom"/>
            <w:gridSpan w:val="2"/>
          </w:tcPr>
          <w:p>
            <w:pPr>
              <w:jc w:val="right"/>
              <w:ind w:right="37"/>
              <w:spacing w:after="0" w:line="130" w:lineRule="exact"/>
              <w:rPr>
                <w:sz w:val="20"/>
                <w:szCs w:val="20"/>
                <w:color w:val="auto"/>
              </w:rPr>
            </w:pPr>
            <w:r>
              <w:rPr>
                <w:rFonts w:ascii="Arial" w:cs="Arial" w:eastAsia="Arial" w:hAnsi="Arial"/>
                <w:sz w:val="14"/>
                <w:szCs w:val="14"/>
                <w:color w:val="auto"/>
              </w:rPr>
              <w:t>480,678</w:t>
            </w: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Senior Vice President,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2120" w:type="dxa"/>
            <w:vAlign w:val="bottom"/>
          </w:tcPr>
          <w:p>
            <w:pPr>
              <w:ind w:left="200"/>
              <w:spacing w:after="0" w:line="149" w:lineRule="exact"/>
              <w:rPr>
                <w:sz w:val="20"/>
                <w:szCs w:val="20"/>
                <w:color w:val="auto"/>
              </w:rPr>
            </w:pPr>
            <w:r>
              <w:rPr>
                <w:rFonts w:ascii="Arial" w:cs="Arial" w:eastAsia="Arial" w:hAnsi="Arial"/>
                <w:sz w:val="14"/>
                <w:szCs w:val="14"/>
                <w:color w:val="auto"/>
              </w:rPr>
              <w:t>Regulatory, Quality Assurance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2"/>
        </w:trPr>
        <w:tc>
          <w:tcPr>
            <w:tcW w:w="2120" w:type="dxa"/>
            <w:vAlign w:val="bottom"/>
          </w:tcPr>
          <w:p>
            <w:pPr>
              <w:ind w:left="200"/>
              <w:spacing w:after="0"/>
              <w:rPr>
                <w:sz w:val="20"/>
                <w:szCs w:val="20"/>
                <w:color w:val="auto"/>
              </w:rPr>
            </w:pPr>
            <w:r>
              <w:rPr>
                <w:rFonts w:ascii="Arial" w:cs="Arial" w:eastAsia="Arial" w:hAnsi="Arial"/>
                <w:sz w:val="14"/>
                <w:szCs w:val="14"/>
                <w:color w:val="auto"/>
              </w:rPr>
              <w:t>and Clinical Affairs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115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720" w:right="159" w:hanging="388"/>
        <w:spacing w:after="0" w:line="290"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amounts in Columns (e) and (f) reflect the dollar amount recognized for financial statement reporting purposes for the fiscal year ended December 31, 2006 in accordance with FAS 123(R) of awards pursuant to the Company’s equity incentive plans and therefore may include amounts from awards granted in 2006 and prior. Assumptions used in the calculation of these amounts for awards granted in fiscal years ended December 31, 2006, 2005, and 2004 are included in Note 2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to the Company’s audited financial statements for the fiscal year ended December 31, 2006,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Annual Report on Form 10-K for the year ended December 31, 2006 as filed with the Securities and Exchange Commission on March 2, 2007. Assumptions used in the calculation of these amounts for the fiscal years ended December 31, 2003 and 2002 are included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to the</w:t>
      </w: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20" w:right="179"/>
        <w:spacing w:after="0" w:line="311" w:lineRule="auto"/>
        <w:rPr>
          <w:sz w:val="20"/>
          <w:szCs w:val="20"/>
          <w:color w:val="auto"/>
        </w:rPr>
      </w:pPr>
      <w:r>
        <w:rPr>
          <w:rFonts w:ascii="Arial" w:cs="Arial" w:eastAsia="Arial" w:hAnsi="Arial"/>
          <w:sz w:val="16"/>
          <w:szCs w:val="16"/>
          <w:color w:val="auto"/>
        </w:rPr>
        <w:t>Company’s audited financial statements for the fiscal year ended December 31, 2003, included in the Company’s Annual Report on Form 10-K for the year ended December 31, 2003 as filed with the Securities and Exchange Commission on March 12, 2004. However, as required, the amounts shown exclude the impact of estimated forfeitures related to service-based vesting conditions.</w:t>
      </w:r>
    </w:p>
    <w:p>
      <w:pPr>
        <w:spacing w:after="0" w:line="1" w:lineRule="exact"/>
        <w:rPr>
          <w:sz w:val="20"/>
          <w:szCs w:val="20"/>
          <w:color w:val="auto"/>
        </w:rPr>
      </w:pPr>
    </w:p>
    <w:p>
      <w:pPr>
        <w:ind w:left="720" w:right="15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in column (g) reflect cash awards earned under the Company’s Management Incentive Compensation Plan (the “MICP”).</w:t>
      </w:r>
    </w:p>
    <w:p>
      <w:pPr>
        <w:spacing w:after="0" w:line="21" w:lineRule="exact"/>
        <w:rPr>
          <w:rFonts w:ascii="Arial" w:cs="Arial" w:eastAsia="Arial" w:hAnsi="Arial"/>
          <w:sz w:val="18"/>
          <w:szCs w:val="18"/>
          <w:color w:val="auto"/>
        </w:rPr>
      </w:pPr>
    </w:p>
    <w:p>
      <w:pPr>
        <w:ind w:left="720" w:right="159" w:hanging="388"/>
        <w:spacing w:after="0" w:line="306"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Unless otherwise indicated, (a) the amounts in this column consist of Company matching contributions made to the Company’s 401(k) plan and (b) the aggregate amount of perquisites and other personal benefits was less than $10,000.</w:t>
      </w:r>
    </w:p>
    <w:p>
      <w:pPr>
        <w:spacing w:after="0" w:line="1" w:lineRule="exact"/>
        <w:rPr>
          <w:rFonts w:ascii="Arial" w:cs="Arial" w:eastAsia="Arial" w:hAnsi="Arial"/>
          <w:sz w:val="17"/>
          <w:szCs w:val="17"/>
          <w:color w:val="auto"/>
        </w:rPr>
      </w:pPr>
    </w:p>
    <w:p>
      <w:pPr>
        <w:jc w:val="both"/>
        <w:ind w:left="720" w:right="179" w:hanging="388"/>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consists of (a) $116,380 for moving and relocation expenses, (b) $1,731 of Company matching contributions made to the Company’s 401(k) plan, and (c) $300 paid by the Company for the annual fee for a corporate credit card provided only to certain employees.</w:t>
      </w:r>
    </w:p>
    <w:p>
      <w:pPr>
        <w:spacing w:after="0" w:line="32"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Holtz was the Company’s principal financial officer until January 10, 2006. Mr. Holtz’s last day with the Company was December 31, 2006.</w:t>
      </w:r>
    </w:p>
    <w:p>
      <w:pPr>
        <w:spacing w:after="0" w:line="21" w:lineRule="exact"/>
        <w:rPr>
          <w:rFonts w:ascii="Arial" w:cs="Arial" w:eastAsia="Arial" w:hAnsi="Arial"/>
          <w:sz w:val="18"/>
          <w:szCs w:val="18"/>
          <w:color w:val="auto"/>
        </w:rPr>
      </w:pPr>
    </w:p>
    <w:p>
      <w:pPr>
        <w:jc w:val="both"/>
        <w:ind w:left="720" w:right="159" w:hanging="388"/>
        <w:spacing w:after="0" w:line="255"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consists of (a) $325,000 of severance payments provided for under Mr. Holtz’s employment agreement, (b) $9,708 of COBRA payments to be made by the Company on Mr. Holtz’s behalf for the 12 months following the end of his employment that was earned on December 31, 2006 as a result of Mr. Holtz leaving the Company, (c) $12,019 of accrued personal time payable to Mr. Holtz as a result of Mr. Holtz leaving the Company, (d) $3,750 of Company matching contributions made to the Company’s 401(k) plan and (e) $300 paid by the Company for the annual fee for a corporate credit card provided only to certain employees.</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Grants Of Plan Based Awards</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presents information on annual incentive opportunities grated under the MICP and equity awards granted under the Company’s 2003 Equity Incentive Plan.</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2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Date Fair</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9"/>
              </w:rPr>
              <w:t>Estimated Future Payouts</w:t>
            </w:r>
          </w:p>
        </w:tc>
        <w:tc>
          <w:tcPr>
            <w:tcW w:w="100" w:type="dxa"/>
            <w:vAlign w:val="bottom"/>
          </w:tcPr>
          <w:p>
            <w:pPr>
              <w:spacing w:after="0"/>
              <w:rPr>
                <w:sz w:val="10"/>
                <w:szCs w:val="10"/>
                <w:color w:val="auto"/>
              </w:rPr>
            </w:pPr>
          </w:p>
        </w:tc>
        <w:tc>
          <w:tcPr>
            <w:tcW w:w="18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of</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Date of</w:t>
            </w:r>
          </w:p>
        </w:tc>
        <w:tc>
          <w:tcPr>
            <w:tcW w:w="100" w:type="dxa"/>
            <w:vAlign w:val="bottom"/>
          </w:tcPr>
          <w:p>
            <w:pPr>
              <w:spacing w:after="0"/>
              <w:rPr>
                <w:sz w:val="10"/>
                <w:szCs w:val="10"/>
                <w:color w:val="auto"/>
              </w:rPr>
            </w:pPr>
          </w:p>
        </w:tc>
        <w:tc>
          <w:tcPr>
            <w:tcW w:w="18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1"/>
              </w:rPr>
              <w:t>Under Non-Equity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Shares of</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Price of</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Stock and</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Comp.</w:t>
            </w:r>
          </w:p>
        </w:tc>
        <w:tc>
          <w:tcPr>
            <w:tcW w:w="100" w:type="dxa"/>
            <w:vAlign w:val="bottom"/>
          </w:tcPr>
          <w:p>
            <w:pPr>
              <w:spacing w:after="0"/>
              <w:rPr>
                <w:sz w:val="10"/>
                <w:szCs w:val="10"/>
                <w:color w:val="auto"/>
              </w:rPr>
            </w:pPr>
          </w:p>
        </w:tc>
        <w:tc>
          <w:tcPr>
            <w:tcW w:w="182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9"/>
              </w:rPr>
              <w:t>Incentive Plan Awards</w:t>
            </w:r>
            <w:r>
              <w:rPr>
                <w:rFonts w:ascii="Arial" w:cs="Arial" w:eastAsia="Arial" w:hAnsi="Arial"/>
                <w:sz w:val="9"/>
                <w:szCs w:val="9"/>
                <w:b w:val="1"/>
                <w:bCs w:val="1"/>
                <w:color w:val="auto"/>
                <w:w w:val="89"/>
              </w:rPr>
              <w:t>(1)</w:t>
            </w:r>
          </w:p>
        </w:tc>
        <w:tc>
          <w:tcPr>
            <w:tcW w:w="100" w:type="dxa"/>
            <w:vAlign w:val="bottom"/>
          </w:tcPr>
          <w:p>
            <w:pPr>
              <w:spacing w:after="0"/>
              <w:rPr>
                <w:sz w:val="10"/>
                <w:szCs w:val="10"/>
                <w:color w:val="auto"/>
              </w:rPr>
            </w:pPr>
          </w:p>
        </w:tc>
        <w:tc>
          <w:tcPr>
            <w:tcW w:w="18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Incentive Plan Awards</w:t>
            </w:r>
            <w:r>
              <w:rPr>
                <w:rFonts w:ascii="Arial" w:cs="Arial" w:eastAsia="Arial" w:hAnsi="Arial"/>
                <w:sz w:val="9"/>
                <w:szCs w:val="9"/>
                <w:b w:val="1"/>
                <w:bCs w:val="1"/>
                <w:color w:val="auto"/>
                <w:w w:val="90"/>
              </w:rPr>
              <w:t>(2)</w:t>
            </w: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Stock or</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r>
      <w:tr>
        <w:trPr>
          <w:trHeight w:val="122"/>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Committee</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6"/>
              </w:rPr>
              <w:t>Threshold</w:t>
            </w:r>
          </w:p>
        </w:tc>
        <w:tc>
          <w:tcPr>
            <w:tcW w:w="100" w:type="dxa"/>
            <w:vAlign w:val="bottom"/>
          </w:tcPr>
          <w:p>
            <w:pPr>
              <w:spacing w:after="0"/>
              <w:rPr>
                <w:sz w:val="10"/>
                <w:szCs w:val="10"/>
                <w:color w:val="auto"/>
              </w:rPr>
            </w:pPr>
          </w:p>
        </w:tc>
        <w:tc>
          <w:tcPr>
            <w:tcW w:w="560" w:type="dxa"/>
            <w:vAlign w:val="bottom"/>
          </w:tcPr>
          <w:p>
            <w:pPr>
              <w:jc w:val="right"/>
              <w:ind w:right="72"/>
              <w:spacing w:after="0" w:line="122" w:lineRule="exact"/>
              <w:rPr>
                <w:sz w:val="20"/>
                <w:szCs w:val="20"/>
                <w:color w:val="auto"/>
              </w:rPr>
            </w:pPr>
            <w:r>
              <w:rPr>
                <w:rFonts w:ascii="Arial" w:cs="Arial" w:eastAsia="Arial" w:hAnsi="Arial"/>
                <w:sz w:val="11"/>
                <w:szCs w:val="11"/>
                <w:b w:val="1"/>
                <w:bCs w:val="1"/>
                <w:color w:val="auto"/>
              </w:rPr>
              <w:t>Target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8"/>
              </w:rPr>
              <w:t>Maximum</w:t>
            </w:r>
          </w:p>
        </w:tc>
        <w:tc>
          <w:tcPr>
            <w:tcW w:w="10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Threshold</w:t>
            </w:r>
          </w:p>
        </w:tc>
        <w:tc>
          <w:tcPr>
            <w:tcW w:w="120" w:type="dxa"/>
            <w:vAlign w:val="bottom"/>
          </w:tcPr>
          <w:p>
            <w:pPr>
              <w:spacing w:after="0"/>
              <w:rPr>
                <w:sz w:val="10"/>
                <w:szCs w:val="10"/>
                <w:color w:val="auto"/>
              </w:rPr>
            </w:pP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Target</w:t>
            </w:r>
          </w:p>
        </w:tc>
        <w:tc>
          <w:tcPr>
            <w:tcW w:w="5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4"/>
              </w:rPr>
              <w:t>Maximum</w:t>
            </w: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Units</w:t>
            </w:r>
            <w:r>
              <w:rPr>
                <w:rFonts w:ascii="Arial" w:cs="Arial" w:eastAsia="Arial" w:hAnsi="Arial"/>
                <w:sz w:val="9"/>
                <w:szCs w:val="9"/>
                <w:b w:val="1"/>
                <w:bCs w:val="1"/>
                <w:color w:val="auto"/>
                <w:w w:val="93"/>
              </w:rPr>
              <w:t>(3)</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Options</w:t>
            </w: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Awards</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Awards</w:t>
            </w:r>
            <w:r>
              <w:rPr>
                <w:rFonts w:ascii="Arial" w:cs="Arial" w:eastAsia="Arial" w:hAnsi="Arial"/>
                <w:sz w:val="9"/>
                <w:szCs w:val="9"/>
                <w:b w:val="1"/>
                <w:bCs w:val="1"/>
                <w:color w:val="auto"/>
                <w:w w:val="90"/>
              </w:rPr>
              <w:t>(4)</w:t>
            </w:r>
          </w:p>
        </w:tc>
      </w:tr>
      <w:tr>
        <w:trPr>
          <w:trHeight w:val="126"/>
        </w:trPr>
        <w:tc>
          <w:tcPr>
            <w:tcW w:w="136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c>
          <w:tcPr>
            <w:tcW w:w="1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Action</w:t>
            </w:r>
          </w:p>
        </w:tc>
        <w:tc>
          <w:tcPr>
            <w:tcW w:w="600" w:type="dxa"/>
            <w:vAlign w:val="bottom"/>
            <w:gridSpan w:val="2"/>
          </w:tcPr>
          <w:p>
            <w:pPr>
              <w:jc w:val="right"/>
              <w:ind w:right="136"/>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152"/>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right"/>
              <w:ind w:right="152"/>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tcPr>
          <w:p>
            <w:pPr>
              <w:jc w:val="center"/>
              <w:ind w:left="46"/>
              <w:spacing w:after="0"/>
              <w:rPr>
                <w:sz w:val="20"/>
                <w:szCs w:val="20"/>
                <w:color w:val="auto"/>
              </w:rPr>
            </w:pPr>
            <w:r>
              <w:rPr>
                <w:rFonts w:ascii="Arial" w:cs="Arial" w:eastAsia="Arial" w:hAnsi="Arial"/>
                <w:sz w:val="11"/>
                <w:szCs w:val="11"/>
                <w:b w:val="1"/>
                <w:bCs w:val="1"/>
                <w:color w:val="auto"/>
                <w:w w:val="88"/>
              </w:rPr>
              <w:t>(#)</w:t>
            </w:r>
          </w:p>
        </w:tc>
        <w:tc>
          <w:tcPr>
            <w:tcW w:w="740" w:type="dxa"/>
            <w:vAlign w:val="bottom"/>
            <w:gridSpan w:val="2"/>
          </w:tcPr>
          <w:p>
            <w:pPr>
              <w:jc w:val="center"/>
              <w:ind w:left="33"/>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0"/>
                <w:szCs w:val="10"/>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center"/>
              <w:ind w:left="33"/>
              <w:spacing w:after="0"/>
              <w:rPr>
                <w:sz w:val="20"/>
                <w:szCs w:val="20"/>
                <w:color w:val="auto"/>
              </w:rPr>
            </w:pPr>
            <w:r>
              <w:rPr>
                <w:rFonts w:ascii="Arial" w:cs="Arial" w:eastAsia="Arial" w:hAnsi="Arial"/>
                <w:sz w:val="11"/>
                <w:szCs w:val="11"/>
                <w:b w:val="1"/>
                <w:bCs w:val="1"/>
                <w:color w:val="auto"/>
                <w:w w:val="88"/>
              </w:rPr>
              <w:t>(#)</w:t>
            </w:r>
          </w:p>
        </w:tc>
        <w:tc>
          <w:tcPr>
            <w:tcW w:w="820" w:type="dxa"/>
            <w:vAlign w:val="bottom"/>
            <w:gridSpan w:val="2"/>
          </w:tcPr>
          <w:p>
            <w:pPr>
              <w:jc w:val="center"/>
              <w:ind w:left="57"/>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4"/>
              </w:rPr>
              <w:t>($/Sh)</w:t>
            </w:r>
          </w:p>
        </w:tc>
        <w:tc>
          <w:tcPr>
            <w:tcW w:w="860" w:type="dxa"/>
            <w:vAlign w:val="bottom"/>
            <w:gridSpan w:val="2"/>
          </w:tcPr>
          <w:p>
            <w:pPr>
              <w:jc w:val="center"/>
              <w:ind w:left="30"/>
              <w:spacing w:after="0"/>
              <w:rPr>
                <w:sz w:val="20"/>
                <w:szCs w:val="20"/>
                <w:color w:val="auto"/>
              </w:rPr>
            </w:pPr>
            <w:r>
              <w:rPr>
                <w:rFonts w:ascii="Arial" w:cs="Arial" w:eastAsia="Arial" w:hAnsi="Arial"/>
                <w:sz w:val="11"/>
                <w:szCs w:val="11"/>
                <w:b w:val="1"/>
                <w:bCs w:val="1"/>
                <w:color w:val="auto"/>
                <w:w w:val="88"/>
              </w:rPr>
              <w:t>($)</w:t>
            </w:r>
          </w:p>
        </w:tc>
      </w:tr>
      <w:tr>
        <w:trPr>
          <w:trHeight w:val="131"/>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(a)</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(b)</w:t>
            </w: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color w:val="auto"/>
              </w:rPr>
              <w:t>(c)</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color w:val="auto"/>
              </w:rPr>
              <w:t>(d)</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color w:val="auto"/>
              </w:rPr>
              <w:t>(e)</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(f)</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8"/>
              </w:rPr>
              <w:t>(g)</w:t>
            </w:r>
          </w:p>
        </w:tc>
        <w:tc>
          <w:tcPr>
            <w:tcW w:w="100" w:type="dxa"/>
            <w:vAlign w:val="bottom"/>
          </w:tcPr>
          <w:p>
            <w:pPr>
              <w:spacing w:after="0"/>
              <w:rPr>
                <w:sz w:val="11"/>
                <w:szCs w:val="11"/>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1"/>
                <w:szCs w:val="11"/>
                <w:color w:val="auto"/>
              </w:rPr>
              <w:t>(h)</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(i)</w:t>
            </w:r>
          </w:p>
        </w:tc>
        <w:tc>
          <w:tcPr>
            <w:tcW w:w="120" w:type="dxa"/>
            <w:vAlign w:val="bottom"/>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(j)</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(k)</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(l)</w:t>
            </w:r>
          </w:p>
        </w:tc>
      </w:tr>
      <w:tr>
        <w:trPr>
          <w:trHeight w:val="142"/>
        </w:trPr>
        <w:tc>
          <w:tcPr>
            <w:tcW w:w="1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Stuart M. Essig</w:t>
            </w:r>
          </w:p>
        </w:tc>
        <w:tc>
          <w:tcPr>
            <w:tcW w:w="760" w:type="dxa"/>
            <w:vAlign w:val="bottom"/>
            <w:gridSpan w:val="2"/>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2"/>
              </w:rPr>
              <w:t>12-19-06</w:t>
            </w:r>
          </w:p>
        </w:tc>
        <w:tc>
          <w:tcPr>
            <w:tcW w:w="780" w:type="dxa"/>
            <w:vAlign w:val="bottom"/>
            <w:gridSpan w:val="2"/>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6"/>
              </w:rPr>
              <w:t>12-19-06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6"/>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8"/>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200,000</w:t>
            </w:r>
            <w:r>
              <w:rPr>
                <w:rFonts w:ascii="Arial" w:cs="Arial" w:eastAsia="Arial" w:hAnsi="Arial"/>
                <w:sz w:val="12"/>
                <w:szCs w:val="12"/>
                <w:color w:val="auto"/>
              </w:rPr>
              <w:t>(5)</w:t>
            </w:r>
          </w:p>
        </w:tc>
        <w:tc>
          <w:tcPr>
            <w:tcW w:w="620" w:type="dxa"/>
            <w:vAlign w:val="bottom"/>
            <w:gridSpan w:val="2"/>
            <w:shd w:val="clear" w:color="auto" w:fill="CCEEFF"/>
          </w:tcPr>
          <w:p>
            <w:pPr>
              <w:jc w:val="right"/>
              <w:ind w:right="36"/>
              <w:spacing w:after="0" w:line="142" w:lineRule="exact"/>
              <w:rPr>
                <w:sz w:val="20"/>
                <w:szCs w:val="20"/>
                <w:color w:val="auto"/>
              </w:rPr>
            </w:pPr>
            <w:r>
              <w:rPr>
                <w:rFonts w:ascii="Arial" w:cs="Arial" w:eastAsia="Arial" w:hAnsi="Arial"/>
                <w:sz w:val="14"/>
                <w:szCs w:val="14"/>
                <w:color w:val="auto"/>
              </w:rPr>
              <w:t>42.53</w:t>
            </w:r>
          </w:p>
        </w:tc>
        <w:tc>
          <w:tcPr>
            <w:tcW w:w="860" w:type="dxa"/>
            <w:vAlign w:val="bottom"/>
            <w:gridSpan w:val="2"/>
            <w:shd w:val="clear" w:color="auto" w:fill="CCEEFF"/>
          </w:tcPr>
          <w:p>
            <w:pPr>
              <w:jc w:val="right"/>
              <w:ind w:right="42"/>
              <w:spacing w:after="0" w:line="142" w:lineRule="exact"/>
              <w:rPr>
                <w:sz w:val="20"/>
                <w:szCs w:val="20"/>
                <w:color w:val="auto"/>
              </w:rPr>
            </w:pPr>
            <w:r>
              <w:rPr>
                <w:rFonts w:ascii="Arial" w:cs="Arial" w:eastAsia="Arial" w:hAnsi="Arial"/>
                <w:sz w:val="14"/>
                <w:szCs w:val="14"/>
                <w:color w:val="auto"/>
              </w:rPr>
              <w:t>3,942,680</w:t>
            </w: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w w:val="97"/>
              </w:rPr>
              <w:t>Maureen B. Bellantoni</w:t>
            </w:r>
          </w:p>
        </w:tc>
        <w:tc>
          <w:tcPr>
            <w:tcW w:w="7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2"/>
              </w:rPr>
              <w:t>01-10-06</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6"/>
              </w:rPr>
              <w:t>01-10-06</w:t>
            </w:r>
          </w:p>
        </w:tc>
        <w:tc>
          <w:tcPr>
            <w:tcW w:w="100" w:type="dxa"/>
            <w:vAlign w:val="bottom"/>
          </w:tcPr>
          <w:p>
            <w:pPr>
              <w:spacing w:after="0"/>
              <w:rPr>
                <w:sz w:val="12"/>
                <w:szCs w:val="12"/>
                <w:color w:val="auto"/>
              </w:rPr>
            </w:pPr>
          </w:p>
        </w:tc>
        <w:tc>
          <w:tcPr>
            <w:tcW w:w="500" w:type="dxa"/>
            <w:vAlign w:val="bottom"/>
          </w:tcPr>
          <w:p>
            <w:pPr>
              <w:jc w:val="right"/>
              <w:ind w:right="176"/>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9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ind w:right="97"/>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ind w:right="36"/>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
              <w:spacing w:after="0" w:line="149" w:lineRule="exact"/>
              <w:rPr>
                <w:sz w:val="20"/>
                <w:szCs w:val="20"/>
                <w:color w:val="auto"/>
              </w:rPr>
            </w:pPr>
            <w:r>
              <w:rPr>
                <w:rFonts w:ascii="Arial" w:cs="Arial" w:eastAsia="Arial" w:hAnsi="Arial"/>
                <w:sz w:val="14"/>
                <w:szCs w:val="14"/>
                <w:color w:val="auto"/>
              </w:rPr>
              <w:t>358,200</w:t>
            </w:r>
          </w:p>
        </w:tc>
      </w:tr>
      <w:tr>
        <w:trPr>
          <w:trHeight w:val="130"/>
        </w:trPr>
        <w:tc>
          <w:tcPr>
            <w:tcW w:w="1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David B. Holtz</w:t>
            </w:r>
          </w:p>
        </w:tc>
        <w:tc>
          <w:tcPr>
            <w:tcW w:w="76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09-18-06</w:t>
            </w:r>
          </w:p>
        </w:tc>
        <w:tc>
          <w:tcPr>
            <w:tcW w:w="78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6"/>
              </w:rPr>
              <w:t>09-18-06</w:t>
            </w:r>
          </w:p>
        </w:tc>
        <w:tc>
          <w:tcPr>
            <w:tcW w:w="600" w:type="dxa"/>
            <w:vAlign w:val="bottom"/>
            <w:gridSpan w:val="2"/>
            <w:shd w:val="clear" w:color="auto" w:fill="CCEEFF"/>
          </w:tcPr>
          <w:p>
            <w:pPr>
              <w:jc w:val="right"/>
              <w:ind w:right="176"/>
              <w:spacing w:after="0" w:line="130"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40,625</w:t>
            </w:r>
          </w:p>
        </w:tc>
        <w:tc>
          <w:tcPr>
            <w:tcW w:w="660" w:type="dxa"/>
            <w:vAlign w:val="bottom"/>
            <w:gridSpan w:val="2"/>
            <w:shd w:val="clear" w:color="auto" w:fill="CCEEFF"/>
          </w:tcPr>
          <w:p>
            <w:pPr>
              <w:jc w:val="right"/>
              <w:ind w:right="12"/>
              <w:spacing w:after="0" w:line="130" w:lineRule="exact"/>
              <w:rPr>
                <w:sz w:val="20"/>
                <w:szCs w:val="20"/>
                <w:color w:val="auto"/>
              </w:rPr>
            </w:pPr>
            <w:r>
              <w:rPr>
                <w:rFonts w:ascii="Arial" w:cs="Arial" w:eastAsia="Arial" w:hAnsi="Arial"/>
                <w:sz w:val="14"/>
                <w:szCs w:val="14"/>
                <w:color w:val="auto"/>
              </w:rPr>
              <w:t>60,938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98"/>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97"/>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6"/>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42"/>
              <w:spacing w:after="0" w:line="130" w:lineRule="exact"/>
              <w:rPr>
                <w:sz w:val="20"/>
                <w:szCs w:val="20"/>
                <w:color w:val="auto"/>
              </w:rPr>
            </w:pPr>
            <w:r>
              <w:rPr>
                <w:rFonts w:ascii="Arial" w:cs="Arial" w:eastAsia="Arial" w:hAnsi="Arial"/>
                <w:sz w:val="14"/>
                <w:szCs w:val="14"/>
                <w:color w:val="auto"/>
              </w:rPr>
              <w:t>—</w:t>
            </w:r>
          </w:p>
        </w:tc>
      </w:tr>
      <w:tr>
        <w:trPr>
          <w:trHeight w:val="167"/>
        </w:trPr>
        <w:tc>
          <w:tcPr>
            <w:tcW w:w="1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2"/>
              </w:rPr>
              <w:t>10-02-06</w:t>
            </w:r>
          </w:p>
        </w:tc>
        <w:tc>
          <w:tcPr>
            <w:tcW w:w="7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09-18-06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7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269</w:t>
            </w:r>
            <w:r>
              <w:rPr>
                <w:rFonts w:ascii="Arial" w:cs="Arial" w:eastAsia="Arial" w:hAnsi="Arial"/>
                <w:sz w:val="12"/>
                <w:szCs w:val="12"/>
                <w:color w:val="auto"/>
              </w:rPr>
              <w:t>(6)</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4"/>
                <w:szCs w:val="14"/>
                <w:color w:val="auto"/>
              </w:rPr>
              <w:t>9,985</w:t>
            </w: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w w:val="96"/>
              </w:rPr>
              <w:t>John B. Henneman, III</w:t>
            </w:r>
          </w:p>
        </w:tc>
        <w:tc>
          <w:tcPr>
            <w:tcW w:w="7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2"/>
              </w:rPr>
              <w:t>01-03-06</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6"/>
              </w:rPr>
              <w:t>12-19-05</w:t>
            </w:r>
          </w:p>
        </w:tc>
        <w:tc>
          <w:tcPr>
            <w:tcW w:w="100" w:type="dxa"/>
            <w:vAlign w:val="bottom"/>
          </w:tcPr>
          <w:p>
            <w:pPr>
              <w:spacing w:after="0"/>
              <w:rPr>
                <w:sz w:val="12"/>
                <w:szCs w:val="12"/>
                <w:color w:val="auto"/>
              </w:rPr>
            </w:pPr>
          </w:p>
        </w:tc>
        <w:tc>
          <w:tcPr>
            <w:tcW w:w="500" w:type="dxa"/>
            <w:vAlign w:val="bottom"/>
          </w:tcPr>
          <w:p>
            <w:pPr>
              <w:jc w:val="right"/>
              <w:ind w:right="176"/>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9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ind w:right="97"/>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ind w:right="36"/>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
              <w:spacing w:after="0" w:line="149" w:lineRule="exact"/>
              <w:rPr>
                <w:sz w:val="20"/>
                <w:szCs w:val="20"/>
                <w:color w:val="auto"/>
              </w:rPr>
            </w:pPr>
            <w:r>
              <w:rPr>
                <w:rFonts w:ascii="Arial" w:cs="Arial" w:eastAsia="Arial" w:hAnsi="Arial"/>
                <w:sz w:val="14"/>
                <w:szCs w:val="14"/>
                <w:color w:val="auto"/>
              </w:rPr>
              <w:t>3,531,00</w:t>
            </w:r>
          </w:p>
        </w:tc>
      </w:tr>
      <w:tr>
        <w:trPr>
          <w:trHeight w:val="149"/>
        </w:trPr>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Gerard S. Carlozzi</w:t>
            </w:r>
          </w:p>
        </w:tc>
        <w:tc>
          <w:tcPr>
            <w:tcW w:w="7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01-03-06</w:t>
            </w:r>
          </w:p>
        </w:tc>
        <w:tc>
          <w:tcPr>
            <w:tcW w:w="7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6"/>
              </w:rPr>
              <w:t>12-19-05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6"/>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6"/>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2"/>
              <w:spacing w:after="0" w:line="149" w:lineRule="exact"/>
              <w:rPr>
                <w:sz w:val="20"/>
                <w:szCs w:val="20"/>
                <w:color w:val="auto"/>
              </w:rPr>
            </w:pPr>
            <w:r>
              <w:rPr>
                <w:rFonts w:ascii="Arial" w:cs="Arial" w:eastAsia="Arial" w:hAnsi="Arial"/>
                <w:sz w:val="14"/>
                <w:szCs w:val="14"/>
                <w:color w:val="auto"/>
              </w:rPr>
              <w:t>3,531,00</w:t>
            </w:r>
          </w:p>
        </w:tc>
      </w:tr>
      <w:tr>
        <w:trPr>
          <w:trHeight w:val="130"/>
        </w:trPr>
        <w:tc>
          <w:tcPr>
            <w:tcW w:w="1360" w:type="dxa"/>
            <w:vAlign w:val="bottom"/>
          </w:tcPr>
          <w:p>
            <w:pPr>
              <w:spacing w:after="0" w:line="130" w:lineRule="exact"/>
              <w:rPr>
                <w:sz w:val="20"/>
                <w:szCs w:val="20"/>
                <w:color w:val="auto"/>
              </w:rPr>
            </w:pPr>
            <w:r>
              <w:rPr>
                <w:rFonts w:ascii="Arial" w:cs="Arial" w:eastAsia="Arial" w:hAnsi="Arial"/>
                <w:sz w:val="14"/>
                <w:szCs w:val="14"/>
                <w:color w:val="auto"/>
              </w:rPr>
              <w:t>Judith E. O’Grady</w:t>
            </w:r>
          </w:p>
        </w:tc>
        <w:tc>
          <w:tcPr>
            <w:tcW w:w="76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w w:val="92"/>
              </w:rPr>
              <w:t>01-03-06</w:t>
            </w:r>
          </w:p>
        </w:tc>
        <w:tc>
          <w:tcPr>
            <w:tcW w:w="78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w w:val="96"/>
              </w:rPr>
              <w:t>12-19-05</w:t>
            </w:r>
          </w:p>
        </w:tc>
        <w:tc>
          <w:tcPr>
            <w:tcW w:w="100" w:type="dxa"/>
            <w:vAlign w:val="bottom"/>
          </w:tcPr>
          <w:p>
            <w:pPr>
              <w:spacing w:after="0"/>
              <w:rPr>
                <w:sz w:val="11"/>
                <w:szCs w:val="11"/>
                <w:color w:val="auto"/>
              </w:rPr>
            </w:pPr>
          </w:p>
        </w:tc>
        <w:tc>
          <w:tcPr>
            <w:tcW w:w="500" w:type="dxa"/>
            <w:vAlign w:val="bottom"/>
          </w:tcPr>
          <w:p>
            <w:pPr>
              <w:jc w:val="right"/>
              <w:ind w:right="176"/>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Pr>
          <w:p>
            <w:pPr>
              <w:jc w:val="right"/>
              <w:ind w:right="12"/>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520" w:type="dxa"/>
            <w:vAlign w:val="bottom"/>
          </w:tcPr>
          <w:p>
            <w:pPr>
              <w:ind w:left="140"/>
              <w:spacing w:after="0" w:line="130"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8"/>
              <w:spacing w:after="0" w:line="130" w:lineRule="exact"/>
              <w:rPr>
                <w:sz w:val="20"/>
                <w:szCs w:val="20"/>
                <w:color w:val="auto"/>
              </w:rPr>
            </w:pPr>
            <w:r>
              <w:rPr>
                <w:rFonts w:ascii="Arial" w:cs="Arial" w:eastAsia="Arial" w:hAnsi="Arial"/>
                <w:sz w:val="14"/>
                <w:szCs w:val="14"/>
                <w:color w:val="auto"/>
              </w:rPr>
              <w:t>2,500</w:t>
            </w:r>
          </w:p>
        </w:tc>
        <w:tc>
          <w:tcPr>
            <w:tcW w:w="120" w:type="dxa"/>
            <w:vAlign w:val="bottom"/>
          </w:tcPr>
          <w:p>
            <w:pPr>
              <w:spacing w:after="0"/>
              <w:rPr>
                <w:sz w:val="11"/>
                <w:szCs w:val="11"/>
                <w:color w:val="auto"/>
              </w:rPr>
            </w:pPr>
          </w:p>
        </w:tc>
        <w:tc>
          <w:tcPr>
            <w:tcW w:w="700" w:type="dxa"/>
            <w:vAlign w:val="bottom"/>
          </w:tcPr>
          <w:p>
            <w:pPr>
              <w:jc w:val="right"/>
              <w:ind w:right="97"/>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00" w:type="dxa"/>
            <w:vAlign w:val="bottom"/>
          </w:tcPr>
          <w:p>
            <w:pPr>
              <w:jc w:val="right"/>
              <w:ind w:right="36"/>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
              <w:spacing w:after="0" w:line="130" w:lineRule="exact"/>
              <w:rPr>
                <w:sz w:val="20"/>
                <w:szCs w:val="20"/>
                <w:color w:val="auto"/>
              </w:rPr>
            </w:pPr>
            <w:r>
              <w:rPr>
                <w:rFonts w:ascii="Arial" w:cs="Arial" w:eastAsia="Arial" w:hAnsi="Arial"/>
                <w:sz w:val="14"/>
                <w:szCs w:val="14"/>
                <w:color w:val="auto"/>
              </w:rPr>
              <w:t>88,275</w:t>
            </w:r>
          </w:p>
        </w:tc>
      </w:tr>
      <w:tr>
        <w:trPr>
          <w:trHeight w:val="149"/>
        </w:trPr>
        <w:tc>
          <w:tcPr>
            <w:tcW w:w="1360" w:type="dxa"/>
            <w:vAlign w:val="bottom"/>
          </w:tcPr>
          <w:p>
            <w:pPr>
              <w:spacing w:after="0"/>
              <w:rPr>
                <w:sz w:val="12"/>
                <w:szCs w:val="12"/>
                <w:color w:val="auto"/>
              </w:rPr>
            </w:pPr>
          </w:p>
        </w:tc>
        <w:tc>
          <w:tcPr>
            <w:tcW w:w="7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2"/>
              </w:rPr>
              <w:t>07-03-06</w:t>
            </w:r>
          </w:p>
        </w:tc>
        <w:tc>
          <w:tcPr>
            <w:tcW w:w="7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6"/>
              </w:rPr>
              <w:t>06-16-06</w:t>
            </w:r>
          </w:p>
        </w:tc>
        <w:tc>
          <w:tcPr>
            <w:tcW w:w="100" w:type="dxa"/>
            <w:vAlign w:val="bottom"/>
          </w:tcPr>
          <w:p>
            <w:pPr>
              <w:spacing w:after="0"/>
              <w:rPr>
                <w:sz w:val="12"/>
                <w:szCs w:val="12"/>
                <w:color w:val="auto"/>
              </w:rPr>
            </w:pPr>
          </w:p>
        </w:tc>
        <w:tc>
          <w:tcPr>
            <w:tcW w:w="500" w:type="dxa"/>
            <w:vAlign w:val="bottom"/>
          </w:tcPr>
          <w:p>
            <w:pPr>
              <w:jc w:val="right"/>
              <w:ind w:right="176"/>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1,282</w:t>
            </w:r>
          </w:p>
        </w:tc>
        <w:tc>
          <w:tcPr>
            <w:tcW w:w="120" w:type="dxa"/>
            <w:vAlign w:val="bottom"/>
          </w:tcPr>
          <w:p>
            <w:pPr>
              <w:spacing w:after="0"/>
              <w:rPr>
                <w:sz w:val="12"/>
                <w:szCs w:val="12"/>
                <w:color w:val="auto"/>
              </w:rPr>
            </w:pPr>
          </w:p>
        </w:tc>
        <w:tc>
          <w:tcPr>
            <w:tcW w:w="700" w:type="dxa"/>
            <w:vAlign w:val="bottom"/>
          </w:tcPr>
          <w:p>
            <w:pPr>
              <w:jc w:val="right"/>
              <w:ind w:right="97"/>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ind w:right="36"/>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2"/>
              <w:spacing w:after="0" w:line="149" w:lineRule="exact"/>
              <w:rPr>
                <w:sz w:val="20"/>
                <w:szCs w:val="20"/>
                <w:color w:val="auto"/>
              </w:rPr>
            </w:pPr>
            <w:r>
              <w:rPr>
                <w:rFonts w:ascii="Arial" w:cs="Arial" w:eastAsia="Arial" w:hAnsi="Arial"/>
                <w:sz w:val="14"/>
                <w:szCs w:val="14"/>
                <w:color w:val="auto"/>
              </w:rPr>
              <w:t>49,988</w:t>
            </w:r>
          </w:p>
        </w:tc>
      </w:tr>
      <w:tr>
        <w:trPr>
          <w:trHeight w:val="182"/>
        </w:trPr>
        <w:tc>
          <w:tcPr>
            <w:tcW w:w="1360" w:type="dxa"/>
            <w:vAlign w:val="bottom"/>
          </w:tcPr>
          <w:p>
            <w:pPr>
              <w:spacing w:after="0"/>
              <w:rPr>
                <w:sz w:val="15"/>
                <w:szCs w:val="15"/>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color w:val="auto"/>
                <w:w w:val="92"/>
              </w:rPr>
              <w:t>09-18-06</w:t>
            </w:r>
          </w:p>
        </w:tc>
        <w:tc>
          <w:tcPr>
            <w:tcW w:w="78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09-18-06</w:t>
            </w:r>
          </w:p>
        </w:tc>
        <w:tc>
          <w:tcPr>
            <w:tcW w:w="600" w:type="dxa"/>
            <w:vAlign w:val="bottom"/>
            <w:gridSpan w:val="2"/>
          </w:tcPr>
          <w:p>
            <w:pPr>
              <w:jc w:val="right"/>
              <w:ind w:right="176"/>
              <w:spacing w:after="0"/>
              <w:rPr>
                <w:sz w:val="20"/>
                <w:szCs w:val="20"/>
                <w:color w:val="auto"/>
              </w:rPr>
            </w:pPr>
            <w:r>
              <w:rPr>
                <w:rFonts w:ascii="Arial" w:cs="Arial" w:eastAsia="Arial" w:hAnsi="Arial"/>
                <w:sz w:val="14"/>
                <w:szCs w:val="14"/>
                <w:color w:val="auto"/>
              </w:rPr>
              <w:t>0</w:t>
            </w:r>
          </w:p>
        </w:tc>
        <w:tc>
          <w:tcPr>
            <w:tcW w:w="660" w:type="dxa"/>
            <w:vAlign w:val="bottom"/>
            <w:gridSpan w:val="2"/>
          </w:tcPr>
          <w:p>
            <w:pPr>
              <w:jc w:val="right"/>
              <w:ind w:right="12"/>
              <w:spacing w:after="0"/>
              <w:rPr>
                <w:sz w:val="20"/>
                <w:szCs w:val="20"/>
                <w:color w:val="auto"/>
              </w:rPr>
            </w:pPr>
            <w:r>
              <w:rPr>
                <w:rFonts w:ascii="Arial" w:cs="Arial" w:eastAsia="Arial" w:hAnsi="Arial"/>
                <w:sz w:val="14"/>
                <w:szCs w:val="14"/>
                <w:color w:val="auto"/>
              </w:rPr>
              <w:t>37,325</w:t>
            </w:r>
          </w:p>
        </w:tc>
        <w:tc>
          <w:tcPr>
            <w:tcW w:w="660" w:type="dxa"/>
            <w:vAlign w:val="bottom"/>
            <w:gridSpan w:val="2"/>
          </w:tcPr>
          <w:p>
            <w:pPr>
              <w:jc w:val="right"/>
              <w:ind w:right="12"/>
              <w:spacing w:after="0"/>
              <w:rPr>
                <w:sz w:val="20"/>
                <w:szCs w:val="20"/>
                <w:color w:val="auto"/>
              </w:rPr>
            </w:pPr>
            <w:r>
              <w:rPr>
                <w:rFonts w:ascii="Arial" w:cs="Arial" w:eastAsia="Arial" w:hAnsi="Arial"/>
                <w:sz w:val="14"/>
                <w:szCs w:val="14"/>
                <w:color w:val="auto"/>
              </w:rPr>
              <w:t>56,063</w:t>
            </w:r>
          </w:p>
        </w:tc>
        <w:tc>
          <w:tcPr>
            <w:tcW w:w="100" w:type="dxa"/>
            <w:vAlign w:val="bottom"/>
          </w:tcPr>
          <w:p>
            <w:pPr>
              <w:spacing w:after="0"/>
              <w:rPr>
                <w:sz w:val="15"/>
                <w:szCs w:val="15"/>
                <w:color w:val="auto"/>
              </w:rPr>
            </w:pPr>
          </w:p>
        </w:tc>
        <w:tc>
          <w:tcPr>
            <w:tcW w:w="480" w:type="dxa"/>
            <w:vAlign w:val="bottom"/>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ind w:right="9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1150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720" w:right="159" w:hanging="388"/>
        <w:spacing w:after="0" w:line="297"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shown in these columns represent the executives’ annual incentive opportunity under the MICP. See “— Compensation Discussion and Analysis — Elements of Compensation — Annual Cash Incentives/Bonuses” for more information regarding this plan. The “Target” is calculated by multiplying the officer’s base salary by the executive’s target award percentage provided for under the MICP. The “Maximum” is calculated by multiplying the “Target” by 150%. The “Threshold” is $0 because no amounts are payable if the performance goals under the MICP are not achieved at the 90% level.</w:t>
      </w:r>
    </w:p>
    <w:p>
      <w:pPr>
        <w:spacing w:after="0" w:line="9" w:lineRule="exact"/>
        <w:rPr>
          <w:rFonts w:ascii="Arial" w:cs="Arial" w:eastAsia="Arial" w:hAnsi="Arial"/>
          <w:sz w:val="16"/>
          <w:szCs w:val="16"/>
          <w:color w:val="auto"/>
        </w:rPr>
      </w:pPr>
    </w:p>
    <w:p>
      <w:pPr>
        <w:jc w:val="both"/>
        <w:ind w:left="720" w:right="179" w:hanging="388"/>
        <w:spacing w:after="0" w:line="26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shown in these columns represent shares of performance stock granted under the Company’s 2003 Equity Incentive Plan. See “— Compensation Discussion and Analysis — Elements of Compensation — Long-Term Equity-Based Incentives” for a description of the material terms of these performance stock awards.</w:t>
      </w:r>
    </w:p>
    <w:p>
      <w:pPr>
        <w:spacing w:after="0" w:line="32" w:lineRule="exact"/>
        <w:rPr>
          <w:rFonts w:ascii="Arial" w:cs="Arial" w:eastAsia="Arial" w:hAnsi="Arial"/>
          <w:sz w:val="18"/>
          <w:szCs w:val="18"/>
          <w:color w:val="auto"/>
        </w:rPr>
      </w:pPr>
    </w:p>
    <w:p>
      <w:pPr>
        <w:jc w:val="both"/>
        <w:ind w:left="720" w:right="179" w:hanging="388"/>
        <w:spacing w:after="0" w:line="26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shown in these columns represent shares of restricted stock granted under the Company’s 2003 Equity Incentive Plan. See “— Compensation Discussion and Analysis — Elements of Compensation — Long-Term Equity-Based Incentives” for a description of the material terms of these restricted stock awards.</w:t>
      </w:r>
    </w:p>
    <w:p>
      <w:pPr>
        <w:spacing w:after="0" w:line="32" w:lineRule="exact"/>
        <w:rPr>
          <w:rFonts w:ascii="Arial" w:cs="Arial" w:eastAsia="Arial" w:hAnsi="Arial"/>
          <w:sz w:val="18"/>
          <w:szCs w:val="18"/>
          <w:color w:val="auto"/>
        </w:rPr>
      </w:pPr>
    </w:p>
    <w:p>
      <w:pPr>
        <w:jc w:val="both"/>
        <w:ind w:left="720" w:right="159" w:hanging="388"/>
        <w:spacing w:after="0" w:line="29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column reflects the full grant date fair value of the restricted stock, performance stock and stock options under SFAS 123R granted to the named executive officers in 2006. Generally, the full grant date fair value is the amount that the company would expense in its financial statements over the award’s vesting schedule. For restricted stock and performance stock, fair value is calculated using the closing price of the Company’s common stock on the grant date noted. For the stock options granted to Mr. Essig, fair value is calculated using the binomial distribution value on the grant date. The fair value shown for stock awards and option awards are accounted for in accordance with SFAS 123R. For additional information on the valuation assumptions, refer to Note 2 of the Company’s financial statements in the Form 10-K for the year ended December 31, 2006, as filed</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color w:val="auto"/>
        </w:rPr>
        <w:t>with the Securities and Exchange Commission on March 2, 2007. These amounts reflect the company accounting expense and do not correspond to the actual value that will be recognized by the named executive officers.</w:t>
      </w:r>
    </w:p>
    <w:p>
      <w:pPr>
        <w:spacing w:after="0" w:line="22" w:lineRule="exact"/>
        <w:rPr>
          <w:sz w:val="20"/>
          <w:szCs w:val="20"/>
          <w:color w:val="auto"/>
        </w:rPr>
      </w:pPr>
    </w:p>
    <w:p>
      <w:pPr>
        <w:ind w:left="720" w:right="179" w:hanging="388"/>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amount represents the annual stock option grant to Mr. Essig. 25% of the award vests one year after the grant date and the remaining 75% vests monthly thereafter over 36 months. The option has a term of 10 years.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award was forfeited by Mr. Holtz as a result of his leaving the Company prior to the vesting date.</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2006.</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164"/>
        </w:trPr>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3"/>
          </w:tcPr>
          <w:p>
            <w:pPr>
              <w:jc w:val="right"/>
              <w:ind w:right="415"/>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0"/>
                <w:szCs w:val="10"/>
                <w:b w:val="1"/>
                <w:bCs w:val="1"/>
                <w:color w:val="auto"/>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3"/>
          </w:tcPr>
          <w:p>
            <w:pPr>
              <w:jc w:val="right"/>
              <w:ind w:right="636"/>
              <w:spacing w:after="0"/>
              <w:rPr>
                <w:sz w:val="20"/>
                <w:szCs w:val="20"/>
                <w:color w:val="auto"/>
              </w:rPr>
            </w:pPr>
            <w:r>
              <w:rPr>
                <w:rFonts w:ascii="Arial" w:cs="Arial" w:eastAsia="Arial" w:hAnsi="Arial"/>
                <w:sz w:val="13"/>
                <w:szCs w:val="13"/>
                <w:b w:val="1"/>
                <w:bCs w:val="1"/>
                <w:color w:val="auto"/>
              </w:rPr>
              <w:t>Stock Awards</w:t>
            </w:r>
          </w:p>
        </w:tc>
        <w:tc>
          <w:tcPr>
            <w:tcW w:w="6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Plan Awards: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Securities</w:t>
            </w:r>
          </w:p>
        </w:tc>
        <w:tc>
          <w:tcPr>
            <w:tcW w:w="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Shares or</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Units</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Rights</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Exercise</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of Stock That</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Exercisable</w:t>
            </w:r>
          </w:p>
        </w:tc>
        <w:tc>
          <w:tcPr>
            <w:tcW w:w="6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Price</w:t>
            </w:r>
            <w:r>
              <w:rPr>
                <w:rFonts w:ascii="Arial" w:cs="Arial" w:eastAsia="Arial" w:hAnsi="Arial"/>
                <w:sz w:val="10"/>
                <w:szCs w:val="10"/>
                <w:b w:val="1"/>
                <w:bCs w:val="1"/>
                <w:color w:val="auto"/>
                <w:w w:val="90"/>
              </w:rPr>
              <w:t>(2)</w:t>
            </w: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Have Not Vested</w:t>
            </w:r>
          </w:p>
        </w:tc>
        <w:tc>
          <w:tcPr>
            <w:tcW w:w="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10"/>
                <w:szCs w:val="10"/>
                <w:b w:val="1"/>
                <w:bCs w:val="1"/>
                <w:color w:val="auto"/>
                <w:w w:val="87"/>
              </w:rPr>
              <w:t>(3)</w:t>
            </w:r>
          </w:p>
        </w:tc>
        <w:tc>
          <w:tcPr>
            <w:tcW w:w="8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Not Vested</w:t>
            </w:r>
          </w:p>
        </w:tc>
        <w:tc>
          <w:tcPr>
            <w:tcW w:w="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10"/>
                <w:szCs w:val="10"/>
                <w:b w:val="1"/>
                <w:bCs w:val="1"/>
                <w:color w:val="auto"/>
                <w:w w:val="87"/>
              </w:rPr>
              <w:t>(4)</w:t>
            </w:r>
          </w:p>
        </w:tc>
        <w:tc>
          <w:tcPr>
            <w:tcW w:w="0" w:type="dxa"/>
            <w:vAlign w:val="bottom"/>
          </w:tcPr>
          <w:p>
            <w:pPr>
              <w:spacing w:after="0"/>
              <w:rPr>
                <w:sz w:val="1"/>
                <w:szCs w:val="1"/>
                <w:color w:val="auto"/>
              </w:rPr>
            </w:pPr>
          </w:p>
        </w:tc>
      </w:tr>
      <w:tr>
        <w:trPr>
          <w:trHeight w:val="139"/>
        </w:trPr>
        <w:tc>
          <w:tcPr>
            <w:tcW w:w="94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0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1180" w:type="dxa"/>
            <w:vAlign w:val="bottom"/>
            <w:gridSpan w:val="2"/>
          </w:tcPr>
          <w:p>
            <w:pPr>
              <w:jc w:val="center"/>
              <w:ind w:left="9"/>
              <w:spacing w:after="0" w:line="139" w:lineRule="exact"/>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ind w:left="8"/>
              <w:spacing w:after="0" w:line="13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Date</w:t>
            </w:r>
          </w:p>
        </w:tc>
        <w:tc>
          <w:tcPr>
            <w:tcW w:w="1420" w:type="dxa"/>
            <w:vAlign w:val="bottom"/>
            <w:gridSpan w:val="2"/>
          </w:tcPr>
          <w:p>
            <w:pPr>
              <w:jc w:val="center"/>
              <w:ind w:left="11"/>
              <w:spacing w:after="0" w:line="139" w:lineRule="exact"/>
              <w:rPr>
                <w:sz w:val="20"/>
                <w:szCs w:val="20"/>
                <w:color w:val="auto"/>
              </w:rPr>
            </w:pPr>
            <w:r>
              <w:rPr>
                <w:rFonts w:ascii="Arial" w:cs="Arial" w:eastAsia="Arial" w:hAnsi="Arial"/>
                <w:sz w:val="13"/>
                <w:szCs w:val="13"/>
                <w:b w:val="1"/>
                <w:bCs w:val="1"/>
                <w:color w:val="auto"/>
                <w:w w:val="87"/>
              </w:rPr>
              <w:t>(#)</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13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12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w:t>
            </w:r>
          </w:p>
        </w:tc>
        <w:tc>
          <w:tcPr>
            <w:tcW w:w="6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(b)</w:t>
            </w:r>
          </w:p>
        </w:tc>
        <w:tc>
          <w:tcPr>
            <w:tcW w:w="6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(c)</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(e)</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(f)</w:t>
            </w:r>
          </w:p>
        </w:tc>
        <w:tc>
          <w:tcPr>
            <w:tcW w:w="80" w:type="dxa"/>
            <w:vAlign w:val="bottom"/>
          </w:tcPr>
          <w:p>
            <w:pPr>
              <w:spacing w:after="0"/>
              <w:rPr>
                <w:sz w:val="12"/>
                <w:szCs w:val="1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(g)</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(h)</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w:t>
            </w:r>
          </w:p>
        </w:tc>
        <w:tc>
          <w:tcPr>
            <w:tcW w:w="6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23"/>
        </w:trPr>
        <w:tc>
          <w:tcPr>
            <w:tcW w:w="9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6"/>
              </w:rPr>
              <w:t>Stuart M. Essig</w:t>
            </w:r>
          </w:p>
        </w:tc>
        <w:tc>
          <w:tcPr>
            <w:tcW w:w="1080" w:type="dxa"/>
            <w:vAlign w:val="bottom"/>
            <w:gridSpan w:val="2"/>
            <w:shd w:val="clear" w:color="auto" w:fill="CCEEFF"/>
          </w:tcPr>
          <w:p>
            <w:pPr>
              <w:jc w:val="right"/>
              <w:ind w:right="211"/>
              <w:spacing w:after="0" w:line="123" w:lineRule="exact"/>
              <w:rPr>
                <w:sz w:val="20"/>
                <w:szCs w:val="20"/>
                <w:color w:val="auto"/>
              </w:rPr>
            </w:pPr>
            <w:r>
              <w:rPr>
                <w:rFonts w:ascii="Arial" w:cs="Arial" w:eastAsia="Arial" w:hAnsi="Arial"/>
                <w:sz w:val="14"/>
                <w:szCs w:val="14"/>
                <w:color w:val="auto"/>
              </w:rPr>
              <w:t>282,086</w:t>
            </w:r>
          </w:p>
        </w:tc>
        <w:tc>
          <w:tcPr>
            <w:tcW w:w="60" w:type="dxa"/>
            <w:vAlign w:val="bottom"/>
            <w:shd w:val="clear" w:color="auto" w:fill="CCEEFF"/>
          </w:tcPr>
          <w:p>
            <w:pPr>
              <w:spacing w:after="0"/>
              <w:rPr>
                <w:sz w:val="10"/>
                <w:szCs w:val="10"/>
                <w:color w:val="auto"/>
              </w:rPr>
            </w:pPr>
          </w:p>
        </w:tc>
        <w:tc>
          <w:tcPr>
            <w:tcW w:w="1120" w:type="dxa"/>
            <w:vAlign w:val="bottom"/>
            <w:shd w:val="clear" w:color="auto" w:fill="CCEEFF"/>
          </w:tcPr>
          <w:p>
            <w:pPr>
              <w:jc w:val="right"/>
              <w:ind w:right="251"/>
              <w:spacing w:after="0" w:line="12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5"/>
              <w:spacing w:after="0" w:line="123" w:lineRule="exact"/>
              <w:rPr>
                <w:sz w:val="20"/>
                <w:szCs w:val="20"/>
                <w:color w:val="auto"/>
              </w:rPr>
            </w:pPr>
            <w:r>
              <w:rPr>
                <w:rFonts w:ascii="Arial" w:cs="Arial" w:eastAsia="Arial" w:hAnsi="Arial"/>
                <w:sz w:val="14"/>
                <w:szCs w:val="14"/>
                <w:color w:val="auto"/>
              </w:rPr>
              <w:t>11.00</w:t>
            </w:r>
          </w:p>
        </w:tc>
        <w:tc>
          <w:tcPr>
            <w:tcW w:w="8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12/22/2010</w:t>
            </w: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31,565</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26.34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12/21/2011</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36,208</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17.65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12/31/2012</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18,229</w:t>
            </w:r>
          </w:p>
        </w:tc>
        <w:tc>
          <w:tcPr>
            <w:tcW w:w="1180" w:type="dxa"/>
            <w:vAlign w:val="bottom"/>
            <w:gridSpan w:val="2"/>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6,771</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28.78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01/02/2014</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100,000</w:t>
            </w:r>
          </w:p>
        </w:tc>
        <w:tc>
          <w:tcPr>
            <w:tcW w:w="1180" w:type="dxa"/>
            <w:vAlign w:val="bottom"/>
            <w:gridSpan w:val="2"/>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100,000</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34.49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12/17/2014</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151,041</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98,959</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31.38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07/27/2014</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50,000</w:t>
            </w: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150,000</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35.57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12/19/2015</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200,000</w:t>
            </w:r>
          </w:p>
        </w:tc>
        <w:tc>
          <w:tcPr>
            <w:tcW w:w="800" w:type="dxa"/>
            <w:vAlign w:val="bottom"/>
            <w:gridSpan w:val="2"/>
            <w:shd w:val="clear" w:color="auto" w:fill="CCEEFF"/>
          </w:tcPr>
          <w:p>
            <w:pPr>
              <w:jc w:val="right"/>
              <w:ind w:right="135"/>
              <w:spacing w:after="0"/>
              <w:rPr>
                <w:sz w:val="20"/>
                <w:szCs w:val="20"/>
                <w:color w:val="auto"/>
              </w:rPr>
            </w:pPr>
            <w:r>
              <w:rPr>
                <w:rFonts w:ascii="Arial" w:cs="Arial" w:eastAsia="Arial" w:hAnsi="Arial"/>
                <w:sz w:val="14"/>
                <w:szCs w:val="14"/>
                <w:color w:val="auto"/>
              </w:rPr>
              <w:t>42.53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12/19/2016</w:t>
            </w:r>
          </w:p>
        </w:tc>
        <w:tc>
          <w:tcPr>
            <w:tcW w:w="1420" w:type="dxa"/>
            <w:vAlign w:val="bottom"/>
            <w:gridSpan w:val="2"/>
            <w:vMerge w:val="restart"/>
            <w:shd w:val="clear" w:color="auto" w:fill="CCEEFF"/>
          </w:tcPr>
          <w:p>
            <w:pPr>
              <w:jc w:val="right"/>
              <w:ind w:right="175"/>
              <w:spacing w:after="0"/>
              <w:rPr>
                <w:sz w:val="20"/>
                <w:szCs w:val="20"/>
                <w:color w:val="auto"/>
              </w:rPr>
            </w:pPr>
            <w:r>
              <w:rPr>
                <w:rFonts w:ascii="Arial" w:cs="Arial" w:eastAsia="Arial" w:hAnsi="Arial"/>
                <w:sz w:val="14"/>
                <w:szCs w:val="14"/>
                <w:color w:val="auto"/>
              </w:rPr>
              <w:t>1,250,000</w:t>
            </w:r>
            <w:r>
              <w:rPr>
                <w:rFonts w:ascii="Arial" w:cs="Arial" w:eastAsia="Arial" w:hAnsi="Arial"/>
                <w:sz w:val="12"/>
                <w:szCs w:val="12"/>
                <w:color w:val="auto"/>
              </w:rPr>
              <w:t>(5)</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63,885,000</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35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40" w:type="dxa"/>
            <w:vAlign w:val="bottom"/>
          </w:tcPr>
          <w:p>
            <w:pPr>
              <w:spacing w:after="0" w:line="130" w:lineRule="exact"/>
              <w:rPr>
                <w:sz w:val="20"/>
                <w:szCs w:val="20"/>
                <w:color w:val="auto"/>
              </w:rPr>
            </w:pPr>
            <w:r>
              <w:rPr>
                <w:rFonts w:ascii="Arial" w:cs="Arial" w:eastAsia="Arial" w:hAnsi="Arial"/>
                <w:sz w:val="14"/>
                <w:szCs w:val="14"/>
                <w:color w:val="auto"/>
              </w:rPr>
              <w:t>Maureen B.</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40" w:type="dxa"/>
            <w:vAlign w:val="bottom"/>
          </w:tcPr>
          <w:p>
            <w:pPr>
              <w:ind w:left="200"/>
              <w:spacing w:after="0"/>
              <w:rPr>
                <w:sz w:val="20"/>
                <w:szCs w:val="20"/>
                <w:color w:val="auto"/>
              </w:rPr>
            </w:pPr>
            <w:r>
              <w:rPr>
                <w:rFonts w:ascii="Arial" w:cs="Arial" w:eastAsia="Arial" w:hAnsi="Arial"/>
                <w:sz w:val="14"/>
                <w:szCs w:val="14"/>
                <w:color w:val="auto"/>
              </w:rPr>
              <w:t>Bellantoni</w:t>
            </w:r>
          </w:p>
        </w:tc>
        <w:tc>
          <w:tcPr>
            <w:tcW w:w="60" w:type="dxa"/>
            <w:vAlign w:val="bottom"/>
          </w:tcPr>
          <w:p>
            <w:pPr>
              <w:spacing w:after="0"/>
              <w:rPr>
                <w:sz w:val="14"/>
                <w:szCs w:val="14"/>
                <w:color w:val="auto"/>
              </w:rPr>
            </w:pPr>
          </w:p>
        </w:tc>
        <w:tc>
          <w:tcPr>
            <w:tcW w:w="102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40" w:type="dxa"/>
            <w:vAlign w:val="bottom"/>
          </w:tcPr>
          <w:p>
            <w:pPr>
              <w:jc w:val="right"/>
              <w:ind w:right="315"/>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96"/>
              <w:spacing w:after="0"/>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(6)</w:t>
            </w:r>
          </w:p>
        </w:tc>
        <w:tc>
          <w:tcPr>
            <w:tcW w:w="1240" w:type="dxa"/>
            <w:vAlign w:val="bottom"/>
            <w:gridSpan w:val="2"/>
          </w:tcPr>
          <w:p>
            <w:pPr>
              <w:jc w:val="right"/>
              <w:ind w:right="236"/>
              <w:spacing w:after="0"/>
              <w:rPr>
                <w:sz w:val="20"/>
                <w:szCs w:val="20"/>
                <w:color w:val="auto"/>
              </w:rPr>
            </w:pPr>
            <w:r>
              <w:rPr>
                <w:rFonts w:ascii="Arial" w:cs="Arial" w:eastAsia="Arial" w:hAnsi="Arial"/>
                <w:sz w:val="14"/>
                <w:szCs w:val="14"/>
                <w:color w:val="auto"/>
              </w:rPr>
              <w:t>425,900</w:t>
            </w:r>
          </w:p>
        </w:tc>
        <w:tc>
          <w:tcPr>
            <w:tcW w:w="0" w:type="dxa"/>
            <w:vAlign w:val="bottom"/>
          </w:tcPr>
          <w:p>
            <w:pPr>
              <w:spacing w:after="0"/>
              <w:rPr>
                <w:sz w:val="1"/>
                <w:szCs w:val="1"/>
                <w:color w:val="auto"/>
              </w:rPr>
            </w:pPr>
          </w:p>
        </w:tc>
      </w:tr>
      <w:tr>
        <w:trPr>
          <w:trHeight w:val="130"/>
        </w:trPr>
        <w:tc>
          <w:tcPr>
            <w:tcW w:w="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David B. Holtz</w:t>
            </w:r>
          </w:p>
        </w:tc>
        <w:tc>
          <w:tcPr>
            <w:tcW w:w="1080" w:type="dxa"/>
            <w:vAlign w:val="bottom"/>
            <w:gridSpan w:val="2"/>
            <w:shd w:val="clear" w:color="auto" w:fill="CCEEFF"/>
          </w:tcPr>
          <w:p>
            <w:pPr>
              <w:jc w:val="right"/>
              <w:ind w:right="211"/>
              <w:spacing w:after="0" w:line="130" w:lineRule="exact"/>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51"/>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5"/>
              <w:spacing w:after="0" w:line="130" w:lineRule="exact"/>
              <w:rPr>
                <w:sz w:val="20"/>
                <w:szCs w:val="20"/>
                <w:color w:val="auto"/>
              </w:rPr>
            </w:pPr>
            <w:r>
              <w:rPr>
                <w:rFonts w:ascii="Arial" w:cs="Arial" w:eastAsia="Arial" w:hAnsi="Arial"/>
                <w:sz w:val="14"/>
                <w:szCs w:val="14"/>
                <w:color w:val="auto"/>
              </w:rPr>
              <w:t>17.65</w:t>
            </w: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12/31/2008</w:t>
            </w: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4,248</w:t>
            </w:r>
          </w:p>
        </w:tc>
        <w:tc>
          <w:tcPr>
            <w:tcW w:w="1180" w:type="dxa"/>
            <w:vAlign w:val="bottom"/>
            <w:gridSpan w:val="2"/>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500</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22.78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04/07/2009</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230</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32.39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11/03/2009</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15,312</w:t>
            </w:r>
          </w:p>
        </w:tc>
        <w:tc>
          <w:tcPr>
            <w:tcW w:w="1180" w:type="dxa"/>
            <w:vAlign w:val="bottom"/>
            <w:gridSpan w:val="2"/>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5,688</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28.78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01/02/2010</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11"/>
              <w:spacing w:after="0" w:line="149" w:lineRule="exact"/>
              <w:rPr>
                <w:sz w:val="20"/>
                <w:szCs w:val="20"/>
                <w:color w:val="auto"/>
              </w:rPr>
            </w:pPr>
            <w:r>
              <w:rPr>
                <w:rFonts w:ascii="Arial" w:cs="Arial" w:eastAsia="Arial" w:hAnsi="Arial"/>
                <w:sz w:val="14"/>
                <w:szCs w:val="14"/>
                <w:color w:val="auto"/>
              </w:rPr>
              <w:t>4,687</w:t>
            </w:r>
          </w:p>
        </w:tc>
        <w:tc>
          <w:tcPr>
            <w:tcW w:w="1180" w:type="dxa"/>
            <w:vAlign w:val="bottom"/>
            <w:gridSpan w:val="2"/>
            <w:shd w:val="clear" w:color="auto" w:fill="CCEEFF"/>
          </w:tcPr>
          <w:p>
            <w:pPr>
              <w:jc w:val="right"/>
              <w:ind w:right="251"/>
              <w:spacing w:after="0" w:line="149" w:lineRule="exact"/>
              <w:rPr>
                <w:sz w:val="20"/>
                <w:szCs w:val="20"/>
                <w:color w:val="auto"/>
              </w:rPr>
            </w:pPr>
            <w:r>
              <w:rPr>
                <w:rFonts w:ascii="Arial" w:cs="Arial" w:eastAsia="Arial" w:hAnsi="Arial"/>
                <w:sz w:val="14"/>
                <w:szCs w:val="14"/>
                <w:color w:val="auto"/>
              </w:rPr>
              <w:t>2,813</w:t>
            </w:r>
          </w:p>
        </w:tc>
        <w:tc>
          <w:tcPr>
            <w:tcW w:w="800" w:type="dxa"/>
            <w:vAlign w:val="bottom"/>
            <w:gridSpan w:val="2"/>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32.32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06/01/2010</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10,415</w:t>
            </w: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9,585</w:t>
            </w:r>
          </w:p>
        </w:tc>
        <w:tc>
          <w:tcPr>
            <w:tcW w:w="800" w:type="dxa"/>
            <w:vAlign w:val="bottom"/>
            <w:gridSpan w:val="2"/>
            <w:shd w:val="clear" w:color="auto" w:fill="CCEEFF"/>
          </w:tcPr>
          <w:p>
            <w:pPr>
              <w:jc w:val="right"/>
              <w:ind w:right="135"/>
              <w:spacing w:after="0"/>
              <w:rPr>
                <w:sz w:val="20"/>
                <w:szCs w:val="20"/>
                <w:color w:val="auto"/>
              </w:rPr>
            </w:pPr>
            <w:r>
              <w:rPr>
                <w:rFonts w:ascii="Arial" w:cs="Arial" w:eastAsia="Arial" w:hAnsi="Arial"/>
                <w:sz w:val="14"/>
                <w:szCs w:val="14"/>
                <w:color w:val="auto"/>
              </w:rPr>
              <w:t>35.52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11/15/2010</w:t>
            </w:r>
          </w:p>
        </w:tc>
        <w:tc>
          <w:tcPr>
            <w:tcW w:w="1420" w:type="dxa"/>
            <w:vAlign w:val="bottom"/>
            <w:gridSpan w:val="2"/>
            <w:vMerge w:val="restart"/>
            <w:shd w:val="clear" w:color="auto" w:fill="CCEEFF"/>
          </w:tcPr>
          <w:p>
            <w:pPr>
              <w:jc w:val="right"/>
              <w:ind w:right="175"/>
              <w:spacing w:after="0"/>
              <w:rPr>
                <w:sz w:val="20"/>
                <w:szCs w:val="20"/>
                <w:color w:val="auto"/>
              </w:rPr>
            </w:pPr>
            <w:r>
              <w:rPr>
                <w:rFonts w:ascii="Arial" w:cs="Arial" w:eastAsia="Arial" w:hAnsi="Arial"/>
                <w:sz w:val="14"/>
                <w:szCs w:val="14"/>
                <w:color w:val="auto"/>
              </w:rPr>
              <w:t>269</w:t>
            </w:r>
            <w:r>
              <w:rPr>
                <w:rFonts w:ascii="Arial" w:cs="Arial" w:eastAsia="Arial" w:hAnsi="Arial"/>
                <w:sz w:val="12"/>
                <w:szCs w:val="12"/>
                <w:color w:val="auto"/>
              </w:rPr>
              <w:t>(7)</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11,457</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35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40" w:type="dxa"/>
            <w:vAlign w:val="bottom"/>
          </w:tcPr>
          <w:p>
            <w:pPr>
              <w:spacing w:after="0" w:line="130" w:lineRule="exact"/>
              <w:rPr>
                <w:sz w:val="20"/>
                <w:szCs w:val="20"/>
                <w:color w:val="auto"/>
              </w:rPr>
            </w:pPr>
            <w:r>
              <w:rPr>
                <w:rFonts w:ascii="Arial" w:cs="Arial" w:eastAsia="Arial" w:hAnsi="Arial"/>
                <w:sz w:val="14"/>
                <w:szCs w:val="14"/>
                <w:color w:val="auto"/>
              </w:rPr>
              <w:t>John B.</w:t>
            </w: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200"/>
              <w:spacing w:after="0" w:line="149" w:lineRule="exact"/>
              <w:rPr>
                <w:sz w:val="20"/>
                <w:szCs w:val="20"/>
                <w:color w:val="auto"/>
              </w:rPr>
            </w:pPr>
            <w:r>
              <w:rPr>
                <w:rFonts w:ascii="Arial" w:cs="Arial" w:eastAsia="Arial" w:hAnsi="Arial"/>
                <w:sz w:val="14"/>
                <w:szCs w:val="14"/>
                <w:color w:val="auto"/>
                <w:w w:val="99"/>
              </w:rPr>
              <w:t>Henneman,</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200"/>
              <w:spacing w:after="0" w:line="149" w:lineRule="exact"/>
              <w:rPr>
                <w:sz w:val="20"/>
                <w:szCs w:val="20"/>
                <w:color w:val="auto"/>
              </w:rPr>
            </w:pPr>
            <w:r>
              <w:rPr>
                <w:rFonts w:ascii="Arial" w:cs="Arial" w:eastAsia="Arial" w:hAnsi="Arial"/>
                <w:sz w:val="14"/>
                <w:szCs w:val="14"/>
                <w:color w:val="auto"/>
              </w:rPr>
              <w:t>III</w:t>
            </w: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27.78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08/14/2007</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25.99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12/14/2007</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26.70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12/17/2007</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14,500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26.34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12/31/2007</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14.87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08/02/2008</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17.72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11/21/2008</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17.60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12/16/2008</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19,062</w:t>
            </w:r>
          </w:p>
        </w:tc>
        <w:tc>
          <w:tcPr>
            <w:tcW w:w="60" w:type="dxa"/>
            <w:vAlign w:val="bottom"/>
          </w:tcPr>
          <w:p>
            <w:pPr>
              <w:spacing w:after="0"/>
              <w:rPr>
                <w:sz w:val="12"/>
                <w:szCs w:val="12"/>
                <w:color w:val="auto"/>
              </w:rPr>
            </w:pPr>
          </w:p>
        </w:tc>
        <w:tc>
          <w:tcPr>
            <w:tcW w:w="112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17.65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12/31/2008</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19,166</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834</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18.63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02/24/2009</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18,333</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1,667</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22.78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04/07/2009</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3,854</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1,146</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32.39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11/03/2009</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18,229</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6,771</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28.78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01/02/2010</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12,500</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7,500</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32.32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06/01/2010</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13,020</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11,980</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35.52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11/15/2010</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80" w:type="dxa"/>
            <w:vAlign w:val="bottom"/>
            <w:gridSpan w:val="2"/>
          </w:tcPr>
          <w:p>
            <w:pPr>
              <w:jc w:val="right"/>
              <w:ind w:right="211"/>
              <w:spacing w:after="0" w:line="149" w:lineRule="exact"/>
              <w:rPr>
                <w:sz w:val="20"/>
                <w:szCs w:val="20"/>
                <w:color w:val="auto"/>
              </w:rPr>
            </w:pPr>
            <w:r>
              <w:rPr>
                <w:rFonts w:ascii="Arial" w:cs="Arial" w:eastAsia="Arial" w:hAnsi="Arial"/>
                <w:sz w:val="14"/>
                <w:szCs w:val="14"/>
                <w:color w:val="auto"/>
              </w:rPr>
              <w:t>3,437</w:t>
            </w:r>
          </w:p>
        </w:tc>
        <w:tc>
          <w:tcPr>
            <w:tcW w:w="1180" w:type="dxa"/>
            <w:vAlign w:val="bottom"/>
            <w:gridSpan w:val="2"/>
          </w:tcPr>
          <w:p>
            <w:pPr>
              <w:jc w:val="right"/>
              <w:ind w:right="251"/>
              <w:spacing w:after="0" w:line="149" w:lineRule="exact"/>
              <w:rPr>
                <w:sz w:val="20"/>
                <w:szCs w:val="20"/>
                <w:color w:val="auto"/>
              </w:rPr>
            </w:pPr>
            <w:r>
              <w:rPr>
                <w:rFonts w:ascii="Arial" w:cs="Arial" w:eastAsia="Arial" w:hAnsi="Arial"/>
                <w:sz w:val="14"/>
                <w:szCs w:val="14"/>
                <w:color w:val="auto"/>
              </w:rPr>
              <w:t>4,063</w:t>
            </w:r>
          </w:p>
        </w:tc>
        <w:tc>
          <w:tcPr>
            <w:tcW w:w="80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rPr>
              <w:t>38.72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02/01/2011</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1080" w:type="dxa"/>
            <w:vAlign w:val="bottom"/>
            <w:gridSpan w:val="2"/>
          </w:tcPr>
          <w:p>
            <w:pPr>
              <w:jc w:val="right"/>
              <w:ind w:right="211"/>
              <w:spacing w:after="0"/>
              <w:rPr>
                <w:sz w:val="20"/>
                <w:szCs w:val="20"/>
                <w:color w:val="auto"/>
              </w:rPr>
            </w:pPr>
            <w:r>
              <w:rPr>
                <w:rFonts w:ascii="Arial" w:cs="Arial" w:eastAsia="Arial" w:hAnsi="Arial"/>
                <w:sz w:val="14"/>
                <w:szCs w:val="14"/>
                <w:color w:val="auto"/>
              </w:rPr>
              <w:t>25,000</w:t>
            </w:r>
          </w:p>
        </w:tc>
        <w:tc>
          <w:tcPr>
            <w:tcW w:w="1180" w:type="dxa"/>
            <w:vAlign w:val="bottom"/>
            <w:gridSpan w:val="2"/>
          </w:tcPr>
          <w:p>
            <w:pPr>
              <w:jc w:val="right"/>
              <w:ind w:right="251"/>
              <w:spacing w:after="0"/>
              <w:rPr>
                <w:sz w:val="20"/>
                <w:szCs w:val="20"/>
                <w:color w:val="auto"/>
              </w:rPr>
            </w:pPr>
            <w:r>
              <w:rPr>
                <w:rFonts w:ascii="Arial" w:cs="Arial" w:eastAsia="Arial" w:hAnsi="Arial"/>
                <w:sz w:val="14"/>
                <w:szCs w:val="14"/>
                <w:color w:val="auto"/>
              </w:rPr>
              <w:t>75,000</w:t>
            </w:r>
          </w:p>
        </w:tc>
        <w:tc>
          <w:tcPr>
            <w:tcW w:w="800" w:type="dxa"/>
            <w:vAlign w:val="bottom"/>
            <w:gridSpan w:val="2"/>
          </w:tcPr>
          <w:p>
            <w:pPr>
              <w:jc w:val="right"/>
              <w:ind w:right="135"/>
              <w:spacing w:after="0"/>
              <w:rPr>
                <w:sz w:val="20"/>
                <w:szCs w:val="20"/>
                <w:color w:val="auto"/>
              </w:rPr>
            </w:pPr>
            <w:r>
              <w:rPr>
                <w:rFonts w:ascii="Arial" w:cs="Arial" w:eastAsia="Arial" w:hAnsi="Arial"/>
                <w:sz w:val="14"/>
                <w:szCs w:val="14"/>
                <w:color w:val="auto"/>
              </w:rPr>
              <w:t>30.25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07/26/2011</w:t>
            </w:r>
          </w:p>
        </w:tc>
        <w:tc>
          <w:tcPr>
            <w:tcW w:w="80" w:type="dxa"/>
            <w:vAlign w:val="bottom"/>
          </w:tcPr>
          <w:p>
            <w:pPr>
              <w:spacing w:after="0"/>
              <w:rPr>
                <w:sz w:val="15"/>
                <w:szCs w:val="15"/>
                <w:color w:val="auto"/>
              </w:rPr>
            </w:pPr>
          </w:p>
        </w:tc>
        <w:tc>
          <w:tcPr>
            <w:tcW w:w="1340" w:type="dxa"/>
            <w:vAlign w:val="bottom"/>
            <w:vMerge w:val="restart"/>
          </w:tcPr>
          <w:p>
            <w:pPr>
              <w:jc w:val="right"/>
              <w:ind w:right="315"/>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jc w:val="right"/>
              <w:ind w:right="196"/>
              <w:spacing w:after="0"/>
              <w:rPr>
                <w:sz w:val="20"/>
                <w:szCs w:val="20"/>
                <w:color w:val="auto"/>
              </w:rPr>
            </w:pPr>
            <w:r>
              <w:rPr>
                <w:rFonts w:ascii="Arial" w:cs="Arial" w:eastAsia="Arial" w:hAnsi="Arial"/>
                <w:sz w:val="14"/>
                <w:szCs w:val="14"/>
                <w:color w:val="auto"/>
              </w:rPr>
              <w:t>100,000</w:t>
            </w:r>
            <w:r>
              <w:rPr>
                <w:rFonts w:ascii="Arial" w:cs="Arial" w:eastAsia="Arial" w:hAnsi="Arial"/>
                <w:sz w:val="12"/>
                <w:szCs w:val="12"/>
                <w:color w:val="auto"/>
              </w:rPr>
              <w:t>(8)</w:t>
            </w:r>
          </w:p>
        </w:tc>
        <w:tc>
          <w:tcPr>
            <w:tcW w:w="1240" w:type="dxa"/>
            <w:vAlign w:val="bottom"/>
            <w:gridSpan w:val="2"/>
            <w:vMerge w:val="restart"/>
          </w:tcPr>
          <w:p>
            <w:pPr>
              <w:jc w:val="right"/>
              <w:ind w:right="236"/>
              <w:spacing w:after="0"/>
              <w:rPr>
                <w:sz w:val="20"/>
                <w:szCs w:val="20"/>
                <w:color w:val="auto"/>
              </w:rPr>
            </w:pPr>
            <w:r>
              <w:rPr>
                <w:rFonts w:ascii="Arial" w:cs="Arial" w:eastAsia="Arial" w:hAnsi="Arial"/>
                <w:sz w:val="14"/>
                <w:szCs w:val="14"/>
                <w:color w:val="auto"/>
              </w:rPr>
              <w:t>4,259,000</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right"/>
        <w:ind w:right="159"/>
        <w:spacing w:after="0"/>
        <w:rPr>
          <w:sz w:val="20"/>
          <w:szCs w:val="20"/>
          <w:color w:val="auto"/>
        </w:rPr>
      </w:pPr>
      <w:r>
        <w:rPr>
          <w:rFonts w:ascii="Arial" w:cs="Arial" w:eastAsia="Arial" w:hAnsi="Arial"/>
          <w:sz w:val="18"/>
          <w:szCs w:val="18"/>
          <w:i w:val="1"/>
          <w:iCs w:val="1"/>
          <w:color w:val="auto"/>
        </w:rPr>
        <w:t>(Continued on next page)</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Outstanding Equity Awards At Fiscal Year-End (continued)</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164"/>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ind w:left="500"/>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0"/>
                <w:szCs w:val="10"/>
                <w:b w:val="1"/>
                <w:bCs w:val="1"/>
                <w:color w:val="auto"/>
              </w:rPr>
              <w:t>(1)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3"/>
          </w:tcPr>
          <w:p>
            <w:pPr>
              <w:jc w:val="right"/>
              <w:ind w:right="75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Plan Awards:</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 Awards:</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or</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Shares, Units</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or Units</w:t>
            </w: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Units of</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or Other</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of Stock That</w:t>
            </w: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Rights</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That Have</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Price</w:t>
            </w:r>
            <w:r>
              <w:rPr>
                <w:rFonts w:ascii="Arial" w:cs="Arial" w:eastAsia="Arial" w:hAnsi="Arial"/>
                <w:sz w:val="10"/>
                <w:szCs w:val="10"/>
                <w:b w:val="1"/>
                <w:bCs w:val="1"/>
                <w:color w:val="auto"/>
                <w:w w:val="90"/>
              </w:rPr>
              <w:t>(2)</w:t>
            </w:r>
          </w:p>
        </w:tc>
        <w:tc>
          <w:tcPr>
            <w:tcW w:w="1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10"/>
                <w:szCs w:val="10"/>
                <w:b w:val="1"/>
                <w:bCs w:val="1"/>
                <w:color w:val="auto"/>
                <w:w w:val="87"/>
              </w:rPr>
              <w:t>(3)</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Not Vested</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10"/>
                <w:szCs w:val="10"/>
                <w:b w:val="1"/>
                <w:bCs w:val="1"/>
                <w:color w:val="auto"/>
                <w:w w:val="87"/>
              </w:rPr>
              <w:t>(4)</w:t>
            </w:r>
          </w:p>
        </w:tc>
        <w:tc>
          <w:tcPr>
            <w:tcW w:w="0" w:type="dxa"/>
            <w:vAlign w:val="bottom"/>
          </w:tcPr>
          <w:p>
            <w:pPr>
              <w:spacing w:after="0"/>
              <w:rPr>
                <w:sz w:val="1"/>
                <w:szCs w:val="1"/>
                <w:color w:val="auto"/>
              </w:rPr>
            </w:pPr>
          </w:p>
        </w:tc>
      </w:tr>
      <w:tr>
        <w:trPr>
          <w:trHeight w:val="139"/>
        </w:trPr>
        <w:tc>
          <w:tcPr>
            <w:tcW w:w="98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040" w:type="dxa"/>
            <w:vAlign w:val="bottom"/>
            <w:gridSpan w:val="2"/>
          </w:tcPr>
          <w:p>
            <w:pPr>
              <w:jc w:val="center"/>
              <w:ind w:left="29"/>
              <w:spacing w:after="0" w:line="139" w:lineRule="exact"/>
              <w:rPr>
                <w:sz w:val="20"/>
                <w:szCs w:val="20"/>
                <w:color w:val="auto"/>
              </w:rPr>
            </w:pPr>
            <w:r>
              <w:rPr>
                <w:rFonts w:ascii="Arial" w:cs="Arial" w:eastAsia="Arial" w:hAnsi="Arial"/>
                <w:sz w:val="13"/>
                <w:szCs w:val="13"/>
                <w:b w:val="1"/>
                <w:bCs w:val="1"/>
                <w:color w:val="auto"/>
                <w:w w:val="87"/>
              </w:rPr>
              <w:t>(#)</w:t>
            </w:r>
          </w:p>
        </w:tc>
        <w:tc>
          <w:tcPr>
            <w:tcW w:w="1160" w:type="dxa"/>
            <w:vAlign w:val="bottom"/>
            <w:gridSpan w:val="2"/>
          </w:tcPr>
          <w:p>
            <w:pPr>
              <w:jc w:val="center"/>
              <w:ind w:left="29"/>
              <w:spacing w:after="0" w:line="139" w:lineRule="exact"/>
              <w:rPr>
                <w:sz w:val="20"/>
                <w:szCs w:val="20"/>
                <w:color w:val="auto"/>
              </w:rPr>
            </w:pPr>
            <w:r>
              <w:rPr>
                <w:rFonts w:ascii="Arial" w:cs="Arial" w:eastAsia="Arial" w:hAnsi="Arial"/>
                <w:sz w:val="13"/>
                <w:szCs w:val="13"/>
                <w:b w:val="1"/>
                <w:bCs w:val="1"/>
                <w:color w:val="auto"/>
                <w:w w:val="87"/>
              </w:rPr>
              <w:t>(#)</w:t>
            </w:r>
          </w:p>
        </w:tc>
        <w:tc>
          <w:tcPr>
            <w:tcW w:w="860" w:type="dxa"/>
            <w:vAlign w:val="bottom"/>
            <w:gridSpan w:val="2"/>
          </w:tcPr>
          <w:p>
            <w:pPr>
              <w:jc w:val="center"/>
              <w:ind w:left="48"/>
              <w:spacing w:after="0" w:line="139" w:lineRule="exact"/>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jc w:val="center"/>
              <w:ind w:left="53"/>
              <w:spacing w:after="0" w:line="139" w:lineRule="exact"/>
              <w:rPr>
                <w:sz w:val="20"/>
                <w:szCs w:val="20"/>
                <w:color w:val="auto"/>
              </w:rPr>
            </w:pPr>
            <w:r>
              <w:rPr>
                <w:rFonts w:ascii="Arial" w:cs="Arial" w:eastAsia="Arial" w:hAnsi="Arial"/>
                <w:sz w:val="13"/>
                <w:szCs w:val="13"/>
                <w:b w:val="1"/>
                <w:bCs w:val="1"/>
                <w:color w:val="auto"/>
                <w:w w:val="87"/>
              </w:rPr>
              <w:t>(#)</w:t>
            </w:r>
          </w:p>
        </w:tc>
        <w:tc>
          <w:tcPr>
            <w:tcW w:w="1180" w:type="dxa"/>
            <w:vAlign w:val="bottom"/>
            <w:gridSpan w:val="2"/>
          </w:tcPr>
          <w:p>
            <w:pPr>
              <w:jc w:val="center"/>
              <w:ind w:left="53"/>
              <w:spacing w:after="0" w:line="139" w:lineRule="exact"/>
              <w:rPr>
                <w:sz w:val="20"/>
                <w:szCs w:val="20"/>
                <w:color w:val="auto"/>
              </w:rPr>
            </w:pPr>
            <w:r>
              <w:rPr>
                <w:rFonts w:ascii="Arial" w:cs="Arial" w:eastAsia="Arial" w:hAnsi="Arial"/>
                <w:sz w:val="13"/>
                <w:szCs w:val="13"/>
                <w:b w:val="1"/>
                <w:bCs w:val="1"/>
                <w:color w:val="auto"/>
                <w:w w:val="87"/>
              </w:rPr>
              <w:t>($)</w:t>
            </w:r>
          </w:p>
        </w:tc>
        <w:tc>
          <w:tcPr>
            <w:tcW w:w="1180" w:type="dxa"/>
            <w:vAlign w:val="bottom"/>
            <w:gridSpan w:val="2"/>
          </w:tcPr>
          <w:p>
            <w:pPr>
              <w:jc w:val="center"/>
              <w:ind w:left="33"/>
              <w:spacing w:after="0" w:line="139" w:lineRule="exact"/>
              <w:rPr>
                <w:sz w:val="20"/>
                <w:szCs w:val="20"/>
                <w:color w:val="auto"/>
              </w:rPr>
            </w:pPr>
            <w:r>
              <w:rPr>
                <w:rFonts w:ascii="Arial" w:cs="Arial" w:eastAsia="Arial" w:hAnsi="Arial"/>
                <w:sz w:val="13"/>
                <w:szCs w:val="13"/>
                <w:b w:val="1"/>
                <w:bCs w:val="1"/>
                <w:color w:val="auto"/>
              </w:rPr>
              <w:t>(#)</w:t>
            </w:r>
          </w:p>
        </w:tc>
        <w:tc>
          <w:tcPr>
            <w:tcW w:w="1280" w:type="dxa"/>
            <w:vAlign w:val="bottom"/>
            <w:gridSpan w:val="2"/>
          </w:tcPr>
          <w:p>
            <w:pPr>
              <w:jc w:val="center"/>
              <w:ind w:left="33"/>
              <w:spacing w:after="0" w:line="139" w:lineRule="exact"/>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(a)</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(b)</w:t>
            </w: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(c)</w:t>
            </w:r>
          </w:p>
        </w:tc>
        <w:tc>
          <w:tcPr>
            <w:tcW w:w="10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(e)</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(f)</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(g)</w:t>
            </w:r>
          </w:p>
        </w:tc>
        <w:tc>
          <w:tcPr>
            <w:tcW w:w="120" w:type="dxa"/>
            <w:vAlign w:val="bottom"/>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(h)</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w:t>
            </w:r>
          </w:p>
        </w:tc>
        <w:tc>
          <w:tcPr>
            <w:tcW w:w="100" w:type="dxa"/>
            <w:vAlign w:val="bottom"/>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23"/>
        </w:trPr>
        <w:tc>
          <w:tcPr>
            <w:tcW w:w="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Gerard S.</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Carlozzi</w:t>
            </w:r>
          </w:p>
        </w:tc>
        <w:tc>
          <w:tcPr>
            <w:tcW w:w="10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4,167</w:t>
            </w:r>
          </w:p>
        </w:tc>
        <w:tc>
          <w:tcPr>
            <w:tcW w:w="1160" w:type="dxa"/>
            <w:vAlign w:val="bottom"/>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18,750</w:t>
            </w: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27.32</w:t>
            </w:r>
          </w:p>
        </w:tc>
        <w:tc>
          <w:tcPr>
            <w:tcW w:w="98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09/26/2009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32.39</w:t>
            </w:r>
          </w:p>
        </w:tc>
        <w:tc>
          <w:tcPr>
            <w:tcW w:w="98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11/03/2009</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521</w:t>
            </w:r>
          </w:p>
        </w:tc>
        <w:tc>
          <w:tcPr>
            <w:tcW w:w="1160" w:type="dxa"/>
            <w:vAlign w:val="bottom"/>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6,771</w:t>
            </w: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28.78</w:t>
            </w:r>
          </w:p>
        </w:tc>
        <w:tc>
          <w:tcPr>
            <w:tcW w:w="98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01/02/2010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6,250</w:t>
            </w:r>
          </w:p>
        </w:tc>
        <w:tc>
          <w:tcPr>
            <w:tcW w:w="1160" w:type="dxa"/>
            <w:vAlign w:val="bottom"/>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7,500</w:t>
            </w: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32.32</w:t>
            </w:r>
          </w:p>
        </w:tc>
        <w:tc>
          <w:tcPr>
            <w:tcW w:w="98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06/01/2010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13,020</w:t>
            </w:r>
          </w:p>
        </w:tc>
        <w:tc>
          <w:tcPr>
            <w:tcW w:w="1160" w:type="dxa"/>
            <w:vAlign w:val="bottom"/>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11,980</w:t>
            </w: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35.52</w:t>
            </w:r>
          </w:p>
        </w:tc>
        <w:tc>
          <w:tcPr>
            <w:tcW w:w="98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11/15/2010</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3,437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4,063</w:t>
            </w:r>
          </w:p>
        </w:tc>
        <w:tc>
          <w:tcPr>
            <w:tcW w:w="86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38.72</w:t>
            </w:r>
          </w:p>
        </w:tc>
        <w:tc>
          <w:tcPr>
            <w:tcW w:w="98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color w:val="auto"/>
              </w:rPr>
              <w:t>02/01/2011</w:t>
            </w: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53"/>
              <w:spacing w:after="0"/>
              <w:rPr>
                <w:sz w:val="20"/>
                <w:szCs w:val="20"/>
                <w:color w:val="auto"/>
              </w:rPr>
            </w:pPr>
            <w:r>
              <w:rPr>
                <w:rFonts w:ascii="Arial" w:cs="Arial" w:eastAsia="Arial" w:hAnsi="Arial"/>
                <w:sz w:val="14"/>
                <w:szCs w:val="14"/>
                <w:color w:val="auto"/>
              </w:rPr>
              <w:t>75,000</w:t>
            </w:r>
          </w:p>
        </w:tc>
        <w:tc>
          <w:tcPr>
            <w:tcW w:w="8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30.25</w:t>
            </w:r>
          </w:p>
        </w:tc>
        <w:tc>
          <w:tcPr>
            <w:tcW w:w="9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07/26/2011</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96"/>
              <w:spacing w:after="0"/>
              <w:rPr>
                <w:sz w:val="20"/>
                <w:szCs w:val="20"/>
                <w:color w:val="auto"/>
              </w:rPr>
            </w:pPr>
            <w:r>
              <w:rPr>
                <w:rFonts w:ascii="Arial" w:cs="Arial" w:eastAsia="Arial" w:hAnsi="Arial"/>
                <w:sz w:val="14"/>
                <w:szCs w:val="14"/>
                <w:color w:val="auto"/>
              </w:rPr>
              <w:t>100,000</w:t>
            </w:r>
            <w:r>
              <w:rPr>
                <w:rFonts w:ascii="Arial" w:cs="Arial" w:eastAsia="Arial" w:hAnsi="Arial"/>
                <w:sz w:val="12"/>
                <w:szCs w:val="12"/>
                <w:color w:val="auto"/>
              </w:rPr>
              <w:t>(8)</w:t>
            </w:r>
          </w:p>
        </w:tc>
        <w:tc>
          <w:tcPr>
            <w:tcW w:w="1280" w:type="dxa"/>
            <w:vAlign w:val="bottom"/>
            <w:gridSpan w:val="2"/>
            <w:vMerge w:val="restart"/>
            <w:shd w:val="clear" w:color="auto" w:fill="CCEEFF"/>
          </w:tcPr>
          <w:p>
            <w:pPr>
              <w:jc w:val="right"/>
              <w:ind w:right="236"/>
              <w:spacing w:after="0"/>
              <w:rPr>
                <w:sz w:val="20"/>
                <w:szCs w:val="20"/>
                <w:color w:val="auto"/>
              </w:rPr>
            </w:pPr>
            <w:r>
              <w:rPr>
                <w:rFonts w:ascii="Arial" w:cs="Arial" w:eastAsia="Arial" w:hAnsi="Arial"/>
                <w:sz w:val="14"/>
                <w:szCs w:val="14"/>
                <w:color w:val="auto"/>
              </w:rPr>
              <w:t>4,259,000</w:t>
            </w: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2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80" w:type="dxa"/>
            <w:vAlign w:val="bottom"/>
          </w:tcPr>
          <w:p>
            <w:pPr>
              <w:spacing w:after="0" w:line="130" w:lineRule="exact"/>
              <w:rPr>
                <w:sz w:val="20"/>
                <w:szCs w:val="20"/>
                <w:color w:val="auto"/>
              </w:rPr>
            </w:pPr>
            <w:r>
              <w:rPr>
                <w:rFonts w:ascii="Arial" w:cs="Arial" w:eastAsia="Arial" w:hAnsi="Arial"/>
                <w:sz w:val="14"/>
                <w:szCs w:val="14"/>
                <w:color w:val="auto"/>
              </w:rPr>
              <w:t>Judith S.</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200"/>
              <w:spacing w:after="0" w:line="149" w:lineRule="exact"/>
              <w:rPr>
                <w:sz w:val="20"/>
                <w:szCs w:val="20"/>
                <w:color w:val="auto"/>
              </w:rPr>
            </w:pPr>
            <w:r>
              <w:rPr>
                <w:rFonts w:ascii="Arial" w:cs="Arial" w:eastAsia="Arial" w:hAnsi="Arial"/>
                <w:sz w:val="14"/>
                <w:szCs w:val="14"/>
                <w:color w:val="auto"/>
              </w:rPr>
              <w:t>O’Grady</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7,500</w:t>
            </w:r>
          </w:p>
        </w:tc>
        <w:tc>
          <w:tcPr>
            <w:tcW w:w="100" w:type="dxa"/>
            <w:vAlign w:val="bottom"/>
          </w:tcPr>
          <w:p>
            <w:pPr>
              <w:spacing w:after="0"/>
              <w:rPr>
                <w:sz w:val="12"/>
                <w:szCs w:val="12"/>
                <w:color w:val="auto"/>
              </w:rPr>
            </w:pPr>
          </w:p>
        </w:tc>
        <w:tc>
          <w:tcPr>
            <w:tcW w:w="106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26.34</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12/31/2007</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1,875</w:t>
            </w:r>
          </w:p>
        </w:tc>
        <w:tc>
          <w:tcPr>
            <w:tcW w:w="100" w:type="dxa"/>
            <w:vAlign w:val="bottom"/>
          </w:tcPr>
          <w:p>
            <w:pPr>
              <w:spacing w:after="0"/>
              <w:rPr>
                <w:sz w:val="12"/>
                <w:szCs w:val="12"/>
                <w:color w:val="auto"/>
              </w:rPr>
            </w:pPr>
          </w:p>
        </w:tc>
        <w:tc>
          <w:tcPr>
            <w:tcW w:w="106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14.87</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08/02/2008</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106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17.60</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12/16/2008</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9,583</w:t>
            </w:r>
          </w:p>
        </w:tc>
        <w:tc>
          <w:tcPr>
            <w:tcW w:w="100" w:type="dxa"/>
            <w:vAlign w:val="bottom"/>
          </w:tcPr>
          <w:p>
            <w:pPr>
              <w:spacing w:after="0"/>
              <w:rPr>
                <w:sz w:val="12"/>
                <w:szCs w:val="12"/>
                <w:color w:val="auto"/>
              </w:rPr>
            </w:pPr>
          </w:p>
        </w:tc>
        <w:tc>
          <w:tcPr>
            <w:tcW w:w="106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17.65</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12/31/2008</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458</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42</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22.78</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04/07/2009</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1,541</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459</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32.39</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11/03/2009</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88"/>
              </w:rPr>
              <w:t>10,937</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4,063</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28.78</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01/02/2010</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3,125</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1,875</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32.32</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06/01/2010</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1,169</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1,081</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32.02</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11/01/2010</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7,812</w:t>
            </w:r>
          </w:p>
        </w:tc>
        <w:tc>
          <w:tcPr>
            <w:tcW w:w="11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7,188</w:t>
            </w:r>
          </w:p>
        </w:tc>
        <w:tc>
          <w:tcPr>
            <w:tcW w:w="8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35.52</w:t>
            </w:r>
          </w:p>
        </w:tc>
        <w:tc>
          <w:tcPr>
            <w:tcW w:w="98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11/15/2010</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1,875</w:t>
            </w:r>
          </w:p>
        </w:tc>
        <w:tc>
          <w:tcPr>
            <w:tcW w:w="1160" w:type="dxa"/>
            <w:vAlign w:val="bottom"/>
            <w:gridSpan w:val="2"/>
          </w:tcPr>
          <w:p>
            <w:pPr>
              <w:jc w:val="right"/>
              <w:ind w:right="253"/>
              <w:spacing w:after="0"/>
              <w:rPr>
                <w:sz w:val="20"/>
                <w:szCs w:val="20"/>
                <w:color w:val="auto"/>
              </w:rPr>
            </w:pPr>
            <w:r>
              <w:rPr>
                <w:rFonts w:ascii="Arial" w:cs="Arial" w:eastAsia="Arial" w:hAnsi="Arial"/>
                <w:sz w:val="14"/>
                <w:szCs w:val="14"/>
                <w:color w:val="auto"/>
              </w:rPr>
              <w:t>5,625</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33.48</w:t>
            </w:r>
          </w:p>
        </w:tc>
        <w:tc>
          <w:tcPr>
            <w:tcW w:w="980" w:type="dxa"/>
            <w:vAlign w:val="bottom"/>
            <w:gridSpan w:val="2"/>
          </w:tcPr>
          <w:p>
            <w:pPr>
              <w:jc w:val="right"/>
              <w:ind w:right="37"/>
              <w:spacing w:after="0"/>
              <w:rPr>
                <w:sz w:val="20"/>
                <w:szCs w:val="20"/>
                <w:color w:val="auto"/>
              </w:rPr>
            </w:pPr>
            <w:r>
              <w:rPr>
                <w:rFonts w:ascii="Arial" w:cs="Arial" w:eastAsia="Arial" w:hAnsi="Arial"/>
                <w:sz w:val="14"/>
                <w:szCs w:val="14"/>
                <w:color w:val="auto"/>
              </w:rPr>
              <w:t>11/01/2011</w:t>
            </w:r>
          </w:p>
        </w:tc>
        <w:tc>
          <w:tcPr>
            <w:tcW w:w="1060" w:type="dxa"/>
            <w:vAlign w:val="bottom"/>
            <w:gridSpan w:val="2"/>
            <w:vMerge w:val="restart"/>
          </w:tcPr>
          <w:p>
            <w:pPr>
              <w:jc w:val="right"/>
              <w:ind w:right="96"/>
              <w:spacing w:after="0"/>
              <w:rPr>
                <w:sz w:val="20"/>
                <w:szCs w:val="20"/>
                <w:color w:val="auto"/>
              </w:rPr>
            </w:pPr>
            <w:r>
              <w:rPr>
                <w:rFonts w:ascii="Arial" w:cs="Arial" w:eastAsia="Arial" w:hAnsi="Arial"/>
                <w:sz w:val="14"/>
                <w:szCs w:val="14"/>
                <w:color w:val="auto"/>
              </w:rPr>
              <w:t>3,782</w:t>
            </w:r>
            <w:r>
              <w:rPr>
                <w:rFonts w:ascii="Arial" w:cs="Arial" w:eastAsia="Arial" w:hAnsi="Arial"/>
                <w:sz w:val="12"/>
                <w:szCs w:val="12"/>
                <w:color w:val="auto"/>
              </w:rPr>
              <w:t>(9)</w:t>
            </w:r>
          </w:p>
        </w:tc>
        <w:tc>
          <w:tcPr>
            <w:tcW w:w="1180" w:type="dxa"/>
            <w:vAlign w:val="bottom"/>
            <w:gridSpan w:val="2"/>
            <w:vMerge w:val="restart"/>
          </w:tcPr>
          <w:p>
            <w:pPr>
              <w:jc w:val="right"/>
              <w:ind w:right="236"/>
              <w:spacing w:after="0"/>
              <w:rPr>
                <w:sz w:val="20"/>
                <w:szCs w:val="20"/>
                <w:color w:val="auto"/>
              </w:rPr>
            </w:pPr>
            <w:r>
              <w:rPr>
                <w:rFonts w:ascii="Arial" w:cs="Arial" w:eastAsia="Arial" w:hAnsi="Arial"/>
                <w:sz w:val="14"/>
                <w:szCs w:val="14"/>
                <w:color w:val="auto"/>
              </w:rPr>
              <w:t>164,908</w:t>
            </w:r>
          </w:p>
        </w:tc>
        <w:tc>
          <w:tcPr>
            <w:tcW w:w="100" w:type="dxa"/>
            <w:vAlign w:val="bottom"/>
          </w:tcPr>
          <w:p>
            <w:pPr>
              <w:spacing w:after="0"/>
              <w:rPr>
                <w:sz w:val="15"/>
                <w:szCs w:val="15"/>
                <w:color w:val="auto"/>
              </w:rPr>
            </w:pPr>
          </w:p>
        </w:tc>
        <w:tc>
          <w:tcPr>
            <w:tcW w:w="108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vMerge w:val="restart"/>
          </w:tcPr>
          <w:p>
            <w:pPr>
              <w:jc w:val="right"/>
              <w:ind w:right="23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247650</wp:posOffset>
            </wp:positionV>
            <wp:extent cx="1115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both"/>
        <w:ind w:left="720" w:right="159" w:hanging="388"/>
        <w:spacing w:after="0" w:line="302"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option awards made to Mr. Essig and options awards made prior to July 26, 2005 to other officers, 25% of the award vests one year after the grant date and the remaining 75% vests monthly thereafter over 36 months. Option awards made on or after July 26, 2005 to employees other than Mr. Essig vest in four equal annual installments beginning on the first anniversary of the grant date. Options issued to Mr. Essig have a term of 10 years. Options issued to other officers have a term of six years.</w:t>
      </w:r>
    </w:p>
    <w:p>
      <w:pPr>
        <w:spacing w:after="0" w:line="5" w:lineRule="exact"/>
        <w:rPr>
          <w:rFonts w:ascii="Arial" w:cs="Arial" w:eastAsia="Arial" w:hAnsi="Arial"/>
          <w:sz w:val="16"/>
          <w:szCs w:val="16"/>
          <w:color w:val="auto"/>
        </w:rPr>
      </w:pPr>
    </w:p>
    <w:p>
      <w:pPr>
        <w:ind w:left="720" w:right="179" w:hanging="388"/>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option exercise price is equal to the closing price of our common stock as reported by the Nasdaq Global Select Market on the date of grant.</w:t>
      </w:r>
    </w:p>
    <w:p>
      <w:pPr>
        <w:spacing w:after="0" w:line="21"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(g) by $42.59, the closing price of the Company’s common stock as reported by the Nasdaq Global Select Market on December 29, 2006.</w:t>
      </w:r>
    </w:p>
    <w:p>
      <w:pPr>
        <w:spacing w:after="0" w:line="21"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is calculated by multiplying the number of shares in column (i) by $42.59, the closing price of the Company’s common stock as reported by the Nasdaq Global Select Market on December 29, 2006.</w:t>
      </w:r>
    </w:p>
    <w:p>
      <w:pPr>
        <w:spacing w:after="0" w:line="21" w:lineRule="exact"/>
        <w:rPr>
          <w:rFonts w:ascii="Arial" w:cs="Arial" w:eastAsia="Arial" w:hAnsi="Arial"/>
          <w:sz w:val="18"/>
          <w:szCs w:val="18"/>
          <w:color w:val="auto"/>
        </w:rPr>
      </w:pPr>
    </w:p>
    <w:p>
      <w:pPr>
        <w:jc w:val="both"/>
        <w:ind w:left="720" w:right="159" w:hanging="388"/>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500,000 shares of common stock underlying restricted units granted in 2000 and 750,000 shares of common stock underlying restricted units granted in 2004. These restricted units vested as of the grant date, but Mr. Essig does not have the right to receive the underlying shares of common stock. The shares underlying the 2004 grant are deliverable on March 4, 2008, but Mr. Essig has the right to defer the delivery of these shares until June 30, 2025 if certain conditions are met. The shares underlying the 2000 grant are deliverable as soon</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color w:val="auto"/>
        </w:rPr>
        <w:t>as administratively practicable on or after the first business day that occurs immediately following the 6-month period after the date of Mr. Essig’s separation from service from the Company. Mr. Essig has the right to defer the delivery of these shares until June 20, 2029 if certain conditions are met.</w:t>
      </w:r>
    </w:p>
    <w:p>
      <w:pPr>
        <w:spacing w:after="0" w:line="33" w:lineRule="exact"/>
        <w:rPr>
          <w:sz w:val="20"/>
          <w:szCs w:val="20"/>
          <w:color w:val="auto"/>
        </w:rPr>
      </w:pPr>
    </w:p>
    <w:p>
      <w:pPr>
        <w:jc w:val="both"/>
        <w:ind w:left="720" w:right="159" w:hanging="388"/>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10,000 shares of common stock underlying a performance stock award. The terms of the award provide that these shares will be deliverable as soon as practicable after December 31, 2008 if the performance condition is met. The performance condition was met in 2006.</w:t>
      </w:r>
    </w:p>
    <w:p>
      <w:pPr>
        <w:spacing w:after="0" w:line="32" w:lineRule="exact"/>
        <w:rPr>
          <w:rFonts w:ascii="Arial" w:cs="Arial" w:eastAsia="Arial" w:hAnsi="Arial"/>
          <w:sz w:val="18"/>
          <w:szCs w:val="18"/>
          <w:color w:val="auto"/>
        </w:rPr>
      </w:pPr>
    </w:p>
    <w:p>
      <w:pPr>
        <w:ind w:left="720" w:right="159" w:hanging="388"/>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shares of restricted stock that were scheduled to vest on October 2, 2009. These shares were forfeited as a result of Mr. Holtz leaving the Company on December 31, 2006.</w:t>
      </w:r>
    </w:p>
    <w:p>
      <w:pPr>
        <w:spacing w:after="0" w:line="21"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100,000 shares of common stock underlying a performance stock award. The terms of the award provide that these shares will be deliverable as soon as practicable after December 31, 2008 if the performance condition is met. The performance condition was met in 2006.</w:t>
      </w:r>
    </w:p>
    <w:p>
      <w:pPr>
        <w:spacing w:after="0" w:line="32"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2,500 shares of restricted stock that will vest on January 3, 2009 and 1,282 shares of restricted stock that will vest on July 3, 2009.</w:t>
      </w:r>
    </w:p>
    <w:p>
      <w:pPr>
        <w:spacing w:after="0" w:line="13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Option Exercises And Stock Vested</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2006.</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ind w:left="1300"/>
              <w:spacing w:after="0"/>
              <w:rPr>
                <w:sz w:val="20"/>
                <w:szCs w:val="20"/>
                <w:color w:val="auto"/>
              </w:rPr>
            </w:pPr>
            <w:r>
              <w:rPr>
                <w:rFonts w:ascii="Arial" w:cs="Arial" w:eastAsia="Arial" w:hAnsi="Arial"/>
                <w:sz w:val="14"/>
                <w:szCs w:val="14"/>
                <w:b w:val="1"/>
                <w:bCs w:val="1"/>
                <w:color w:val="auto"/>
                <w:w w:val="94"/>
              </w:rPr>
              <w:t>Option Awards</w:t>
            </w:r>
          </w:p>
        </w:tc>
        <w:tc>
          <w:tcPr>
            <w:tcW w:w="12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1"/>
              </w:rPr>
              <w:t>Value Realized</w:t>
            </w:r>
          </w:p>
        </w:tc>
        <w:tc>
          <w:tcPr>
            <w:tcW w:w="180" w:type="dxa"/>
            <w:vAlign w:val="bottom"/>
          </w:tcPr>
          <w:p>
            <w:pPr>
              <w:spacing w:after="0"/>
              <w:rPr>
                <w:sz w:val="14"/>
                <w:szCs w:val="14"/>
                <w:color w:val="auto"/>
              </w:rPr>
            </w:pPr>
          </w:p>
        </w:tc>
        <w:tc>
          <w:tcPr>
            <w:tcW w:w="2080" w:type="dxa"/>
            <w:vAlign w:val="bottom"/>
            <w:gridSpan w:val="3"/>
          </w:tcPr>
          <w:p>
            <w:pPr>
              <w:ind w:left="1200"/>
              <w:spacing w:after="0"/>
              <w:rPr>
                <w:sz w:val="20"/>
                <w:szCs w:val="20"/>
                <w:color w:val="auto"/>
              </w:rPr>
            </w:pPr>
            <w:r>
              <w:rPr>
                <w:rFonts w:ascii="Arial" w:cs="Arial" w:eastAsia="Arial" w:hAnsi="Arial"/>
                <w:sz w:val="14"/>
                <w:szCs w:val="14"/>
                <w:b w:val="1"/>
                <w:bCs w:val="1"/>
                <w:color w:val="auto"/>
                <w:w w:val="92"/>
              </w:rPr>
              <w:t>Stock Awards</w:t>
            </w: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22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2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on Exercise</w:t>
            </w:r>
            <w:r>
              <w:rPr>
                <w:rFonts w:ascii="Arial" w:cs="Arial" w:eastAsia="Arial" w:hAnsi="Arial"/>
                <w:sz w:val="12"/>
                <w:szCs w:val="12"/>
                <w:b w:val="1"/>
                <w:bCs w:val="1"/>
                <w:color w:val="auto"/>
                <w:w w:val="92"/>
              </w:rPr>
              <w:t>(1)</w:t>
            </w:r>
          </w:p>
        </w:tc>
        <w:tc>
          <w:tcPr>
            <w:tcW w:w="180" w:type="dxa"/>
            <w:vAlign w:val="bottom"/>
          </w:tcPr>
          <w:p>
            <w:pPr>
              <w:spacing w:after="0"/>
              <w:rPr>
                <w:sz w:val="12"/>
                <w:szCs w:val="12"/>
                <w:color w:val="auto"/>
              </w:rPr>
            </w:pPr>
          </w:p>
        </w:tc>
        <w:tc>
          <w:tcPr>
            <w:tcW w:w="2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on Vesting</w:t>
            </w:r>
            <w:r>
              <w:rPr>
                <w:rFonts w:ascii="Arial" w:cs="Arial" w:eastAsia="Arial" w:hAnsi="Arial"/>
                <w:sz w:val="12"/>
                <w:szCs w:val="12"/>
                <w:b w:val="1"/>
                <w:bCs w:val="1"/>
                <w:color w:val="auto"/>
                <w:w w:val="90"/>
              </w:rPr>
              <w:t>(2)</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1960" w:type="dxa"/>
            <w:vAlign w:val="bottom"/>
            <w:gridSpan w:val="2"/>
          </w:tcPr>
          <w:p>
            <w:pPr>
              <w:jc w:val="center"/>
              <w:ind w:left="73"/>
              <w:spacing w:after="0" w:line="153"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rPr>
              <w:t>($)</w:t>
            </w:r>
          </w:p>
        </w:tc>
        <w:tc>
          <w:tcPr>
            <w:tcW w:w="1900" w:type="dxa"/>
            <w:vAlign w:val="bottom"/>
            <w:gridSpan w:val="2"/>
          </w:tcPr>
          <w:p>
            <w:pPr>
              <w:jc w:val="center"/>
              <w:ind w:left="96"/>
              <w:spacing w:after="0" w:line="153"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67"/>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7"/>
              </w:rPr>
              <w:t>(c)</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(d)</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3"/>
              </w:rPr>
              <w:t>(e)</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96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7,084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170,760</w:t>
            </w:r>
          </w:p>
        </w:tc>
        <w:tc>
          <w:tcPr>
            <w:tcW w:w="190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750,000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7"/>
              </w:rPr>
              <w:t>26,025,000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Maureen B. Bellantoni</w:t>
            </w:r>
          </w:p>
        </w:tc>
        <w:tc>
          <w:tcPr>
            <w:tcW w:w="180" w:type="dxa"/>
            <w:vAlign w:val="bottom"/>
          </w:tcPr>
          <w:p>
            <w:pPr>
              <w:spacing w:after="0"/>
              <w:rPr>
                <w:sz w:val="18"/>
                <w:szCs w:val="18"/>
                <w:color w:val="auto"/>
              </w:rPr>
            </w:pPr>
          </w:p>
        </w:tc>
        <w:tc>
          <w:tcPr>
            <w:tcW w:w="226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8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David B. Holtz</w:t>
            </w:r>
          </w:p>
        </w:tc>
        <w:tc>
          <w:tcPr>
            <w:tcW w:w="196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87,616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1,337,523</w:t>
            </w:r>
          </w:p>
        </w:tc>
        <w:tc>
          <w:tcPr>
            <w:tcW w:w="190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6,750</w:t>
            </w:r>
            <w:r>
              <w:rPr>
                <w:rFonts w:ascii="Arial" w:cs="Arial" w:eastAsia="Arial" w:hAnsi="Arial"/>
                <w:sz w:val="15"/>
                <w:szCs w:val="15"/>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287,483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John B. Henneman, III</w:t>
            </w:r>
          </w:p>
        </w:tc>
        <w:tc>
          <w:tcPr>
            <w:tcW w:w="1960" w:type="dxa"/>
            <w:vAlign w:val="bottom"/>
            <w:gridSpan w:val="2"/>
          </w:tcPr>
          <w:p>
            <w:pPr>
              <w:jc w:val="right"/>
              <w:ind w:right="524"/>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37"/>
              <w:spacing w:after="0"/>
              <w:rPr>
                <w:sz w:val="20"/>
                <w:szCs w:val="20"/>
                <w:color w:val="auto"/>
              </w:rPr>
            </w:pPr>
            <w:r>
              <w:rPr>
                <w:rFonts w:ascii="Arial" w:cs="Arial" w:eastAsia="Arial" w:hAnsi="Arial"/>
                <w:sz w:val="18"/>
                <w:szCs w:val="18"/>
                <w:color w:val="auto"/>
              </w:rPr>
              <w:t>679,087</w:t>
            </w:r>
          </w:p>
        </w:tc>
        <w:tc>
          <w:tcPr>
            <w:tcW w:w="180" w:type="dxa"/>
            <w:vAlign w:val="bottom"/>
          </w:tcPr>
          <w:p>
            <w:pPr>
              <w:spacing w:after="0"/>
              <w:rPr>
                <w:sz w:val="18"/>
                <w:szCs w:val="18"/>
                <w:color w:val="auto"/>
              </w:rPr>
            </w:pPr>
          </w:p>
        </w:tc>
        <w:tc>
          <w:tcPr>
            <w:tcW w:w="208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Gerard S. Carlozzi</w:t>
            </w:r>
          </w:p>
        </w:tc>
        <w:tc>
          <w:tcPr>
            <w:tcW w:w="196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128,332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1,542,390</w:t>
            </w:r>
          </w:p>
        </w:tc>
        <w:tc>
          <w:tcPr>
            <w:tcW w:w="1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Judith E. O’Grady</w:t>
            </w:r>
          </w:p>
        </w:tc>
        <w:tc>
          <w:tcPr>
            <w:tcW w:w="1960" w:type="dxa"/>
            <w:vAlign w:val="bottom"/>
            <w:gridSpan w:val="2"/>
          </w:tcPr>
          <w:p>
            <w:pPr>
              <w:jc w:val="right"/>
              <w:ind w:right="524"/>
              <w:spacing w:after="0"/>
              <w:rPr>
                <w:sz w:val="20"/>
                <w:szCs w:val="20"/>
                <w:color w:val="auto"/>
              </w:rPr>
            </w:pPr>
            <w:r>
              <w:rPr>
                <w:rFonts w:ascii="Arial" w:cs="Arial" w:eastAsia="Arial" w:hAnsi="Arial"/>
                <w:sz w:val="18"/>
                <w:szCs w:val="18"/>
                <w:color w:val="auto"/>
              </w:rPr>
              <w:t>8,051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37"/>
              <w:spacing w:after="0"/>
              <w:rPr>
                <w:sz w:val="20"/>
                <w:szCs w:val="20"/>
                <w:color w:val="auto"/>
              </w:rPr>
            </w:pPr>
            <w:r>
              <w:rPr>
                <w:rFonts w:ascii="Arial" w:cs="Arial" w:eastAsia="Arial" w:hAnsi="Arial"/>
                <w:sz w:val="18"/>
                <w:szCs w:val="18"/>
                <w:color w:val="auto"/>
              </w:rPr>
              <w:t>187,765</w:t>
            </w:r>
          </w:p>
        </w:tc>
        <w:tc>
          <w:tcPr>
            <w:tcW w:w="180" w:type="dxa"/>
            <w:vAlign w:val="bottom"/>
          </w:tcPr>
          <w:p>
            <w:pPr>
              <w:spacing w:after="0"/>
              <w:rPr>
                <w:sz w:val="20"/>
                <w:szCs w:val="20"/>
                <w:color w:val="auto"/>
              </w:rPr>
            </w:pPr>
          </w:p>
        </w:tc>
        <w:tc>
          <w:tcPr>
            <w:tcW w:w="208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239395</wp:posOffset>
            </wp:positionV>
            <wp:extent cx="1115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ind w:left="720" w:right="159" w:hanging="388"/>
        <w:spacing w:after="0" w:line="264"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exercise price and the market price of the Company’s common stock as reported by the Nasdaq Global Select Market on the date of exercise, multiplied by the number of shares of common stock underlying the options exercised.</w:t>
      </w:r>
    </w:p>
    <w:p>
      <w:pPr>
        <w:spacing w:after="0" w:line="32" w:lineRule="exact"/>
        <w:rPr>
          <w:rFonts w:ascii="Arial" w:cs="Arial" w:eastAsia="Arial" w:hAnsi="Arial"/>
          <w:sz w:val="18"/>
          <w:szCs w:val="18"/>
          <w:color w:val="auto"/>
        </w:rPr>
      </w:pPr>
    </w:p>
    <w:p>
      <w:pPr>
        <w:jc w:val="both"/>
        <w:ind w:left="720" w:right="159" w:hanging="388"/>
        <w:spacing w:after="0" w:line="30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Value realized is calculated on the basis of the closing price of our common stock as reported by the Nasdaq Global Select Market on the date of vesting multiplied by the number of shares of common stock that vested or, in the case of Mr. Essig, that were delivered. The 750,000 shares delivered to Mr. Essig had vested on the grant date of the restricted units relating to these shares, but the terms of the restricted unit grant provided that these shares would not be deliverable until January 3, 2006.</w:t>
      </w:r>
    </w:p>
    <w:p>
      <w:pPr>
        <w:spacing w:after="0" w:line="5" w:lineRule="exact"/>
        <w:rPr>
          <w:rFonts w:ascii="Arial" w:cs="Arial" w:eastAsia="Arial" w:hAnsi="Arial"/>
          <w:sz w:val="16"/>
          <w:szCs w:val="16"/>
          <w:color w:val="auto"/>
        </w:rPr>
      </w:pPr>
    </w:p>
    <w:p>
      <w:pPr>
        <w:ind w:left="720" w:right="159" w:hanging="38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the vesting of 6,750 shares of restricted stock issued to Mr. Holtz, the Company withheld 2,021 shares to satisfy tax withholding obligations.</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Director Compensation</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The compensation of directors during 2006 included the compensation payable during the one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with the Company’s 2005 Annual Meeting of Stockholders on May 17, 2005 and the one year period beginning with the Company’s 2006 Annual Meeting of Stockholders on May 17, 2006.</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compensation for their service during the one year period beginning with the Company’s 2005 Annual Meeting of Stockholders, non-employee directors received a grant of options to purchase 7,500 shares of common stock, with the Chairman of the Board of Directors receiving options to purchase 10,000 shares. Directors also received an annual retainer of $40,000,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5,000 options.</w:t>
      </w:r>
    </w:p>
    <w:p>
      <w:pPr>
        <w:spacing w:after="0" w:line="166"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Effective as of the 2006 Annual Meeting of Stockholders, non-employee directors were able to elect to receive an annual equity grant of 1,875 shares of restricted stock instead of options to purchase 7,500 shares of common stock (with the Chairman of the Board of Directors being able to elect to receive 2,500 shares of restricted stock instead of options to purchase 10,000 shares of common stock). In addition, the annual retainer was increased to $50,000, payable in the four ways described above.</w:t>
      </w:r>
    </w:p>
    <w:p>
      <w:pPr>
        <w:spacing w:after="0" w:line="13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provides details the total compensation earned by non-employee directors in 2006.</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Fees Earned or Paid</w:t>
            </w:r>
          </w:p>
        </w:tc>
        <w:tc>
          <w:tcPr>
            <w:tcW w:w="180" w:type="dxa"/>
            <w:vAlign w:val="bottom"/>
          </w:tcPr>
          <w:p>
            <w:pPr>
              <w:spacing w:after="0"/>
              <w:rPr>
                <w:sz w:val="14"/>
                <w:szCs w:val="14"/>
                <w:color w:val="auto"/>
              </w:rPr>
            </w:pPr>
          </w:p>
        </w:tc>
        <w:tc>
          <w:tcPr>
            <w:tcW w:w="15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color w:val="auto"/>
              </w:rPr>
              <w:t>(2)</w:t>
            </w:r>
          </w:p>
        </w:tc>
        <w:tc>
          <w:tcPr>
            <w:tcW w:w="200" w:type="dxa"/>
            <w:vAlign w:val="bottom"/>
          </w:tcPr>
          <w:p>
            <w:pPr>
              <w:spacing w:after="0"/>
              <w:rPr>
                <w:sz w:val="14"/>
                <w:szCs w:val="14"/>
                <w:color w:val="auto"/>
              </w:rPr>
            </w:pPr>
          </w:p>
        </w:tc>
        <w:tc>
          <w:tcPr>
            <w:tcW w:w="16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color w:val="auto"/>
              </w:rPr>
              <w:t>(2)(3)</w:t>
            </w:r>
          </w:p>
        </w:tc>
        <w:tc>
          <w:tcPr>
            <w:tcW w:w="180" w:type="dxa"/>
            <w:vAlign w:val="bottom"/>
          </w:tcPr>
          <w:p>
            <w:pPr>
              <w:spacing w:after="0"/>
              <w:rPr>
                <w:sz w:val="14"/>
                <w:szCs w:val="14"/>
                <w:color w:val="auto"/>
              </w:rPr>
            </w:pPr>
          </w:p>
        </w:tc>
        <w:tc>
          <w:tcPr>
            <w:tcW w:w="12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 Cash</w:t>
            </w:r>
            <w:r>
              <w:rPr>
                <w:rFonts w:ascii="Arial" w:cs="Arial" w:eastAsia="Arial" w:hAnsi="Arial"/>
                <w:sz w:val="12"/>
                <w:szCs w:val="12"/>
                <w:color w:val="auto"/>
                <w:w w:val="91"/>
              </w:rPr>
              <w:t>(1)</w:t>
            </w:r>
          </w:p>
        </w:tc>
        <w:tc>
          <w:tcPr>
            <w:tcW w:w="1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00" w:type="dxa"/>
            <w:vAlign w:val="bottom"/>
            <w:vMerge w:val="continue"/>
          </w:tcPr>
          <w:p>
            <w:pPr>
              <w:spacing w:after="0"/>
              <w:rPr>
                <w:sz w:val="13"/>
                <w:szCs w:val="13"/>
                <w:color w:val="auto"/>
              </w:rPr>
            </w:pPr>
          </w:p>
        </w:tc>
        <w:tc>
          <w:tcPr>
            <w:tcW w:w="1840" w:type="dxa"/>
            <w:vAlign w:val="bottom"/>
            <w:gridSpan w:val="2"/>
          </w:tcPr>
          <w:p>
            <w:pPr>
              <w:jc w:val="center"/>
              <w:ind w:left="113"/>
              <w:spacing w:after="0" w:line="153" w:lineRule="exact"/>
              <w:rPr>
                <w:sz w:val="20"/>
                <w:szCs w:val="20"/>
                <w:color w:val="auto"/>
              </w:rPr>
            </w:pPr>
            <w:r>
              <w:rPr>
                <w:rFonts w:ascii="Arial" w:cs="Arial" w:eastAsia="Arial" w:hAnsi="Arial"/>
                <w:sz w:val="14"/>
                <w:szCs w:val="14"/>
                <w:b w:val="1"/>
                <w:bCs w:val="1"/>
                <w:color w:val="auto"/>
                <w:w w:val="93"/>
              </w:rPr>
              <w:t>($)</w:t>
            </w:r>
          </w:p>
        </w:tc>
        <w:tc>
          <w:tcPr>
            <w:tcW w:w="1720" w:type="dxa"/>
            <w:vAlign w:val="bottom"/>
            <w:gridSpan w:val="2"/>
          </w:tcPr>
          <w:p>
            <w:pPr>
              <w:jc w:val="right"/>
              <w:ind w:right="597"/>
              <w:spacing w:after="0" w:line="153" w:lineRule="exact"/>
              <w:rPr>
                <w:sz w:val="20"/>
                <w:szCs w:val="20"/>
                <w:color w:val="auto"/>
              </w:rPr>
            </w:pPr>
            <w:r>
              <w:rPr>
                <w:rFonts w:ascii="Arial" w:cs="Arial" w:eastAsia="Arial" w:hAnsi="Arial"/>
                <w:sz w:val="14"/>
                <w:szCs w:val="14"/>
                <w:b w:val="1"/>
                <w:bCs w:val="1"/>
                <w:color w:val="auto"/>
              </w:rPr>
              <w:t>($)</w:t>
            </w:r>
          </w:p>
        </w:tc>
        <w:tc>
          <w:tcPr>
            <w:tcW w:w="1880" w:type="dxa"/>
            <w:vAlign w:val="bottom"/>
            <w:gridSpan w:val="2"/>
          </w:tcPr>
          <w:p>
            <w:pPr>
              <w:jc w:val="right"/>
              <w:ind w:right="676"/>
              <w:spacing w:after="0" w:line="153" w:lineRule="exact"/>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w:t>
            </w:r>
          </w:p>
        </w:tc>
        <w:tc>
          <w:tcPr>
            <w:tcW w:w="20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(b)</w:t>
            </w:r>
          </w:p>
        </w:tc>
        <w:tc>
          <w:tcPr>
            <w:tcW w:w="180" w:type="dxa"/>
            <w:vAlign w:val="bottom"/>
          </w:tcPr>
          <w:p>
            <w:pPr>
              <w:spacing w:after="0"/>
              <w:rPr>
                <w:sz w:val="14"/>
                <w:szCs w:val="14"/>
                <w:color w:val="auto"/>
              </w:rPr>
            </w:pPr>
          </w:p>
        </w:tc>
        <w:tc>
          <w:tcPr>
            <w:tcW w:w="15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color w:val="auto"/>
              </w:rPr>
              <w:t>(c)</w:t>
            </w:r>
          </w:p>
        </w:tc>
        <w:tc>
          <w:tcPr>
            <w:tcW w:w="200" w:type="dxa"/>
            <w:vAlign w:val="bottom"/>
          </w:tcPr>
          <w:p>
            <w:pPr>
              <w:spacing w:after="0"/>
              <w:rPr>
                <w:sz w:val="14"/>
                <w:szCs w:val="14"/>
                <w:color w:val="auto"/>
              </w:rPr>
            </w:pPr>
          </w:p>
        </w:tc>
        <w:tc>
          <w:tcPr>
            <w:tcW w:w="16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(h)</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Keith Bradley</w:t>
            </w:r>
          </w:p>
        </w:tc>
        <w:tc>
          <w:tcPr>
            <w:tcW w:w="18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15,217</w:t>
            </w:r>
          </w:p>
        </w:tc>
        <w:tc>
          <w:tcPr>
            <w:tcW w:w="172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120,359</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135,576</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Richard E. Caruso</w:t>
            </w:r>
          </w:p>
        </w:tc>
        <w:tc>
          <w:tcPr>
            <w:tcW w:w="1840" w:type="dxa"/>
            <w:vAlign w:val="bottom"/>
            <w:gridSpan w:val="2"/>
          </w:tcPr>
          <w:p>
            <w:pPr>
              <w:jc w:val="right"/>
              <w:ind w:right="504"/>
              <w:spacing w:after="0"/>
              <w:rPr>
                <w:sz w:val="20"/>
                <w:szCs w:val="20"/>
                <w:color w:val="auto"/>
              </w:rPr>
            </w:pPr>
            <w:r>
              <w:rPr>
                <w:rFonts w:ascii="Arial" w:cs="Arial" w:eastAsia="Arial" w:hAnsi="Arial"/>
                <w:sz w:val="18"/>
                <w:szCs w:val="18"/>
                <w:color w:val="auto"/>
              </w:rPr>
              <w:t>7,609</w:t>
            </w:r>
          </w:p>
        </w:tc>
        <w:tc>
          <w:tcPr>
            <w:tcW w:w="1720" w:type="dxa"/>
            <w:vAlign w:val="bottom"/>
            <w:gridSpan w:val="2"/>
          </w:tcPr>
          <w:p>
            <w:pPr>
              <w:jc w:val="right"/>
              <w:ind w:right="397"/>
              <w:spacing w:after="0"/>
              <w:rPr>
                <w:sz w:val="20"/>
                <w:szCs w:val="20"/>
                <w:color w:val="auto"/>
              </w:rPr>
            </w:pPr>
            <w:r>
              <w:rPr>
                <w:rFonts w:ascii="Arial" w:cs="Arial" w:eastAsia="Arial" w:hAnsi="Arial"/>
                <w:sz w:val="18"/>
                <w:szCs w:val="18"/>
                <w:color w:val="auto"/>
              </w:rPr>
              <w:t>143,815</w:t>
            </w:r>
          </w:p>
        </w:tc>
        <w:tc>
          <w:tcPr>
            <w:tcW w:w="200" w:type="dxa"/>
            <w:vAlign w:val="bottom"/>
          </w:tcPr>
          <w:p>
            <w:pPr>
              <w:spacing w:after="0"/>
              <w:rPr>
                <w:sz w:val="18"/>
                <w:szCs w:val="18"/>
                <w:color w:val="auto"/>
              </w:rPr>
            </w:pPr>
          </w:p>
        </w:tc>
        <w:tc>
          <w:tcPr>
            <w:tcW w:w="168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151,424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Neal Moszkowski</w:t>
            </w:r>
            <w:r>
              <w:rPr>
                <w:rFonts w:ascii="Arial" w:cs="Arial" w:eastAsia="Arial" w:hAnsi="Arial"/>
                <w:sz w:val="15"/>
                <w:szCs w:val="15"/>
                <w:color w:val="auto"/>
              </w:rPr>
              <w:t>(4)</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476"/>
              <w:spacing w:after="0"/>
              <w:rPr>
                <w:sz w:val="20"/>
                <w:szCs w:val="20"/>
                <w:color w:val="auto"/>
              </w:rPr>
            </w:pPr>
            <w:r>
              <w:rPr>
                <w:rFonts w:ascii="Arial" w:cs="Arial" w:eastAsia="Arial" w:hAnsi="Arial"/>
                <w:sz w:val="18"/>
                <w:szCs w:val="18"/>
                <w:color w:val="auto"/>
              </w:rPr>
              <w:t>119,490</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119,490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Christian Schade</w:t>
            </w:r>
            <w:r>
              <w:rPr>
                <w:rFonts w:ascii="Arial" w:cs="Arial" w:eastAsia="Arial" w:hAnsi="Arial"/>
                <w:sz w:val="15"/>
                <w:szCs w:val="15"/>
                <w:color w:val="auto"/>
              </w:rPr>
              <w:t>(5)</w:t>
            </w:r>
          </w:p>
        </w:tc>
        <w:tc>
          <w:tcPr>
            <w:tcW w:w="1840" w:type="dxa"/>
            <w:vAlign w:val="bottom"/>
            <w:gridSpan w:val="2"/>
          </w:tcPr>
          <w:p>
            <w:pPr>
              <w:jc w:val="right"/>
              <w:ind w:right="504"/>
              <w:spacing w:after="0"/>
              <w:rPr>
                <w:sz w:val="20"/>
                <w:szCs w:val="20"/>
                <w:color w:val="auto"/>
              </w:rPr>
            </w:pPr>
            <w:r>
              <w:rPr>
                <w:rFonts w:ascii="Arial" w:cs="Arial" w:eastAsia="Arial" w:hAnsi="Arial"/>
                <w:sz w:val="18"/>
                <w:szCs w:val="18"/>
                <w:color w:val="auto"/>
              </w:rPr>
              <w:t>15,489</w:t>
            </w:r>
          </w:p>
        </w:tc>
        <w:tc>
          <w:tcPr>
            <w:tcW w:w="1720" w:type="dxa"/>
            <w:vAlign w:val="bottom"/>
            <w:gridSpan w:val="2"/>
          </w:tcPr>
          <w:p>
            <w:pPr>
              <w:jc w:val="right"/>
              <w:ind w:right="397"/>
              <w:spacing w:after="0"/>
              <w:rPr>
                <w:sz w:val="20"/>
                <w:szCs w:val="20"/>
                <w:color w:val="auto"/>
              </w:rPr>
            </w:pPr>
            <w:r>
              <w:rPr>
                <w:rFonts w:ascii="Arial" w:cs="Arial" w:eastAsia="Arial" w:hAnsi="Arial"/>
                <w:sz w:val="18"/>
                <w:szCs w:val="18"/>
                <w:color w:val="auto"/>
              </w:rPr>
              <w:t>24,995</w:t>
            </w:r>
          </w:p>
        </w:tc>
        <w:tc>
          <w:tcPr>
            <w:tcW w:w="1880" w:type="dxa"/>
            <w:vAlign w:val="bottom"/>
            <w:gridSpan w:val="2"/>
          </w:tcPr>
          <w:p>
            <w:pPr>
              <w:jc w:val="right"/>
              <w:ind w:right="476"/>
              <w:spacing w:after="0"/>
              <w:rPr>
                <w:sz w:val="20"/>
                <w:szCs w:val="20"/>
                <w:color w:val="auto"/>
              </w:rPr>
            </w:pPr>
            <w:r>
              <w:rPr>
                <w:rFonts w:ascii="Arial" w:cs="Arial" w:eastAsia="Arial" w:hAnsi="Arial"/>
                <w:sz w:val="18"/>
                <w:szCs w:val="18"/>
                <w:color w:val="auto"/>
              </w:rPr>
              <w:t>97,360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137,844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8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23,098</w:t>
            </w:r>
          </w:p>
        </w:tc>
        <w:tc>
          <w:tcPr>
            <w:tcW w:w="172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95,364</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118,462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Anne M. VanLent</w:t>
            </w:r>
          </w:p>
        </w:tc>
        <w:tc>
          <w:tcPr>
            <w:tcW w:w="1840" w:type="dxa"/>
            <w:vAlign w:val="bottom"/>
            <w:gridSpan w:val="2"/>
          </w:tcPr>
          <w:p>
            <w:pPr>
              <w:jc w:val="right"/>
              <w:ind w:right="504"/>
              <w:spacing w:after="0"/>
              <w:rPr>
                <w:sz w:val="20"/>
                <w:szCs w:val="20"/>
                <w:color w:val="auto"/>
              </w:rPr>
            </w:pPr>
            <w:r>
              <w:rPr>
                <w:rFonts w:ascii="Arial" w:cs="Arial" w:eastAsia="Arial" w:hAnsi="Arial"/>
                <w:sz w:val="18"/>
                <w:szCs w:val="18"/>
                <w:color w:val="auto"/>
              </w:rPr>
              <w:t>30,978</w:t>
            </w:r>
          </w:p>
        </w:tc>
        <w:tc>
          <w:tcPr>
            <w:tcW w:w="180" w:type="dxa"/>
            <w:vAlign w:val="bottom"/>
          </w:tcPr>
          <w:p>
            <w:pPr>
              <w:spacing w:after="0"/>
              <w:rPr>
                <w:sz w:val="18"/>
                <w:szCs w:val="18"/>
                <w:color w:val="auto"/>
              </w:rPr>
            </w:pPr>
          </w:p>
        </w:tc>
        <w:tc>
          <w:tcPr>
            <w:tcW w:w="154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76"/>
              <w:spacing w:after="0"/>
              <w:rPr>
                <w:sz w:val="20"/>
                <w:szCs w:val="20"/>
                <w:color w:val="auto"/>
              </w:rPr>
            </w:pPr>
            <w:r>
              <w:rPr>
                <w:rFonts w:ascii="Arial" w:cs="Arial" w:eastAsia="Arial" w:hAnsi="Arial"/>
                <w:sz w:val="18"/>
                <w:szCs w:val="18"/>
                <w:color w:val="auto"/>
              </w:rPr>
              <w:t>97,360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128,338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David Auth</w:t>
            </w:r>
            <w:r>
              <w:rPr>
                <w:rFonts w:ascii="Arial" w:cs="Arial" w:eastAsia="Arial" w:hAnsi="Arial"/>
                <w:sz w:val="15"/>
                <w:szCs w:val="15"/>
                <w:color w:val="auto"/>
              </w:rPr>
              <w:t>(6)</w:t>
            </w:r>
          </w:p>
        </w:tc>
        <w:tc>
          <w:tcPr>
            <w:tcW w:w="184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15,217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15,217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1150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amounts earned for 2006, but not paid until 2007</w:t>
      </w:r>
    </w:p>
    <w:p>
      <w:pPr>
        <w:spacing w:after="0" w:line="76" w:lineRule="exact"/>
        <w:rPr>
          <w:rFonts w:ascii="Arial" w:cs="Arial" w:eastAsia="Arial" w:hAnsi="Arial"/>
          <w:sz w:val="18"/>
          <w:szCs w:val="18"/>
          <w:color w:val="auto"/>
        </w:rPr>
      </w:pPr>
    </w:p>
    <w:p>
      <w:pPr>
        <w:jc w:val="both"/>
        <w:ind w:left="720" w:right="159" w:hanging="388"/>
        <w:spacing w:after="0" w:line="25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Reflects the dollar amount recognized for financial statement reporting purposes for the fiscal year ended December 31, 2006 in accordance with FAS 123(R). Assumptions used in the calculation of these amounts are included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the Company’s audited financial statements for the fiscal year ended December 31, 2006,</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Company’s Annual Report on Form 10-K for the year ended December 31, 2006 as filed with the Securities and Exchange Commission on March 2, 2007.</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color w:val="auto"/>
        </w:rPr>
        <w:t>However, as required, the amounts shown exclude the impact of estimated forfeitures related to service-based vesting conditions. The grant date fair value of stock and option awards is equal to the amounts set forth in these columns, except that the grant date fair value of the option awards made to Mr. Moszkowski was $152,625</w:t>
      </w:r>
    </w:p>
    <w:p>
      <w:pPr>
        <w:spacing w:after="0" w:line="33" w:lineRule="exact"/>
        <w:rPr>
          <w:sz w:val="20"/>
          <w:szCs w:val="20"/>
          <w:color w:val="auto"/>
        </w:rPr>
      </w:pPr>
    </w:p>
    <w:p>
      <w:pPr>
        <w:jc w:val="both"/>
        <w:ind w:left="720" w:right="159" w:hanging="388"/>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options held by each director as of December 31, 2006 was as follows: Keith Bradley — 30,000; Richard E. Caruso — 70,000; Neal Moszkowski — 12,500; Christian Schade - - 7,500; James M. Sullivan — 50,000 and Anne M. VanLent — 27,500. All of these options had vested as of such date, other than the options held by Mr. Moszkowski. No shares of restricted stock were held by any director as of such date.</w:t>
      </w:r>
    </w:p>
    <w:p>
      <w:pPr>
        <w:spacing w:after="0" w:line="38"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Moszkowski re-joined the Board of Directors on August 1,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Schade joined the Board of Directors on May 17,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Auth’s term as a director ended on May 17, 2006.</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Stuart Essig, the Company’s President and Chief Executive Officer, is not included in this table because he is an employee of the Company and does not receive compensation for his services as a director. The compensation received by Mr. Essig as an employee of the Company is shown above in the Summary Compensation Table.</w:t>
      </w:r>
    </w:p>
    <w:p>
      <w:pPr>
        <w:spacing w:after="0" w:line="14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i w:val="1"/>
          <w:iCs w:val="1"/>
          <w:color w:val="auto"/>
        </w:rPr>
        <w:t>Changes to Director Compensation</w:t>
      </w:r>
      <w:r>
        <w:rPr>
          <w:rFonts w:ascii="Arial" w:cs="Arial" w:eastAsia="Arial" w:hAnsi="Arial"/>
          <w:sz w:val="18"/>
          <w:szCs w:val="18"/>
          <w:color w:val="auto"/>
        </w:rPr>
        <w:t>. At the beginning of 2007, the Company approved the following changes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non-employee directors, effective as of the 2007 Annual Meeting of Stockholders:</w:t>
      </w:r>
    </w:p>
    <w:p>
      <w:pPr>
        <w:spacing w:after="0" w:line="130" w:lineRule="exact"/>
        <w:rPr>
          <w:sz w:val="20"/>
          <w:szCs w:val="20"/>
          <w:color w:val="auto"/>
        </w:rPr>
      </w:pPr>
    </w:p>
    <w:p>
      <w:pPr>
        <w:ind w:left="1080" w:hanging="370"/>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annual retainer was increased from $50,000 to $55,000; and</w:t>
      </w:r>
    </w:p>
    <w:p>
      <w:pPr>
        <w:spacing w:after="0" w:line="225" w:lineRule="exact"/>
        <w:rPr>
          <w:rFonts w:ascii="Arial" w:cs="Arial" w:eastAsia="Arial" w:hAnsi="Arial"/>
          <w:sz w:val="18"/>
          <w:szCs w:val="18"/>
          <w:b w:val="1"/>
          <w:bCs w:val="1"/>
          <w:color w:val="auto"/>
        </w:rPr>
      </w:pPr>
    </w:p>
    <w:p>
      <w:pPr>
        <w:jc w:val="both"/>
        <w:ind w:left="1080" w:right="159" w:hanging="370"/>
        <w:spacing w:after="0" w:line="264" w:lineRule="auto"/>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 directors who choose to receive the annual retainer in options to purchase common stock, the number of options will be determined by valuing the options at 25% of the fair market value of our common stock underlying the option, with a maximum of 7,500 options.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has entered into agreements with each of its named executive officers which provide certain payments and benefits upon several events of termination of employment, including termination of employment in connection with a change in control. This section describes these payments and benefits, with amounts based on the assumption that a named executive officer’s termination of employment with the Company occurred on December 31, 2006. On December 29, 2006, the last trading day prior to December 31, 2006, the Company’s common stock had a closing sale price on the Nasdaq Global Select Market of $42.59. Actual amounts payable would vary based on the date of the named executive officer’s termination of employment and can only be finally determined at that time.</w:t>
      </w:r>
    </w:p>
    <w:p>
      <w:pPr>
        <w:spacing w:after="0" w:line="149"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Unless specified otherwise, the information in this section is based upon the terms of (i) the Second Amended and Restated Employment Agreement between the Company and Stuart M. Essig, dated as of July 27, 2004 and subsequently amended on December 19, 2006, (the “Essig Agreement”); (ii) the Amended and Restated Employment Agreement, dated December 19, 2005, between the Company and John B. Henneman, III (the “Henneman Agreement”), (iii) the Amended and Restated Employment Agreement, dated December 19, 2005, between the Company and Gerard S. Carlozzi (the “Carlozzi Agreement”); (iv) the Amended and Restated Employment Agreement, dated December 19, 2005, between the Company and David B. Holtz (the “Holtz Agreement”);</w:t>
      </w:r>
    </w:p>
    <w:p>
      <w:pPr>
        <w:spacing w:after="0" w:line="5" w:lineRule="exact"/>
        <w:rPr>
          <w:sz w:val="20"/>
          <w:szCs w:val="20"/>
          <w:color w:val="auto"/>
        </w:rPr>
      </w:pPr>
    </w:p>
    <w:p>
      <w:pPr>
        <w:ind w:left="600" w:hanging="268"/>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Severance Agreement, dated January 1, 2007, between the Company and Judith O’Grady (the “O’Grady Agreement”); and</w:t>
      </w:r>
    </w:p>
    <w:p>
      <w:pPr>
        <w:spacing w:after="0" w:line="32" w:lineRule="exact"/>
        <w:rPr>
          <w:rFonts w:ascii="Arial" w:cs="Arial" w:eastAsia="Arial" w:hAnsi="Arial"/>
          <w:sz w:val="16"/>
          <w:szCs w:val="16"/>
          <w:color w:val="auto"/>
        </w:rPr>
      </w:pPr>
    </w:p>
    <w:p>
      <w:pPr>
        <w:jc w:val="both"/>
        <w:ind w:left="340" w:right="159" w:hanging="8"/>
        <w:spacing w:after="0" w:line="255" w:lineRule="auto"/>
        <w:tabs>
          <w:tab w:leader="none" w:pos="6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Employment Agreement, dated January 10, 2006, between the Company and Maureen B. Bellantoni (the “Bellantoni Agreement”) which together with the Essig Agreement, the Henneman Agreement, the Carlozzi Agreement, the Holtz Agreement and the O’Grady Agreement are collectively referred to in this section as, the “Agreements”).</w:t>
      </w:r>
    </w:p>
    <w:p>
      <w:pPr>
        <w:spacing w:after="0" w:line="15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Mr. David B. Holtz, who terminated his employment on December 31, 2006, is discussed at the end of this section under “Terminated Executive During 2006 Calendar Year.”</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Payments Upon Termination By The Company Without Cause Or By The Executive For Good Reason</w:t>
      </w:r>
    </w:p>
    <w:p>
      <w:pPr>
        <w:spacing w:after="0" w:line="185"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Agreements provide each of the named executive officers (except Ms. O’Grady) severance payments and benefits upon termination of their employment by the Company without cause or by the executive for good reason. For Mr. Essig and Ms. Bellantoni, the Company will pay them a lump sum cash severance payment equal to their annual base salary as of their last day of active employment. For Messrs. Henneman and Carlozzi, the Company will pay them a lump sum cash severance payment equal to the sum of their annual base salary as of their last day of active employment and their target bonus for the year of termination.</w:t>
      </w:r>
    </w:p>
    <w:p>
      <w:pPr>
        <w:spacing w:after="0" w:line="11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addition, the Company will continue to provide to each of the named executive officers (other than Ms. O’Grady) continued participation in all of the Company’s life insurance, health and accident, disability and other employee benefit plans for a specified period of time. Specifically, Mr. Essig will receive continued coverage until December 31, 2009, and the other executives will have continued coverage for one year following their date of termination.</w:t>
      </w:r>
    </w:p>
    <w:p>
      <w:pPr>
        <w:spacing w:after="0" w:line="16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Agreements also provide the named executive officers (except Mses. Bellantoni and O’Grady) with accelerated vesting of their equity awards upon such termination of employment. In addition, for Mr. Essig only, all of his stock options will remain exercisable through their original expiration dates and he will receive payment of the shares of common stock underlying the 750,000 restricted stock units granted to him on July 27, 2004 (the “2004 RSUs”), unless he previously elected a different payment date.</w:t>
      </w:r>
    </w:p>
    <w:p>
      <w:pPr>
        <w:spacing w:after="0" w:line="200" w:lineRule="exact"/>
        <w:rPr>
          <w:sz w:val="20"/>
          <w:szCs w:val="20"/>
          <w:color w:val="auto"/>
        </w:rPr>
      </w:pPr>
    </w:p>
    <w:p>
      <w:pPr>
        <w:spacing w:after="0" w:line="30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O’Grady Agreement provides that upon termination of her employment prior to a change in control, the Company’s standard employment termination policies and practices that are applicable to her at the time of her termination would be applicable. The Company currently does not have a written severance plan for employees generally. Accordingly, Ms. O’Grady will not be entitled to any payments or benefits upon termination of her employment without cause prior to a change in control.</w:t>
      </w:r>
    </w:p>
    <w:p>
      <w:pPr>
        <w:spacing w:after="0" w:line="144"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Good reason under the Agreements generally exists if (i) the Company materially breaches the respective Agreements and does not cure the breach within a specified period of time after its receipt of written notice of such breach; (ii) the Company relocates the executive to a location more than forty miles from Princeton, New Jersey (or for Mr. Essig only, 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 Company fails to obtain the assumption of the executive’s Agreement by any successor company.</w:t>
      </w:r>
    </w:p>
    <w:p>
      <w:pPr>
        <w:spacing w:after="0" w:line="147"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Essig Agreement provides for the following additional good reason terminations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 (v) if the Company fails to indemnify him in all material respects in accordance with the Company’s by-laws and terms of any directors and officers liability insurance policy</w:t>
      </w:r>
      <w:r>
        <w:rPr>
          <w:rFonts w:ascii="Arial" w:cs="Arial" w:eastAsia="Arial" w:hAnsi="Arial"/>
          <w:sz w:val="17"/>
          <w:szCs w:val="17"/>
          <w:b w:val="1"/>
          <w:bCs w:val="1"/>
          <w:color w:val="auto"/>
        </w:rPr>
        <w:t>;</w:t>
      </w:r>
      <w:r>
        <w:rPr>
          <w:rFonts w:ascii="Arial" w:cs="Arial" w:eastAsia="Arial" w:hAnsi="Arial"/>
          <w:sz w:val="17"/>
          <w:szCs w:val="17"/>
          <w:color w:val="auto"/>
        </w:rPr>
        <w:t xml:space="preserve"> or (vi) if the Company fails to initiate the procedures, as soon as practicable, to establish and maintain registration statements with respect to stock options and restricted stock units granted to him prior to July 27, 2004.</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Agreements generally do not provide the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141" w:lineRule="exact"/>
        <w:rPr>
          <w:sz w:val="20"/>
          <w:szCs w:val="20"/>
          <w:color w:val="auto"/>
        </w:rPr>
      </w:pPr>
    </w:p>
    <w:p>
      <w:pPr>
        <w:jc w:val="both"/>
        <w:ind w:left="340" w:right="179" w:firstLine="389"/>
        <w:spacing w:after="0" w:line="274" w:lineRule="auto"/>
        <w:rPr>
          <w:sz w:val="20"/>
          <w:szCs w:val="20"/>
          <w:color w:val="auto"/>
        </w:rPr>
      </w:pPr>
      <w:r>
        <w:rPr>
          <w:rFonts w:ascii="Arial" w:cs="Arial" w:eastAsia="Arial" w:hAnsi="Arial"/>
          <w:sz w:val="17"/>
          <w:szCs w:val="17"/>
          <w:color w:val="auto"/>
        </w:rPr>
        <w:t>A termination for cause under the Agreements generally would result from an executive’s: (i) continued failure to perform the executive’s stated duties in all material respects for a specified period of time after receipt of written notice of such failure;</w:t>
      </w:r>
    </w:p>
    <w:p>
      <w:pPr>
        <w:jc w:val="both"/>
        <w:ind w:left="340" w:right="159" w:hanging="8"/>
        <w:spacing w:after="0" w:line="253" w:lineRule="auto"/>
        <w:tabs>
          <w:tab w:leader="none" w:pos="6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intentional and material breach of any provision of the Agreements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200" w:lineRule="exact"/>
        <w:rPr>
          <w:sz w:val="20"/>
          <w:szCs w:val="20"/>
          <w:color w:val="auto"/>
        </w:rPr>
      </w:pP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or to any other crime involving moral turpitude which conviction or plea is materially and demonstrably injurious to the Company or any of its subsidiaries.</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Payments Upon Non-Renewal Of Employment Agreement</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Only the Essig, Henneman and Carlozzi Agreements provide payments and benefits upon non-renewal of the term of the respective Agreements. For Mr. Essig, all of his outstanding stock options granted after July 27, 2004 will immediately vest and remain exercisable through their original expiration dates. In addition, he will receive the shares underlying his 2004 RSUs, unless he previously elected a different payment date.</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For Messrs. Henneman and Carlozzi, the Company will pay them the same payments and benefits as those payments and benefits described under “–Payments Upon Termination By The Company Without Cause Or By The Executive For Good Reason” discussed above. However, while their stock options will accelerate and become fully exercisable, only a pro-rata portion of Messrs. Henneman’s and Carlozzi’s outstanding shares of restricted stock will be deemed to have vested as of the last day of their employment. Such pro-rata portion will be based on the number of days that they worked for the Company after the grant of their restricted stock awards and the total number of days of the restriction period set forth in their respective restricted stock grant agreements.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Only the Essig, Henneman and Carlozzi Agreements provide severance payments and benefits upon death. Specifically, if Messrs. Essig, Henneman and Carlozzi die during the term of their employment, then the Company will pay to their estate a lump sum payment equal to one times their annual base salary. In addition, their eligible beneficiaries will continue to participate in all of the Company’s life insurance, health and accident, disability and other employee benefit plans generally for a period of one year from the date of their death.</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Essig, Henneman and Carlozzi Agreements also provide for acceleration of their respective equity compensation awards. In addition, all of Mr. Essig’s stock options will remain exercisable until one year following his death, but in no event beyond their respective original expiration dates. Moreover, as promptly as practicable following his death, Mr. Essig’s estate will receive the shares underlying the 2004 RSUs, unless he previously elected a different payment date.</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185"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2009. The Company will also generally continue all of the Company’s life insurance, health and accident, disability and other employee benefits to him for a period of one year from the date of his termination. Following December 31, 2009, Mr. Essig will continue to be entitled to receive long-term disability benefits under the Company’s long-term disability program in effect at such time to the extent he is eligible to receive such benefits.</w:t>
      </w:r>
    </w:p>
    <w:p>
      <w:pPr>
        <w:spacing w:after="0" w:line="12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As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promptly as practicable following such termination, all shares underlying the outstanding 2004 RSUs will be paid to him, unless he previously elected a different payment date.</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Although no severance payments will be made to Messrs. Henneman and Carlozzi upon their termination of employment on account of their disability, all of their equity awards will accelerate and become fully vested on the date of their termination of employment for disability.</w:t>
      </w:r>
    </w:p>
    <w:p>
      <w:pPr>
        <w:spacing w:after="0" w:line="14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fewer than six months.</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Payments Upon Termination Related To A Change In Control</w:t>
      </w:r>
    </w:p>
    <w:p>
      <w:pPr>
        <w:spacing w:after="0" w:line="198"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The Agreements provide each of the named executive officers severance payments and benefits upon termination of their employment in connection with or following a change in control. If (i) Mr. Essig’s employment is terminated by the Company for a reason other than death, disability, or cause, (ii) Mr. Essig terminates his employment for good reason, or (iii) the Company fails to renew the Essig Agreement, in each case, within eighteen months following a change in control, he will be entitled to a severance payment equal to the sum of (a) 2.99 times the sum of his base salary and target bonus for the fiscal year of his termination and (b) a pro rata portion of his bonus in the year of termination. In addition, the Company will generally provide him with continued participation in all of the Company’s life insurance, health and accident, disability and other employee benefit plans until the end of the later of December 31, 2009 or one year following his termination date.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12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Agreements with the other named executive officers provide that, if within twelve months of a change in control, their employment with the Company is terminated by the Company for a reason other than death, disability or cause, or they terminate employment with the Company for good reason, (or for Messrs. Henneman and Carlozzi only, the Company fails to renew their respective Agreements), the Company will pay to them a lump sum cash payment equal to 2.99 times (for Ms. O’Grady only, 1.99 times) the sum of their annual base salary and target bonus. In addition, the Company will continue to maintain and provide to these executives continued participation in all of the Company’s life insurance, health and accident, disability and other employee benefit plans for a period generally ending on the earlier to occur of (i) the fifth anniversary of their Agreements (or for Mses. Bellantoni and O’Grady only, the first anniversary of their date of termination of employment), or (ii) their date of death. All of the Agreements (except the O’Grady Agreement) also provide that the Company will pay all reasonable fees and expenses incurred by the executives as a result of their termination of employment.</w:t>
      </w:r>
    </w:p>
    <w:p>
      <w:pPr>
        <w:spacing w:after="0" w:line="13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Agreements (except the O’Grady Agreement) provide that if any payment, coverage or benefit provided to them is subject to the excise tax under section 4999 of the Code, the executives will be grossed-up so that the executive would be in the same net after-tax position he or she would have been in had sections 280G and 4999 not been part of the Code. The O’Grady Agreement provides that if any payment or benefit provided to her would be subject to the excise tax under section 4999 of the Code, she will have the amounts payable to her and benefits she will receive reduced so that no amounts she would receive would be subject to the excise tax under section 4999 of the Code if such reduction would result in her receiving a greater amount on an after-tax basis than if no reduction had occurred.</w:t>
      </w:r>
    </w:p>
    <w:p>
      <w:pPr>
        <w:spacing w:after="0" w:line="16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Company’s equity plans provide for the acceleration of the vesting and/or delivery of all equity compensation awards for all of the named executive officers upon a change in control, regardless</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of whether their employment has terminated. The Essig Agreement provides that all stock options granted to Mr. Essig will remain exercisable through their original expiration dates, and he will generally receive payment of all outstanding restricted stock units (including the shares underlying the 2004 RSUs and the 500,000 shares underlying the restricted stock units granted to Mr. Essig in 2000) on the date of the change in control.</w:t>
      </w:r>
    </w:p>
    <w:p>
      <w:pPr>
        <w:spacing w:after="0" w:line="16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(or for Mr. Essig only, thirty-five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assets of the Company or the acquisition of assets or stock of another entity; or (iv) upon approval by the stockholders of a complete liquidation or dissolution of the Company.</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foregoing severance benefits payable upon termination of employment prior to or after a change in control to the named executive officers (except Ms. O’Grady) are conditioned on, for Messrs. Essig, Henneman and Carlozzi, their execution of a mutual release, and for Ms. Bellantoni, her execution of a general release.</w:t>
      </w:r>
    </w:p>
    <w:p>
      <w:pPr>
        <w:spacing w:after="0" w:line="154"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addition, for all of the named executive officers, such benefits are consideration for the restrictive covenants set forth in their respective Agreements; provided, however, that such restrictive covenants would not apply to Mr. Essig if he is terminated by the Company without cause or he terminates his employment for good reason prior to a change in control. Specifically, during the term of their employment with the Company and the one year period thereafter (or for Mr. Essig, the two year period thereafter), all of the named executive officers may not compete against the Company or solicit employees and customers of the Company.</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Terminated Executive During 2006 Calendar Year</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Effective as of December 31, 2006, Mr. David Holtz terminated his employment as the Senior Vice President, Finance of the Company for good reason. In connection therewith, Mr. Holtz received payments and benefits totaling $337,000, which consisted of cash severance in the amount of $325,000 and continued health benefits in the amount of $12,000. These amounts were paid to him pursuant to his Agreement.</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198"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The following table summarized the payments to be made by the Company to the named executive officer’s upon the events discussed above:</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Termination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Or With Good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Upon A Change</w:t>
            </w:r>
          </w:p>
        </w:tc>
        <w:tc>
          <w:tcPr>
            <w:tcW w:w="140" w:type="dxa"/>
            <w:vAlign w:val="bottom"/>
          </w:tcPr>
          <w:p>
            <w:pPr>
              <w:spacing w:after="0"/>
              <w:rPr>
                <w:sz w:val="12"/>
                <w:szCs w:val="12"/>
                <w:color w:val="auto"/>
              </w:rPr>
            </w:pP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Without Cause Or</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Reason (Before A</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Non-Renewal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With Good Reason</w:t>
            </w: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Change In</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In Control</w:t>
            </w:r>
          </w:p>
        </w:tc>
        <w:tc>
          <w:tcPr>
            <w:tcW w:w="142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(After A Change In</w:t>
            </w:r>
          </w:p>
        </w:tc>
        <w:tc>
          <w:tcPr>
            <w:tcW w:w="0" w:type="dxa"/>
            <w:vAlign w:val="bottom"/>
          </w:tcPr>
          <w:p>
            <w:pPr>
              <w:spacing w:after="0"/>
              <w:rPr>
                <w:sz w:val="1"/>
                <w:szCs w:val="1"/>
                <w:color w:val="auto"/>
              </w:rPr>
            </w:pPr>
          </w:p>
        </w:tc>
      </w:tr>
      <w:tr>
        <w:trPr>
          <w:trHeight w:val="171"/>
        </w:trPr>
        <w:tc>
          <w:tcPr>
            <w:tcW w:w="1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Control)</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Of Agreement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b w:val="1"/>
                <w:bCs w:val="1"/>
                <w:color w:val="auto"/>
              </w:rPr>
              <w:t>(No Termination)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Control)</w:t>
            </w: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Stuart M. Essig</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Cash Severance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3,490,000</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Continued Health &amp;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2"/>
        </w:trPr>
        <w:tc>
          <w:tcPr>
            <w:tcW w:w="1920" w:type="dxa"/>
            <w:vAlign w:val="bottom"/>
          </w:tcPr>
          <w:p>
            <w:pPr>
              <w:ind w:left="200"/>
              <w:spacing w:after="0" w:line="201" w:lineRule="exact"/>
              <w:rPr>
                <w:sz w:val="20"/>
                <w:szCs w:val="20"/>
                <w:color w:val="auto"/>
              </w:rPr>
            </w:pPr>
            <w:r>
              <w:rPr>
                <w:rFonts w:ascii="Arial" w:cs="Arial" w:eastAsia="Arial" w:hAnsi="Arial"/>
                <w:sz w:val="18"/>
                <w:szCs w:val="18"/>
                <w:color w:val="auto"/>
              </w:rPr>
              <w:t>Acceleration of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0"/>
              <w:spacing w:after="0"/>
              <w:rPr>
                <w:sz w:val="20"/>
                <w:szCs w:val="20"/>
                <w:color w:val="auto"/>
              </w:rPr>
            </w:pPr>
            <w:r>
              <w:rPr>
                <w:rFonts w:ascii="Arial" w:cs="Arial" w:eastAsia="Arial" w:hAnsi="Arial"/>
                <w:sz w:val="18"/>
                <w:szCs w:val="18"/>
                <w:color w:val="auto"/>
              </w:rPr>
              <w:t>Options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3,537,347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3,537,347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3,537,347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3,537,347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3,537,347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3,537,347</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Acceleration of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31,942,500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31,942,500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31,942,500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31,942,500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53,237,500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53,237,500</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Fees/Interest</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86,722</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280G Gross-up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Amount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36,003,847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35,479,847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35,991,847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36,991,847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56,774,847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60,387,569</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John B. Henneman, III</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Cash Severance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588,000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588,000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1,758,120</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Continued Health &amp;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2"/>
        </w:trPr>
        <w:tc>
          <w:tcPr>
            <w:tcW w:w="1920" w:type="dxa"/>
            <w:vAlign w:val="bottom"/>
          </w:tcPr>
          <w:p>
            <w:pPr>
              <w:ind w:left="200"/>
              <w:spacing w:after="0" w:line="201" w:lineRule="exact"/>
              <w:rPr>
                <w:sz w:val="20"/>
                <w:szCs w:val="20"/>
                <w:color w:val="auto"/>
              </w:rPr>
            </w:pPr>
            <w:r>
              <w:rPr>
                <w:rFonts w:ascii="Arial" w:cs="Arial" w:eastAsia="Arial" w:hAnsi="Arial"/>
                <w:sz w:val="18"/>
                <w:szCs w:val="18"/>
                <w:color w:val="auto"/>
              </w:rPr>
              <w:t>Acceleration of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0"/>
              <w:spacing w:after="0"/>
              <w:rPr>
                <w:sz w:val="20"/>
                <w:szCs w:val="20"/>
                <w:color w:val="auto"/>
              </w:rPr>
            </w:pPr>
            <w:r>
              <w:rPr>
                <w:rFonts w:ascii="Arial" w:cs="Arial" w:eastAsia="Arial" w:hAnsi="Arial"/>
                <w:sz w:val="18"/>
                <w:szCs w:val="18"/>
                <w:color w:val="auto"/>
              </w:rPr>
              <w:t>Options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1,279,912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1,279,912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1,279,912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1,279,912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1,279,912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1,279,912</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Acceleration of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4,259,000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1,411,901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4,259,000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4,259,000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4,259,000</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Fees/Interest</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280G Gross-up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Amount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6,138,912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3,291,813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5,970,912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5,538,912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5,538,912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7,345,032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Gerard S. Carlozzi</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Cash Severance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560,000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1,674,400</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Continued Health &amp;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2"/>
        </w:trPr>
        <w:tc>
          <w:tcPr>
            <w:tcW w:w="1920" w:type="dxa"/>
            <w:vAlign w:val="bottom"/>
          </w:tcPr>
          <w:p>
            <w:pPr>
              <w:ind w:left="200"/>
              <w:spacing w:after="0" w:line="201" w:lineRule="exact"/>
              <w:rPr>
                <w:sz w:val="20"/>
                <w:szCs w:val="20"/>
                <w:color w:val="auto"/>
              </w:rPr>
            </w:pPr>
            <w:r>
              <w:rPr>
                <w:rFonts w:ascii="Arial" w:cs="Arial" w:eastAsia="Arial" w:hAnsi="Arial"/>
                <w:sz w:val="18"/>
                <w:szCs w:val="18"/>
                <w:color w:val="auto"/>
              </w:rPr>
              <w:t>Acceleration of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0"/>
              <w:spacing w:after="0"/>
              <w:rPr>
                <w:sz w:val="20"/>
                <w:szCs w:val="20"/>
                <w:color w:val="auto"/>
              </w:rPr>
            </w:pPr>
            <w:r>
              <w:rPr>
                <w:rFonts w:ascii="Arial" w:cs="Arial" w:eastAsia="Arial" w:hAnsi="Arial"/>
                <w:sz w:val="18"/>
                <w:szCs w:val="18"/>
                <w:color w:val="auto"/>
              </w:rPr>
              <w:t>Options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1,500,491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1,500,491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1,500,491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1,500,491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1,500,491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1,500,491</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Acceleration of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4,259,000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1,411,901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4,259,000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4,259,000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4,259,000</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Fees/Interest</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280G Gross-up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Amount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962,189</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6,331,491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3,484,392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6,171,491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5,759,491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5,759,491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8,444,080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Maureen B. Bellantoni</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Cash Severance</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1,255,800</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Continued Health &amp;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02"/>
        </w:trPr>
        <w:tc>
          <w:tcPr>
            <w:tcW w:w="1920" w:type="dxa"/>
            <w:vAlign w:val="bottom"/>
          </w:tcPr>
          <w:p>
            <w:pPr>
              <w:ind w:left="200"/>
              <w:spacing w:after="0" w:line="201" w:lineRule="exact"/>
              <w:rPr>
                <w:sz w:val="20"/>
                <w:szCs w:val="20"/>
                <w:color w:val="auto"/>
              </w:rPr>
            </w:pPr>
            <w:r>
              <w:rPr>
                <w:rFonts w:ascii="Arial" w:cs="Arial" w:eastAsia="Arial" w:hAnsi="Arial"/>
                <w:sz w:val="18"/>
                <w:szCs w:val="18"/>
                <w:color w:val="auto"/>
              </w:rPr>
              <w:t>Acceleration of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Acceleration of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425,900</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Fees/Interest</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280G Gross-up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Amount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448,432</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312,000</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425,900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2,142,132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Judith O’Grady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Cash Severance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640,780</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Continued Health &amp;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Benefits</w:t>
            </w:r>
            <w:r>
              <w:rPr>
                <w:rFonts w:ascii="Arial" w:cs="Arial" w:eastAsia="Arial" w:hAnsi="Arial"/>
                <w:sz w:val="15"/>
                <w:szCs w:val="15"/>
                <w:color w:val="auto"/>
              </w:rPr>
              <w:t>(1)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02"/>
        </w:trPr>
        <w:tc>
          <w:tcPr>
            <w:tcW w:w="1920" w:type="dxa"/>
            <w:vAlign w:val="bottom"/>
          </w:tcPr>
          <w:p>
            <w:pPr>
              <w:ind w:left="200"/>
              <w:spacing w:after="0" w:line="201" w:lineRule="exact"/>
              <w:rPr>
                <w:sz w:val="20"/>
                <w:szCs w:val="20"/>
                <w:color w:val="auto"/>
              </w:rPr>
            </w:pPr>
            <w:r>
              <w:rPr>
                <w:rFonts w:ascii="Arial" w:cs="Arial" w:eastAsia="Arial" w:hAnsi="Arial"/>
                <w:sz w:val="18"/>
                <w:szCs w:val="18"/>
                <w:color w:val="auto"/>
              </w:rPr>
              <w:t>Acceleration of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40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194,315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194,315</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Acceleration of Other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161,075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161,075</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Fees/Interest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280G Gross-up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Amount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355,390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1,008,170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right"/>
        <w:ind w:right="159"/>
        <w:spacing w:after="0"/>
        <w:rPr>
          <w:sz w:val="20"/>
          <w:szCs w:val="20"/>
          <w:color w:val="auto"/>
        </w:rPr>
      </w:pPr>
      <w:r>
        <w:rPr>
          <w:rFonts w:ascii="Arial" w:cs="Arial" w:eastAsia="Arial" w:hAnsi="Arial"/>
          <w:sz w:val="18"/>
          <w:szCs w:val="18"/>
          <w:i w:val="1"/>
          <w:iCs w:val="1"/>
          <w:color w:val="auto"/>
        </w:rPr>
        <w:t>(Continued on next page)</w:t>
      </w:r>
    </w:p>
    <w:p>
      <w:pPr>
        <w:sectPr>
          <w:pgSz w:w="11900" w:h="16838" w:orient="portrait"/>
          <w:cols w:equalWidth="0" w:num="1">
            <w:col w:w="10219"/>
          </w:cols>
          <w:pgMar w:left="240" w:top="419" w:right="1440" w:bottom="32" w:gutter="0" w:footer="0" w:header="0"/>
        </w:sectPr>
      </w:pPr>
    </w:p>
    <w:bookmarkStart w:id="40" w:name="page41"/>
    <w:bookmarkEnd w:id="40"/>
    <w:p>
      <w:pPr>
        <w:ind w:left="390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With Good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Upon A Change</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Without Cause Or</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Reason (Before A</w:t>
            </w:r>
          </w:p>
        </w:tc>
        <w:tc>
          <w:tcPr>
            <w:tcW w:w="1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Non-Renewal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 Good Reason</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Change In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Death</w:t>
            </w:r>
          </w:p>
        </w:tc>
        <w:tc>
          <w:tcPr>
            <w:tcW w:w="1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Disability</w:t>
            </w: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Control</w:t>
            </w: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A Change In</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Control)</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Agreement</w:t>
            </w:r>
          </w:p>
        </w:tc>
        <w:tc>
          <w:tcPr>
            <w:tcW w:w="2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 Termination)</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Control)</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 Holtz</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0"/>
              <w:spacing w:after="0"/>
              <w:rPr>
                <w:sz w:val="20"/>
                <w:szCs w:val="20"/>
                <w:color w:val="auto"/>
              </w:rPr>
            </w:pPr>
            <w:r>
              <w:rPr>
                <w:rFonts w:ascii="Arial" w:cs="Arial" w:eastAsia="Arial" w:hAnsi="Arial"/>
                <w:sz w:val="18"/>
                <w:szCs w:val="18"/>
                <w:color w:val="auto"/>
              </w:rPr>
              <w:t>Cash Severance</w:t>
            </w:r>
          </w:p>
        </w:tc>
        <w:tc>
          <w:tcPr>
            <w:tcW w:w="1700" w:type="dxa"/>
            <w:vAlign w:val="bottom"/>
            <w:gridSpan w:val="2"/>
          </w:tcPr>
          <w:p>
            <w:pPr>
              <w:jc w:val="right"/>
              <w:ind w:right="381"/>
              <w:spacing w:after="0"/>
              <w:rPr>
                <w:sz w:val="20"/>
                <w:szCs w:val="20"/>
                <w:color w:val="auto"/>
              </w:rPr>
            </w:pPr>
            <w:r>
              <w:rPr>
                <w:rFonts w:ascii="Arial" w:cs="Arial" w:eastAsia="Arial" w:hAnsi="Arial"/>
                <w:sz w:val="18"/>
                <w:szCs w:val="18"/>
                <w:color w:val="auto"/>
              </w:rPr>
              <w:t>$325,000</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Continued Health &amp; Other</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Benefits</w:t>
            </w:r>
            <w:r>
              <w:rPr>
                <w:rFonts w:ascii="Arial" w:cs="Arial" w:eastAsia="Arial" w:hAnsi="Arial"/>
                <w:sz w:val="15"/>
                <w:szCs w:val="15"/>
                <w:color w:val="auto"/>
              </w:rPr>
              <w:t>(1)</w:t>
            </w:r>
          </w:p>
        </w:tc>
        <w:tc>
          <w:tcPr>
            <w:tcW w:w="17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$ 12,000</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160" w:type="dxa"/>
            <w:vAlign w:val="bottom"/>
          </w:tcPr>
          <w:p>
            <w:pPr>
              <w:ind w:left="200"/>
              <w:spacing w:after="0" w:line="201" w:lineRule="exact"/>
              <w:rPr>
                <w:sz w:val="20"/>
                <w:szCs w:val="20"/>
                <w:color w:val="auto"/>
              </w:rPr>
            </w:pPr>
            <w:r>
              <w:rPr>
                <w:rFonts w:ascii="Arial" w:cs="Arial" w:eastAsia="Arial" w:hAnsi="Arial"/>
                <w:sz w:val="18"/>
                <w:szCs w:val="18"/>
                <w:color w:val="auto"/>
              </w:rPr>
              <w:t>Acceleration of Stock</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540" w:type="dxa"/>
            <w:vAlign w:val="bottom"/>
          </w:tcPr>
          <w:p>
            <w:pPr>
              <w:jc w:val="right"/>
              <w:ind w:right="3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Acceleration of Other</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Grants</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160" w:type="dxa"/>
            <w:vAlign w:val="bottom"/>
          </w:tcPr>
          <w:p>
            <w:pPr>
              <w:ind w:left="200"/>
              <w:spacing w:after="0"/>
              <w:rPr>
                <w:sz w:val="20"/>
                <w:szCs w:val="20"/>
                <w:color w:val="auto"/>
              </w:rPr>
            </w:pPr>
            <w:r>
              <w:rPr>
                <w:rFonts w:ascii="Arial" w:cs="Arial" w:eastAsia="Arial" w:hAnsi="Arial"/>
                <w:sz w:val="18"/>
                <w:szCs w:val="18"/>
                <w:color w:val="auto"/>
              </w:rPr>
              <w:t>Fees/Interest</w:t>
            </w:r>
          </w:p>
        </w:tc>
        <w:tc>
          <w:tcPr>
            <w:tcW w:w="160" w:type="dxa"/>
            <w:vAlign w:val="bottom"/>
          </w:tcPr>
          <w:p>
            <w:pPr>
              <w:spacing w:after="0"/>
              <w:rPr>
                <w:sz w:val="18"/>
                <w:szCs w:val="18"/>
                <w:color w:val="auto"/>
              </w:rPr>
            </w:pPr>
          </w:p>
        </w:tc>
        <w:tc>
          <w:tcPr>
            <w:tcW w:w="1540" w:type="dxa"/>
            <w:vAlign w:val="bottom"/>
          </w:tcPr>
          <w:p>
            <w:pPr>
              <w:jc w:val="right"/>
              <w:ind w:right="3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280G Gross-up Amount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60" w:type="dxa"/>
            <w:vAlign w:val="bottom"/>
          </w:tcPr>
          <w:p>
            <w:pPr>
              <w:ind w:left="20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81"/>
              <w:spacing w:after="0"/>
              <w:rPr>
                <w:sz w:val="20"/>
                <w:szCs w:val="20"/>
                <w:color w:val="auto"/>
              </w:rPr>
            </w:pPr>
            <w:r>
              <w:rPr>
                <w:rFonts w:ascii="Arial" w:cs="Arial" w:eastAsia="Arial" w:hAnsi="Arial"/>
                <w:sz w:val="18"/>
                <w:szCs w:val="18"/>
                <w:color w:val="auto"/>
              </w:rPr>
              <w:t>$337,000</w:t>
            </w: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248285</wp:posOffset>
            </wp:positionV>
            <wp:extent cx="11150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20" w:right="159" w:hanging="388"/>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these purposes, the cost of continued participation in the Company’s health and other employee benefit plans for each executive is assumed to be $1,000 per month.</w:t>
      </w:r>
    </w:p>
    <w:p>
      <w:pPr>
        <w:spacing w:after="0" w:line="21" w:lineRule="exact"/>
        <w:rPr>
          <w:rFonts w:ascii="Arial" w:cs="Arial" w:eastAsia="Arial" w:hAnsi="Arial"/>
          <w:sz w:val="18"/>
          <w:szCs w:val="18"/>
          <w:color w:val="auto"/>
        </w:rPr>
      </w:pPr>
    </w:p>
    <w:p>
      <w:pPr>
        <w:jc w:val="both"/>
        <w:ind w:left="720" w:right="159" w:hanging="388"/>
        <w:spacing w:after="0" w:line="255"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Essig, Henneman, Carlozzi and Bellantoni Agreements provide for reasonable legal fees and expenses that may be incurred by each executive as a result of their termination of employment related to a change in control. However, the table does not include a value for these fees and expenses because they would be incurred only if there is a dispute under these Agreements. Thus, these amounts are undeterminable. For Mr. Essig only, the $86,722 value represents the interest on his cash severance payment if it is required to be delayed for six months because of the application of section 409A of the Code at the rate of 4.89% compounded monthly.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provides information as of December 31, 2006 regarding existing compensation plans (including individual compensation arrangements) under which equity securities of the Company are authorized for issuance:</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Number of securities to be</w:t>
            </w:r>
          </w:p>
        </w:tc>
        <w:tc>
          <w:tcPr>
            <w:tcW w:w="10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0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2"/>
                <w:szCs w:val="12"/>
                <w:color w:val="auto"/>
              </w:rPr>
            </w:pPr>
          </w:p>
        </w:tc>
        <w:tc>
          <w:tcPr>
            <w:tcW w:w="1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2"/>
                <w:szCs w:val="12"/>
                <w:color w:val="auto"/>
              </w:rPr>
            </w:pP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71"/>
        </w:trPr>
        <w:tc>
          <w:tcPr>
            <w:tcW w:w="3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warrants and rights</w:t>
            </w:r>
          </w:p>
        </w:tc>
        <w:tc>
          <w:tcPr>
            <w:tcW w:w="2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equity compensation plans (1)</w:t>
            </w:r>
          </w:p>
        </w:tc>
        <w:tc>
          <w:tcPr>
            <w:tcW w:w="0" w:type="dxa"/>
            <w:vAlign w:val="bottom"/>
          </w:tcPr>
          <w:p>
            <w:pPr>
              <w:spacing w:after="0"/>
              <w:rPr>
                <w:sz w:val="1"/>
                <w:szCs w:val="1"/>
                <w:color w:val="auto"/>
              </w:rPr>
            </w:pPr>
          </w:p>
        </w:tc>
      </w:tr>
      <w:tr>
        <w:trPr>
          <w:trHeight w:val="195"/>
        </w:trPr>
        <w:tc>
          <w:tcPr>
            <w:tcW w:w="3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180" w:type="dxa"/>
            <w:vAlign w:val="bottom"/>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4,905,681(2)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20.61(3)</w:t>
            </w:r>
          </w:p>
        </w:tc>
        <w:tc>
          <w:tcPr>
            <w:tcW w:w="2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2,456,195(4)</w:t>
            </w:r>
          </w:p>
        </w:tc>
        <w:tc>
          <w:tcPr>
            <w:tcW w:w="0" w:type="dxa"/>
            <w:vAlign w:val="bottom"/>
          </w:tcPr>
          <w:p>
            <w:pPr>
              <w:spacing w:after="0"/>
              <w:rPr>
                <w:sz w:val="1"/>
                <w:szCs w:val="1"/>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4,905,681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2,456,195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115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76"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(a) 1,250,000 shares of common stock underlying Restricted Units, (b) 210,000 shares of common stock underlying outstanding performance stock, (c) 8,083 shares of common stock underlying outstanding contract stock and (d) 3,437,598 shares of common stock underlying outstanding options.</w:t>
      </w:r>
    </w:p>
    <w:p>
      <w:pPr>
        <w:spacing w:after="0" w:line="32" w:lineRule="exact"/>
        <w:rPr>
          <w:rFonts w:ascii="Arial" w:cs="Arial" w:eastAsia="Arial" w:hAnsi="Arial"/>
          <w:sz w:val="18"/>
          <w:szCs w:val="18"/>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Excluding the Restricted Units, performance stock and contract stock, the weighted average exercise price is $29.41.</w:t>
      </w:r>
    </w:p>
    <w:p>
      <w:pPr>
        <w:spacing w:after="0" w:line="76"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1,101,303 shares of common stock which remain available for issuance under the Employee Stock Purchase Plan and 1,354,892 shares which remain subject to awards under the other Approved Plans.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Dr. Bradley, Mr. Moszkowski and Mr. Schade are the current members of the Compensation Committee. Dr. Bradley, Ms. VanLent and Dr. David Auth, a former director of the Company, served as members until May 17, 2006, and Dr. Bradley, Mr. Schade and Ms. VanLent served as members from May 17, 2006 through August 1, 2006. None of these persons was an officer,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34" w:lineRule="exact"/>
        <w:rPr>
          <w:sz w:val="20"/>
          <w:szCs w:val="20"/>
          <w:color w:val="auto"/>
        </w:rPr>
      </w:pPr>
    </w:p>
    <w:p>
      <w:pPr>
        <w:ind w:left="340" w:right="4759"/>
        <w:spacing w:after="0" w:line="491" w:lineRule="auto"/>
        <w:rPr>
          <w:sz w:val="20"/>
          <w:szCs w:val="20"/>
          <w:color w:val="auto"/>
        </w:rPr>
      </w:pPr>
      <w:r>
        <w:rPr>
          <w:rFonts w:ascii="Arial" w:cs="Arial" w:eastAsia="Arial" w:hAnsi="Arial"/>
          <w:sz w:val="17"/>
          <w:szCs w:val="17"/>
          <w:b w:val="1"/>
          <w:bCs w:val="1"/>
          <w:color w:val="auto"/>
        </w:rPr>
        <w:t>CERTAIN RELATIONSHIPS AND RELATED TRANSACTIONS Review and Approval of Related Person Transactions</w:t>
      </w:r>
    </w:p>
    <w:p>
      <w:pPr>
        <w:spacing w:after="0" w:line="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146" w:lineRule="exact"/>
        <w:rPr>
          <w:sz w:val="20"/>
          <w:szCs w:val="20"/>
          <w:color w:val="auto"/>
        </w:rPr>
      </w:pPr>
    </w:p>
    <w:p>
      <w:pPr>
        <w:ind w:left="1080" w:right="179" w:hanging="370"/>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170" w:lineRule="exact"/>
        <w:rPr>
          <w:rFonts w:ascii="Arial" w:cs="Arial" w:eastAsia="Arial" w:hAnsi="Arial"/>
          <w:sz w:val="18"/>
          <w:szCs w:val="18"/>
          <w:color w:val="auto"/>
        </w:rPr>
      </w:pPr>
    </w:p>
    <w:p>
      <w:pPr>
        <w:ind w:left="1080" w:hanging="370"/>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person who is known to be the beneficial owner of more than 5% of any class of the Company’s voting securities;</w:t>
      </w:r>
    </w:p>
    <w:p>
      <w:pPr>
        <w:spacing w:after="0" w:line="236" w:lineRule="exact"/>
        <w:rPr>
          <w:rFonts w:ascii="Arial" w:cs="Arial" w:eastAsia="Arial" w:hAnsi="Arial"/>
          <w:sz w:val="17"/>
          <w:szCs w:val="17"/>
          <w:color w:val="auto"/>
        </w:rPr>
      </w:pPr>
    </w:p>
    <w:p>
      <w:pPr>
        <w:ind w:left="1080" w:hanging="370"/>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225" w:lineRule="exact"/>
        <w:rPr>
          <w:rFonts w:ascii="Arial" w:cs="Arial" w:eastAsia="Arial" w:hAnsi="Arial"/>
          <w:sz w:val="18"/>
          <w:szCs w:val="18"/>
          <w:color w:val="auto"/>
        </w:rPr>
      </w:pPr>
    </w:p>
    <w:p>
      <w:pPr>
        <w:ind w:left="1080" w:right="179" w:hanging="370"/>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13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154"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2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Related Person Transactions</w:t>
      </w:r>
    </w:p>
    <w:p>
      <w:pPr>
        <w:spacing w:after="0" w:line="18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leases its manufacturing facility in Plainsboro, New Jersey from Plainsboro Associates, a New Jersey general partnership. Ocirne, Inc., a subsidiary of Provco Industries (“Provco”), owns a 50% interest in Plainsboro Associates. Provco’s stockholders are trusts whose beneficiaries include the children of Dr. Caruso, the Chairman and a principal stockholder of the Company. Dr. Caruso is the President of Provco. The Company paid $231,000 in rent for this facility during 2006.</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AUDIT COMMITTEE REPORT</w:t>
      </w:r>
    </w:p>
    <w:p>
      <w:pPr>
        <w:spacing w:after="0" w:line="20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3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March 2, 2004, a copy of which is available on the Company’s website.</w:t>
      </w:r>
    </w:p>
    <w:p>
      <w:pPr>
        <w:spacing w:after="0" w:line="14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and disclosure controls and procedures. The independent registered public accounting firm is responsible for auditing the Company’s financial statements and expressing an opinion as to their conformity with generally accepted accounting principles and on management’s assessment of the effectiveness of the Company’s internal control over financial reporting. The Audit Committee’s responsibility is to monitor and oversee this process.</w:t>
      </w:r>
    </w:p>
    <w:p>
      <w:pPr>
        <w:spacing w:after="0" w:line="151"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Statement on Auditing Standards No. 61, “</w:t>
      </w:r>
      <w:r>
        <w:rPr>
          <w:rFonts w:ascii="Arial" w:cs="Arial" w:eastAsia="Arial" w:hAnsi="Arial"/>
          <w:sz w:val="17"/>
          <w:szCs w:val="17"/>
          <w:i w:val="1"/>
          <w:iCs w:val="1"/>
          <w:color w:val="auto"/>
        </w:rPr>
        <w:t>Communication with Audit</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w:t>
      </w:r>
      <w:r>
        <w:rPr>
          <w:rFonts w:ascii="Arial" w:cs="Arial" w:eastAsia="Arial" w:hAnsi="Arial"/>
          <w:sz w:val="17"/>
          <w:szCs w:val="17"/>
          <w:color w:val="auto"/>
        </w:rPr>
        <w:t>,” as currently in effect. Finally, the Audit Committee has received the written disclosures and the letter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required by Independence Standards Board Standard No. 1, “</w:t>
      </w:r>
      <w:r>
        <w:rPr>
          <w:rFonts w:ascii="Arial" w:cs="Arial" w:eastAsia="Arial" w:hAnsi="Arial"/>
          <w:sz w:val="17"/>
          <w:szCs w:val="17"/>
          <w:i w:val="1"/>
          <w:iCs w:val="1"/>
          <w:color w:val="auto"/>
        </w:rPr>
        <w:t>Independence Discussions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Audit Committees,” </w:t>
      </w:r>
      <w:r>
        <w:rPr>
          <w:rFonts w:ascii="Arial" w:cs="Arial" w:eastAsia="Arial" w:hAnsi="Arial"/>
          <w:sz w:val="17"/>
          <w:szCs w:val="17"/>
          <w:color w:val="auto"/>
        </w:rPr>
        <w:t>as currently in effect, has discussed with the independent registered public accounting firm its independence</w:t>
      </w:r>
      <w:r>
        <w:rPr>
          <w:rFonts w:ascii="Arial" w:cs="Arial" w:eastAsia="Arial" w:hAnsi="Arial"/>
          <w:sz w:val="17"/>
          <w:szCs w:val="17"/>
          <w:i w:val="1"/>
          <w:iCs w:val="1"/>
          <w:color w:val="auto"/>
        </w:rPr>
        <w:t xml:space="preserve"> </w:t>
      </w:r>
      <w:r>
        <w:rPr>
          <w:rFonts w:ascii="Arial" w:cs="Arial" w:eastAsia="Arial" w:hAnsi="Arial"/>
          <w:sz w:val="17"/>
          <w:szCs w:val="17"/>
          <w:color w:val="auto"/>
        </w:rPr>
        <w:t>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142"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Based upon the review and discussions referred to above, the Audit Committee recommended to the Board of Directors that the audited financial statements of the Company for the fiscal year ended December 31, 2006 be included in the Company’s Annual Report on Form 10-K for such fiscal year, as filed with the Securities and Exchange Commission on March 2, 2007.</w:t>
      </w:r>
    </w:p>
    <w:p>
      <w:pPr>
        <w:spacing w:after="0" w:line="1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Audit Committee of the Board of Directors</w:t>
      </w:r>
    </w:p>
    <w:p>
      <w:pPr>
        <w:spacing w:after="0" w:line="198"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ANNE M. VANLENT (CHAIR)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JAMES M. SULLIVAN</w:t>
      </w: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PRINCIPAL STOCKHOLDERS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February 28, 2007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Officers; and (d) all executive officers, directors and nominees as a group. Except as otherwise indicated, each person has sole voting power and sole investment power with respect to all shares beneficially owned by such person.</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3"/>
          </w:tcPr>
          <w:p>
            <w:pPr>
              <w:jc w:val="right"/>
              <w:ind w:right="648"/>
              <w:spacing w:after="0"/>
              <w:rPr>
                <w:sz w:val="20"/>
                <w:szCs w:val="20"/>
                <w:color w:val="auto"/>
              </w:rPr>
            </w:pPr>
            <w:r>
              <w:rPr>
                <w:rFonts w:ascii="Arial" w:cs="Arial" w:eastAsia="Arial" w:hAnsi="Arial"/>
                <w:sz w:val="14"/>
                <w:szCs w:val="14"/>
                <w:color w:val="auto"/>
              </w:rPr>
              <w:t>AMOUNT AND NATURE OF</w:t>
            </w:r>
          </w:p>
        </w:tc>
      </w:t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60" w:type="dxa"/>
            <w:vAlign w:val="bottom"/>
            <w:gridSpan w:val="3"/>
          </w:tcPr>
          <w:p>
            <w:pPr>
              <w:jc w:val="right"/>
              <w:ind w:right="708"/>
              <w:spacing w:after="0" w:line="149" w:lineRule="exact"/>
              <w:rPr>
                <w:sz w:val="20"/>
                <w:szCs w:val="20"/>
                <w:color w:val="auto"/>
              </w:rPr>
            </w:pPr>
            <w:r>
              <w:rPr>
                <w:rFonts w:ascii="Arial" w:cs="Arial" w:eastAsia="Arial" w:hAnsi="Arial"/>
                <w:sz w:val="14"/>
                <w:szCs w:val="14"/>
                <w:color w:val="auto"/>
              </w:rPr>
              <w:t>BENEFICIAL OWNERSHIP</w:t>
            </w:r>
          </w:p>
        </w:tc>
      </w:t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PERCENT</w:t>
            </w:r>
          </w:p>
        </w:tc>
      </w:tr>
      <w:tr>
        <w:trPr>
          <w:trHeight w:val="167"/>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ADDRESS OF BENEFICIAL OWNER</w:t>
            </w:r>
          </w:p>
        </w:tc>
        <w:tc>
          <w:tcPr>
            <w:tcW w:w="260" w:type="dxa"/>
            <w:vAlign w:val="bottom"/>
          </w:tcPr>
          <w:p>
            <w:pPr>
              <w:spacing w:after="0"/>
              <w:rPr>
                <w:sz w:val="14"/>
                <w:szCs w:val="14"/>
                <w:color w:val="auto"/>
              </w:rPr>
            </w:pP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(1)</w:t>
            </w:r>
          </w:p>
        </w:tc>
        <w:tc>
          <w:tcPr>
            <w:tcW w:w="280" w:type="dxa"/>
            <w:vAlign w:val="bottom"/>
          </w:tcPr>
          <w:p>
            <w:pPr>
              <w:spacing w:after="0"/>
              <w:rPr>
                <w:sz w:val="14"/>
                <w:szCs w:val="14"/>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OF CLASS</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Thomas J. Baltimore, Jr.</w:t>
            </w:r>
          </w:p>
        </w:tc>
        <w:tc>
          <w:tcPr>
            <w:tcW w:w="19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Keith Bradley, Ph.D.</w:t>
            </w:r>
          </w:p>
        </w:tc>
        <w:tc>
          <w:tcPr>
            <w:tcW w:w="1940" w:type="dxa"/>
            <w:vAlign w:val="bottom"/>
            <w:gridSpan w:val="2"/>
          </w:tcPr>
          <w:p>
            <w:pPr>
              <w:jc w:val="right"/>
              <w:ind w:right="228"/>
              <w:spacing w:after="0"/>
              <w:rPr>
                <w:sz w:val="20"/>
                <w:szCs w:val="20"/>
                <w:color w:val="auto"/>
              </w:rPr>
            </w:pPr>
            <w:r>
              <w:rPr>
                <w:rFonts w:ascii="Arial" w:cs="Arial" w:eastAsia="Arial" w:hAnsi="Arial"/>
                <w:sz w:val="18"/>
                <w:szCs w:val="18"/>
                <w:color w:val="auto"/>
              </w:rPr>
              <w:t>33,207</w:t>
            </w:r>
            <w:r>
              <w:rPr>
                <w:rFonts w:ascii="Arial" w:cs="Arial" w:eastAsia="Arial" w:hAnsi="Arial"/>
                <w:sz w:val="15"/>
                <w:szCs w:val="15"/>
                <w:color w:val="auto"/>
              </w:rPr>
              <w:t>(2)</w:t>
            </w:r>
          </w:p>
        </w:tc>
        <w:tc>
          <w:tcPr>
            <w:tcW w:w="15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Richard E. Caruso, Ph.D.</w:t>
            </w:r>
          </w:p>
        </w:tc>
        <w:tc>
          <w:tcPr>
            <w:tcW w:w="1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7,207,999</w:t>
            </w:r>
            <w:r>
              <w:rPr>
                <w:rFonts w:ascii="Arial" w:cs="Arial" w:eastAsia="Arial" w:hAnsi="Arial"/>
                <w:sz w:val="15"/>
                <w:szCs w:val="15"/>
                <w:color w:val="auto"/>
              </w:rPr>
              <w:t>(3)</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26.3%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Stuart M. Essig</w:t>
            </w:r>
          </w:p>
        </w:tc>
        <w:tc>
          <w:tcPr>
            <w:tcW w:w="1940" w:type="dxa"/>
            <w:vAlign w:val="bottom"/>
            <w:gridSpan w:val="2"/>
          </w:tcPr>
          <w:p>
            <w:pPr>
              <w:jc w:val="right"/>
              <w:ind w:right="228"/>
              <w:spacing w:after="0"/>
              <w:rPr>
                <w:sz w:val="20"/>
                <w:szCs w:val="20"/>
                <w:color w:val="auto"/>
              </w:rPr>
            </w:pPr>
            <w:r>
              <w:rPr>
                <w:rFonts w:ascii="Arial" w:cs="Arial" w:eastAsia="Arial" w:hAnsi="Arial"/>
                <w:sz w:val="18"/>
                <w:szCs w:val="18"/>
                <w:color w:val="auto"/>
              </w:rPr>
              <w:t>1,598,541</w:t>
            </w:r>
            <w:r>
              <w:rPr>
                <w:rFonts w:ascii="Arial" w:cs="Arial" w:eastAsia="Arial" w:hAnsi="Arial"/>
                <w:sz w:val="15"/>
                <w:szCs w:val="15"/>
                <w:color w:val="auto"/>
              </w:rPr>
              <w:t>(4)</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5.7%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Neal Moszkowski</w:t>
            </w:r>
          </w:p>
        </w:tc>
        <w:tc>
          <w:tcPr>
            <w:tcW w:w="1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16,011</w:t>
            </w:r>
            <w:r>
              <w:rPr>
                <w:rFonts w:ascii="Arial" w:cs="Arial" w:eastAsia="Arial" w:hAnsi="Arial"/>
                <w:sz w:val="15"/>
                <w:szCs w:val="15"/>
                <w:color w:val="auto"/>
              </w:rPr>
              <w:t>(5)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Christian S. Schade</w:t>
            </w:r>
          </w:p>
        </w:tc>
        <w:tc>
          <w:tcPr>
            <w:tcW w:w="1940" w:type="dxa"/>
            <w:vAlign w:val="bottom"/>
            <w:gridSpan w:val="2"/>
          </w:tcPr>
          <w:p>
            <w:pPr>
              <w:jc w:val="right"/>
              <w:ind w:right="228"/>
              <w:spacing w:after="0"/>
              <w:rPr>
                <w:sz w:val="20"/>
                <w:szCs w:val="20"/>
                <w:color w:val="auto"/>
              </w:rPr>
            </w:pPr>
            <w:r>
              <w:rPr>
                <w:rFonts w:ascii="Arial" w:cs="Arial" w:eastAsia="Arial" w:hAnsi="Arial"/>
                <w:sz w:val="18"/>
                <w:szCs w:val="18"/>
                <w:color w:val="auto"/>
              </w:rPr>
              <w:t>8,166</w:t>
            </w:r>
            <w:r>
              <w:rPr>
                <w:rFonts w:ascii="Arial" w:cs="Arial" w:eastAsia="Arial" w:hAnsi="Arial"/>
                <w:sz w:val="15"/>
                <w:szCs w:val="15"/>
                <w:color w:val="auto"/>
              </w:rPr>
              <w:t>(6)</w:t>
            </w:r>
          </w:p>
        </w:tc>
        <w:tc>
          <w:tcPr>
            <w:tcW w:w="15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1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74,806</w:t>
            </w:r>
            <w:r>
              <w:rPr>
                <w:rFonts w:ascii="Arial" w:cs="Arial" w:eastAsia="Arial" w:hAnsi="Arial"/>
                <w:sz w:val="15"/>
                <w:szCs w:val="15"/>
                <w:color w:val="auto"/>
              </w:rPr>
              <w:t>(7)</w:t>
            </w:r>
          </w:p>
        </w:tc>
        <w:tc>
          <w:tcPr>
            <w:tcW w:w="15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Anne M. VanLent</w:t>
            </w:r>
          </w:p>
        </w:tc>
        <w:tc>
          <w:tcPr>
            <w:tcW w:w="1940" w:type="dxa"/>
            <w:vAlign w:val="bottom"/>
            <w:gridSpan w:val="2"/>
          </w:tcPr>
          <w:p>
            <w:pPr>
              <w:jc w:val="right"/>
              <w:ind w:right="228"/>
              <w:spacing w:after="0"/>
              <w:rPr>
                <w:sz w:val="20"/>
                <w:szCs w:val="20"/>
                <w:color w:val="auto"/>
              </w:rPr>
            </w:pPr>
            <w:r>
              <w:rPr>
                <w:rFonts w:ascii="Arial" w:cs="Arial" w:eastAsia="Arial" w:hAnsi="Arial"/>
                <w:sz w:val="18"/>
                <w:szCs w:val="18"/>
                <w:color w:val="auto"/>
              </w:rPr>
              <w:t>28,748</w:t>
            </w:r>
            <w:r>
              <w:rPr>
                <w:rFonts w:ascii="Arial" w:cs="Arial" w:eastAsia="Arial" w:hAnsi="Arial"/>
                <w:sz w:val="15"/>
                <w:szCs w:val="15"/>
                <w:color w:val="auto"/>
              </w:rPr>
              <w:t>(8)</w:t>
            </w:r>
          </w:p>
        </w:tc>
        <w:tc>
          <w:tcPr>
            <w:tcW w:w="15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Maureen B. Bellantoni</w:t>
            </w:r>
          </w:p>
        </w:tc>
        <w:tc>
          <w:tcPr>
            <w:tcW w:w="19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w:t>
            </w:r>
          </w:p>
        </w:tc>
        <w:tc>
          <w:tcPr>
            <w:tcW w:w="15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John B. Henneman, III</w:t>
            </w:r>
          </w:p>
        </w:tc>
        <w:tc>
          <w:tcPr>
            <w:tcW w:w="1940" w:type="dxa"/>
            <w:vAlign w:val="bottom"/>
            <w:gridSpan w:val="2"/>
          </w:tcPr>
          <w:p>
            <w:pPr>
              <w:jc w:val="right"/>
              <w:ind w:right="228"/>
              <w:spacing w:after="0"/>
              <w:rPr>
                <w:sz w:val="20"/>
                <w:szCs w:val="20"/>
                <w:color w:val="auto"/>
              </w:rPr>
            </w:pPr>
            <w:r>
              <w:rPr>
                <w:rFonts w:ascii="Arial" w:cs="Arial" w:eastAsia="Arial" w:hAnsi="Arial"/>
                <w:sz w:val="18"/>
                <w:szCs w:val="18"/>
                <w:color w:val="auto"/>
              </w:rPr>
              <w:t>331,636</w:t>
            </w:r>
            <w:r>
              <w:rPr>
                <w:rFonts w:ascii="Arial" w:cs="Arial" w:eastAsia="Arial" w:hAnsi="Arial"/>
                <w:sz w:val="15"/>
                <w:szCs w:val="15"/>
                <w:color w:val="auto"/>
              </w:rPr>
              <w:t>(9)</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1.2%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Gerard S. Carlozzi</w:t>
            </w:r>
          </w:p>
        </w:tc>
        <w:tc>
          <w:tcPr>
            <w:tcW w:w="19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46,654</w:t>
            </w:r>
            <w:r>
              <w:rPr>
                <w:rFonts w:ascii="Arial" w:cs="Arial" w:eastAsia="Arial" w:hAnsi="Arial"/>
                <w:sz w:val="15"/>
                <w:szCs w:val="15"/>
                <w:color w:val="auto"/>
              </w:rPr>
              <w:t>(10)</w:t>
            </w:r>
          </w:p>
        </w:tc>
        <w:tc>
          <w:tcPr>
            <w:tcW w:w="15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Judith E. O’Grady</w:t>
            </w:r>
          </w:p>
        </w:tc>
        <w:tc>
          <w:tcPr>
            <w:tcW w:w="1940" w:type="dxa"/>
            <w:vAlign w:val="bottom"/>
            <w:gridSpan w:val="2"/>
          </w:tcPr>
          <w:p>
            <w:pPr>
              <w:jc w:val="right"/>
              <w:ind w:right="148"/>
              <w:spacing w:after="0"/>
              <w:rPr>
                <w:sz w:val="20"/>
                <w:szCs w:val="20"/>
                <w:color w:val="auto"/>
              </w:rPr>
            </w:pPr>
            <w:r>
              <w:rPr>
                <w:rFonts w:ascii="Arial" w:cs="Arial" w:eastAsia="Arial" w:hAnsi="Arial"/>
                <w:sz w:val="18"/>
                <w:szCs w:val="18"/>
                <w:color w:val="auto"/>
              </w:rPr>
              <w:t>61,903</w:t>
            </w:r>
            <w:r>
              <w:rPr>
                <w:rFonts w:ascii="Arial" w:cs="Arial" w:eastAsia="Arial" w:hAnsi="Arial"/>
                <w:sz w:val="15"/>
                <w:szCs w:val="15"/>
                <w:color w:val="auto"/>
              </w:rPr>
              <w:t>(11)</w:t>
            </w:r>
          </w:p>
        </w:tc>
        <w:tc>
          <w:tcPr>
            <w:tcW w:w="15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David B. Holtz</w:t>
            </w:r>
          </w:p>
        </w:tc>
        <w:tc>
          <w:tcPr>
            <w:tcW w:w="19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8,347</w:t>
            </w:r>
          </w:p>
        </w:tc>
        <w:tc>
          <w:tcPr>
            <w:tcW w:w="15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w w:val="95"/>
              </w:rPr>
              <w:t>All directors, nominees for director and executive officers as a group (13 persons)</w:t>
            </w:r>
          </w:p>
        </w:tc>
        <w:tc>
          <w:tcPr>
            <w:tcW w:w="1940" w:type="dxa"/>
            <w:vAlign w:val="bottom"/>
            <w:gridSpan w:val="2"/>
          </w:tcPr>
          <w:p>
            <w:pPr>
              <w:jc w:val="right"/>
              <w:ind w:right="148"/>
              <w:spacing w:after="0"/>
              <w:rPr>
                <w:sz w:val="20"/>
                <w:szCs w:val="20"/>
                <w:color w:val="auto"/>
              </w:rPr>
            </w:pPr>
            <w:r>
              <w:rPr>
                <w:rFonts w:ascii="Arial" w:cs="Arial" w:eastAsia="Arial" w:hAnsi="Arial"/>
                <w:sz w:val="18"/>
                <w:szCs w:val="18"/>
                <w:color w:val="auto"/>
              </w:rPr>
              <w:t>9,417,472</w:t>
            </w:r>
            <w:r>
              <w:rPr>
                <w:rFonts w:ascii="Arial" w:cs="Arial" w:eastAsia="Arial" w:hAnsi="Arial"/>
                <w:sz w:val="15"/>
                <w:szCs w:val="15"/>
                <w:color w:val="auto"/>
              </w:rPr>
              <w:t>(12)</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32.9%</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Research and Management Company</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333 South Hope Street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19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2,740,000</w:t>
            </w:r>
            <w:r>
              <w:rPr>
                <w:rFonts w:ascii="Arial" w:cs="Arial" w:eastAsia="Arial" w:hAnsi="Arial"/>
                <w:sz w:val="15"/>
                <w:szCs w:val="15"/>
                <w:color w:val="auto"/>
              </w:rPr>
              <w:t>(13)</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10.0%</w:t>
            </w:r>
          </w:p>
        </w:tc>
      </w:tr>
      <w:tr>
        <w:trPr>
          <w:trHeight w:val="202"/>
        </w:trPr>
        <w:tc>
          <w:tcPr>
            <w:tcW w:w="6200" w:type="dxa"/>
            <w:vAlign w:val="bottom"/>
          </w:tcPr>
          <w:p>
            <w:pPr>
              <w:spacing w:after="0" w:line="201" w:lineRule="exact"/>
              <w:rPr>
                <w:sz w:val="20"/>
                <w:szCs w:val="20"/>
                <w:color w:val="auto"/>
              </w:rPr>
            </w:pPr>
            <w:r>
              <w:rPr>
                <w:rFonts w:ascii="Arial" w:cs="Arial" w:eastAsia="Arial" w:hAnsi="Arial"/>
                <w:sz w:val="18"/>
                <w:szCs w:val="18"/>
                <w:color w:val="auto"/>
              </w:rPr>
              <w:t>Provco Leasing Corporation</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209B Bayard Building</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3411 Silverside Road</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Wilmington, DE 19810</w:t>
            </w:r>
          </w:p>
        </w:tc>
        <w:tc>
          <w:tcPr>
            <w:tcW w:w="1940" w:type="dxa"/>
            <w:vAlign w:val="bottom"/>
            <w:gridSpan w:val="2"/>
          </w:tcPr>
          <w:p>
            <w:pPr>
              <w:jc w:val="right"/>
              <w:ind w:right="148"/>
              <w:spacing w:after="0"/>
              <w:rPr>
                <w:sz w:val="20"/>
                <w:szCs w:val="20"/>
                <w:color w:val="auto"/>
              </w:rPr>
            </w:pPr>
            <w:r>
              <w:rPr>
                <w:rFonts w:ascii="Arial" w:cs="Arial" w:eastAsia="Arial" w:hAnsi="Arial"/>
                <w:sz w:val="18"/>
                <w:szCs w:val="18"/>
                <w:color w:val="auto"/>
              </w:rPr>
              <w:t>7,114,543</w:t>
            </w:r>
            <w:r>
              <w:rPr>
                <w:rFonts w:ascii="Arial" w:cs="Arial" w:eastAsia="Arial" w:hAnsi="Arial"/>
                <w:sz w:val="15"/>
                <w:szCs w:val="15"/>
                <w:color w:val="auto"/>
              </w:rPr>
              <w:t>(14)</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26.0%</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TRU ST PARTNERSHIP, L.P.</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795 E. Lancaster Avenue, Suite 200</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Villanova, PA 19085</w:t>
            </w:r>
          </w:p>
        </w:tc>
        <w:tc>
          <w:tcPr>
            <w:tcW w:w="19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7,091,205</w:t>
            </w:r>
            <w:r>
              <w:rPr>
                <w:rFonts w:ascii="Arial" w:cs="Arial" w:eastAsia="Arial" w:hAnsi="Arial"/>
                <w:sz w:val="15"/>
                <w:szCs w:val="15"/>
                <w:color w:val="auto"/>
              </w:rPr>
              <w:t>(15)</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25.9%</w:t>
            </w:r>
          </w:p>
        </w:tc>
      </w:tr>
      <w:tr>
        <w:trPr>
          <w:trHeight w:val="202"/>
        </w:trPr>
        <w:tc>
          <w:tcPr>
            <w:tcW w:w="6200" w:type="dxa"/>
            <w:vAlign w:val="bottom"/>
          </w:tcPr>
          <w:p>
            <w:pPr>
              <w:spacing w:after="0" w:line="201" w:lineRule="exact"/>
              <w:rPr>
                <w:sz w:val="20"/>
                <w:szCs w:val="20"/>
                <w:color w:val="auto"/>
              </w:rPr>
            </w:pPr>
            <w:r>
              <w:rPr>
                <w:rFonts w:ascii="Arial" w:cs="Arial" w:eastAsia="Arial" w:hAnsi="Arial"/>
                <w:sz w:val="18"/>
                <w:szCs w:val="18"/>
                <w:color w:val="auto"/>
              </w:rPr>
              <w:t>T. Rowe Price Associates, Inc.</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100 E. Pratt Street</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Baltimore, MD 21202</w:t>
            </w:r>
          </w:p>
        </w:tc>
        <w:tc>
          <w:tcPr>
            <w:tcW w:w="1940" w:type="dxa"/>
            <w:vAlign w:val="bottom"/>
            <w:gridSpan w:val="2"/>
          </w:tcPr>
          <w:p>
            <w:pPr>
              <w:jc w:val="right"/>
              <w:ind w:right="148"/>
              <w:spacing w:after="0"/>
              <w:rPr>
                <w:sz w:val="20"/>
                <w:szCs w:val="20"/>
                <w:color w:val="auto"/>
              </w:rPr>
            </w:pPr>
            <w:r>
              <w:rPr>
                <w:rFonts w:ascii="Arial" w:cs="Arial" w:eastAsia="Arial" w:hAnsi="Arial"/>
                <w:sz w:val="18"/>
                <w:szCs w:val="18"/>
                <w:color w:val="auto"/>
              </w:rPr>
              <w:t>2,346,450</w:t>
            </w:r>
            <w:r>
              <w:rPr>
                <w:rFonts w:ascii="Arial" w:cs="Arial" w:eastAsia="Arial" w:hAnsi="Arial"/>
                <w:sz w:val="15"/>
                <w:szCs w:val="15"/>
                <w:color w:val="auto"/>
              </w:rPr>
              <w:t>(16)</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8.6%</w:t>
            </w: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Blair &amp; Company, L.L.C</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222 W. Adams Street</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Chicago, IL 60606</w:t>
            </w:r>
          </w:p>
        </w:tc>
        <w:tc>
          <w:tcPr>
            <w:tcW w:w="19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3,335,590</w:t>
            </w:r>
            <w:r>
              <w:rPr>
                <w:rFonts w:ascii="Arial" w:cs="Arial" w:eastAsia="Arial" w:hAnsi="Arial"/>
                <w:sz w:val="15"/>
                <w:szCs w:val="15"/>
                <w:color w:val="auto"/>
              </w:rPr>
              <w:t>(17)</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248920</wp:posOffset>
            </wp:positionV>
            <wp:extent cx="11150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Represents beneficial ownership of less than 1%.</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40" w:right="159" w:hanging="408"/>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not outstanding but deemed beneficially owned by virtue of the right of an individual to acquire them within 60 days of February 28, 2007 upon the exercise of an option or other convertible security are treated as outstanding for purposes of determining beneficial ownership and the percentage beneficially owned by such individual.</w:t>
      </w:r>
    </w:p>
    <w:p>
      <w:pPr>
        <w:spacing w:after="0" w:line="32" w:lineRule="exact"/>
        <w:rPr>
          <w:rFonts w:ascii="Arial" w:cs="Arial" w:eastAsia="Arial" w:hAnsi="Arial"/>
          <w:sz w:val="18"/>
          <w:szCs w:val="18"/>
          <w:color w:val="auto"/>
        </w:rPr>
      </w:pPr>
    </w:p>
    <w:p>
      <w:pPr>
        <w:ind w:left="740" w:right="17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30,000 shares that Dr. Bradley has the right to acquire within 60 days of February 28, 2007 upon the exercise of options held by him.</w:t>
      </w:r>
    </w:p>
    <w:p>
      <w:pPr>
        <w:spacing w:after="0" w:line="21" w:lineRule="exact"/>
        <w:rPr>
          <w:rFonts w:ascii="Arial" w:cs="Arial" w:eastAsia="Arial" w:hAnsi="Arial"/>
          <w:sz w:val="18"/>
          <w:szCs w:val="18"/>
          <w:color w:val="auto"/>
        </w:rPr>
      </w:pPr>
    </w:p>
    <w:p>
      <w:pPr>
        <w:jc w:val="both"/>
        <w:ind w:left="740" w:right="179" w:hanging="408"/>
        <w:spacing w:after="0" w:line="271"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7,091,205 shares held by TRU ST PARTNERSHIP, L.P., a Pennsylvania general partnership (“TRU ST”) (also see Note 15 below). Also includes 23,338 shares held by Provco Leasing Corporation (“Provco”), of which Dr. Caruso is President and sole director and 19,000 shares held by The Uncommon Individual Foundation, of which Dr. Caruso is the Chief Executive Officer. Provco is the corporate general partner of TRU ST. Dr. Caruso may be deemed to have shared voting and dispositive power over the shares held by TRU ST and Provco. Also includes 70,000 shares that Dr. Caruso has the right to acquire within 60 days of February 28, 2007 upon the exercise of options held by him. Dr. Caruso disclaims beneficial ownership of the shares held by TRU ST, except to the extent of his pecuniary interest therein. Dr. Caruso’s address is c/o TRU ST PARTNERSHIP, L.P, 795 E. Lancaster Avenue, Suite 200, Villanova, PA 19085.</w:t>
      </w:r>
    </w:p>
    <w:p>
      <w:pPr>
        <w:spacing w:after="0" w:line="30" w:lineRule="exact"/>
        <w:rPr>
          <w:rFonts w:ascii="Arial" w:cs="Arial" w:eastAsia="Arial" w:hAnsi="Arial"/>
          <w:sz w:val="17"/>
          <w:szCs w:val="17"/>
          <w:color w:val="auto"/>
        </w:rPr>
      </w:pPr>
    </w:p>
    <w:p>
      <w:pPr>
        <w:jc w:val="both"/>
        <w:ind w:left="740" w:right="159" w:hanging="408"/>
        <w:spacing w:after="0" w:line="270"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725,378 shares that Mr. Essig has the right to acquire within 60 days of February 28, 2007 upon the exercise of options held by him. Excludes outstanding Restricted Units awarded to Mr. Essig in 2000 and 2004, which entitle him to receive an aggregate of 1,250,000 shares of common stock. The Restricted Units held by Mr. Essig vested on the grant dates, but are not yet deliverable and do not give him the right to acquire any shares within 60 days of February 28, 2007. 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 Mr. Essig, the cash equivalent of such shares). Mr. Essig retains voting power over these shares pending the settlement of the forward sale contract. Mr. Essig’s address is c/o Integra LifeSciences Holdings Corporation, 311 Enterprise Drive, Plainsboro, NJ 08536.</w:t>
      </w:r>
    </w:p>
    <w:p>
      <w:pPr>
        <w:spacing w:after="0" w:line="33" w:lineRule="exact"/>
        <w:rPr>
          <w:rFonts w:ascii="Arial" w:cs="Arial" w:eastAsia="Arial" w:hAnsi="Arial"/>
          <w:sz w:val="17"/>
          <w:szCs w:val="17"/>
          <w:color w:val="auto"/>
        </w:rPr>
      </w:pPr>
    </w:p>
    <w:p>
      <w:pPr>
        <w:ind w:left="740" w:right="15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12,500 shares that Mr. Moszkowski has the right to acquire within 60 days of February 28, 2007 upon the exercise of options held by him.</w:t>
      </w:r>
    </w:p>
    <w:p>
      <w:pPr>
        <w:spacing w:after="0" w:line="21" w:lineRule="exact"/>
        <w:rPr>
          <w:rFonts w:ascii="Arial" w:cs="Arial" w:eastAsia="Arial" w:hAnsi="Arial"/>
          <w:sz w:val="18"/>
          <w:szCs w:val="18"/>
          <w:color w:val="auto"/>
        </w:rPr>
      </w:pPr>
    </w:p>
    <w:p>
      <w:pPr>
        <w:ind w:left="740" w:right="17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7,500 shares that Mr. Schade has the right to acquire within 60 days of February 28, 2007 upon the exercise of options held by him.</w:t>
      </w:r>
    </w:p>
    <w:p>
      <w:pPr>
        <w:spacing w:after="0" w:line="21" w:lineRule="exact"/>
        <w:rPr>
          <w:rFonts w:ascii="Arial" w:cs="Arial" w:eastAsia="Arial" w:hAnsi="Arial"/>
          <w:sz w:val="18"/>
          <w:szCs w:val="18"/>
          <w:color w:val="auto"/>
        </w:rPr>
      </w:pPr>
    </w:p>
    <w:p>
      <w:pPr>
        <w:ind w:left="740" w:right="17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50,000 shares that Mr. Sullivan has the right to acquire within 60 days of February 28, 2007 upon the exercise of options held by him.</w:t>
      </w:r>
    </w:p>
    <w:p>
      <w:pPr>
        <w:spacing w:after="0" w:line="21" w:lineRule="exact"/>
        <w:rPr>
          <w:rFonts w:ascii="Arial" w:cs="Arial" w:eastAsia="Arial" w:hAnsi="Arial"/>
          <w:sz w:val="18"/>
          <w:szCs w:val="18"/>
          <w:color w:val="auto"/>
        </w:rPr>
      </w:pPr>
    </w:p>
    <w:p>
      <w:pPr>
        <w:ind w:left="740" w:right="17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27,500 shares that Ms. VanLent has the right to acquire within 60 days of February 28, 2007 upon the exercise of options held by her.</w:t>
      </w:r>
    </w:p>
    <w:p>
      <w:pPr>
        <w:spacing w:after="0" w:line="21" w:lineRule="exact"/>
        <w:rPr>
          <w:rFonts w:ascii="Arial" w:cs="Arial" w:eastAsia="Arial" w:hAnsi="Arial"/>
          <w:sz w:val="18"/>
          <w:szCs w:val="18"/>
          <w:color w:val="auto"/>
        </w:rPr>
      </w:pPr>
    </w:p>
    <w:p>
      <w:pPr>
        <w:ind w:left="740" w:right="17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309,064 shares that Mr. Henneman has the right to acquire within 60 days of February 28, 2007 upon the exercise of options held by him.</w:t>
      </w:r>
    </w:p>
    <w:p>
      <w:pPr>
        <w:spacing w:after="0" w:line="21" w:lineRule="exact"/>
        <w:rPr>
          <w:rFonts w:ascii="Arial" w:cs="Arial" w:eastAsia="Arial" w:hAnsi="Arial"/>
          <w:sz w:val="18"/>
          <w:szCs w:val="18"/>
          <w:color w:val="auto"/>
        </w:rPr>
      </w:pPr>
    </w:p>
    <w:p>
      <w:pPr>
        <w:ind w:left="740" w:right="15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44,165 shares that Mr. Carlozzi has the right to acquire within 60 days of February 28, 2007 upon the exercise of options held by him.</w:t>
      </w:r>
    </w:p>
    <w:p>
      <w:pPr>
        <w:spacing w:after="0" w:line="21" w:lineRule="exact"/>
        <w:rPr>
          <w:rFonts w:ascii="Arial" w:cs="Arial" w:eastAsia="Arial" w:hAnsi="Arial"/>
          <w:sz w:val="18"/>
          <w:szCs w:val="18"/>
          <w:color w:val="auto"/>
        </w:rPr>
      </w:pPr>
    </w:p>
    <w:p>
      <w:pPr>
        <w:ind w:left="740" w:right="159" w:hanging="40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42,185 shares that Ms. O’Grady has the right to acquire within 60 days of February 28, 2007 upon the exercise of options held by her.</w:t>
      </w:r>
    </w:p>
    <w:p>
      <w:pPr>
        <w:spacing w:after="0" w:line="21" w:lineRule="exact"/>
        <w:rPr>
          <w:rFonts w:ascii="Arial" w:cs="Arial" w:eastAsia="Arial" w:hAnsi="Arial"/>
          <w:sz w:val="18"/>
          <w:szCs w:val="18"/>
          <w:color w:val="auto"/>
        </w:rPr>
      </w:pPr>
    </w:p>
    <w:p>
      <w:pPr>
        <w:jc w:val="both"/>
        <w:ind w:left="740" w:right="159" w:hanging="408"/>
        <w:spacing w:after="0" w:line="26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Notes 2 through 11 above. Also includes 1,454 shares held by an executive officer of the Company and/or its subsidiaries who is not listed in the above table. This amount does not include shares held by Mr. Holtz, who is no longer an executive officer of the Company.</w:t>
      </w:r>
    </w:p>
    <w:p>
      <w:pPr>
        <w:spacing w:after="0" w:line="32" w:lineRule="exact"/>
        <w:rPr>
          <w:rFonts w:ascii="Arial" w:cs="Arial" w:eastAsia="Arial" w:hAnsi="Arial"/>
          <w:sz w:val="18"/>
          <w:szCs w:val="18"/>
          <w:color w:val="auto"/>
        </w:rPr>
      </w:pPr>
    </w:p>
    <w:p>
      <w:pPr>
        <w:jc w:val="both"/>
        <w:ind w:left="740" w:right="159" w:hanging="408"/>
        <w:spacing w:after="0" w:line="255"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Research and Management Company (“CRMC”), an investment adviser registered under Section 203 of the Investment Advisers Act of 1940 is deemed to be the beneficial owner of 2,740,000 shares as a result of acting as investment adviser to various investment companies registered under Section 8 of the Investment Company Act of 1940. CRMC has sole voting and dispositive power of these shares SMALLCAP World Fund, Inc. (“SCWF”), an investment company registered under the Investment Company Act of 1940, which is advised by CRMC, is the beneficial owner of 2,240,000 of these shares and has no voting or dispositive power of these share. The foregoing information has been included solely in reliance upon, and without independent</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179"/>
        <w:spacing w:after="0" w:line="277" w:lineRule="auto"/>
        <w:rPr>
          <w:sz w:val="20"/>
          <w:szCs w:val="20"/>
          <w:color w:val="auto"/>
        </w:rPr>
      </w:pPr>
      <w:r>
        <w:rPr>
          <w:rFonts w:ascii="Arial" w:cs="Arial" w:eastAsia="Arial" w:hAnsi="Arial"/>
          <w:sz w:val="18"/>
          <w:szCs w:val="18"/>
          <w:color w:val="auto"/>
        </w:rPr>
        <w:t>investigation of, the disclosures contained in the Schedule 13G filed by CRMC and SCWF with the Securities and Exchange Commission on February 12, 2007.</w:t>
      </w:r>
    </w:p>
    <w:p>
      <w:pPr>
        <w:spacing w:after="0" w:line="22" w:lineRule="exact"/>
        <w:rPr>
          <w:sz w:val="20"/>
          <w:szCs w:val="20"/>
          <w:color w:val="auto"/>
        </w:rPr>
      </w:pPr>
    </w:p>
    <w:p>
      <w:pPr>
        <w:ind w:left="740" w:right="179" w:hanging="40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7,091,025 shares held by TRU ST (see note 15 below), of which Provco is the general corporate partner. Provco may be deemed to have shared voting and dispositive power over these shares.</w:t>
      </w:r>
    </w:p>
    <w:p>
      <w:pPr>
        <w:spacing w:after="0" w:line="21" w:lineRule="exact"/>
        <w:rPr>
          <w:rFonts w:ascii="Arial" w:cs="Arial" w:eastAsia="Arial" w:hAnsi="Arial"/>
          <w:sz w:val="18"/>
          <w:szCs w:val="18"/>
          <w:color w:val="auto"/>
        </w:rPr>
      </w:pPr>
    </w:p>
    <w:p>
      <w:pPr>
        <w:jc w:val="both"/>
        <w:ind w:left="740" w:right="159" w:hanging="408"/>
        <w:spacing w:after="0" w:line="259"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38" w:lineRule="exact"/>
        <w:rPr>
          <w:rFonts w:ascii="Arial" w:cs="Arial" w:eastAsia="Arial" w:hAnsi="Arial"/>
          <w:sz w:val="18"/>
          <w:szCs w:val="18"/>
          <w:color w:val="auto"/>
        </w:rPr>
      </w:pPr>
    </w:p>
    <w:p>
      <w:pPr>
        <w:jc w:val="both"/>
        <w:ind w:left="740" w:right="159" w:hanging="408"/>
        <w:spacing w:after="0" w:line="291"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 Rowe Price Associates, Inc. (“T. Rowe Price”) has sole dispositive power over all of these shares and has sole voting power over 331,750 of these shares. 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Exchange, Price Associates is deemed to be a beneficial owner of such securities; however, Price Associates expressly disclaims that it is, in fact, the beneficial owner of such securities. The foregoing information has been included solely in reliance upon, and without independent investigation of, the disclosures contained in the Schedule 13G/A filed by T. Rowe Price with the Securities and Exchange Commission on February 14, 2007.</w:t>
      </w:r>
    </w:p>
    <w:p>
      <w:pPr>
        <w:spacing w:after="0" w:line="18" w:lineRule="exact"/>
        <w:rPr>
          <w:rFonts w:ascii="Arial" w:cs="Arial" w:eastAsia="Arial" w:hAnsi="Arial"/>
          <w:sz w:val="16"/>
          <w:szCs w:val="16"/>
          <w:color w:val="auto"/>
        </w:rPr>
      </w:pPr>
    </w:p>
    <w:p>
      <w:pPr>
        <w:jc w:val="both"/>
        <w:ind w:left="740" w:right="159" w:hanging="408"/>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William Blair &amp; Company, L.L.C. (“William Blair”) has sole dispositive and voting power over all of these shares. The foregoing information has been included solely in reliance upon, and without independent investigation of, the disclosures contained in the Schedule 13G/A filed by William Blair with the Securities and Exchange Commission on January 17, 2007.</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114"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2006, except for the following, which resulted from an administrative error:</w:t>
      </w:r>
    </w:p>
    <w:p>
      <w:pPr>
        <w:spacing w:after="0" w:line="139" w:lineRule="exact"/>
        <w:rPr>
          <w:sz w:val="20"/>
          <w:szCs w:val="20"/>
          <w:color w:val="auto"/>
        </w:rPr>
      </w:pPr>
    </w:p>
    <w:p>
      <w:pPr>
        <w:ind w:left="1080" w:right="179" w:hanging="370"/>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statement of changes in beneficial ownership of securities on Form 4 for the grant of restricted stock on July 3, 2006 was filed late by Judith O’Grady, an executive officer of the Company; and</w:t>
      </w:r>
    </w:p>
    <w:p>
      <w:pPr>
        <w:spacing w:after="0" w:line="170" w:lineRule="exact"/>
        <w:rPr>
          <w:rFonts w:ascii="Arial" w:cs="Arial" w:eastAsia="Arial" w:hAnsi="Arial"/>
          <w:sz w:val="18"/>
          <w:szCs w:val="18"/>
          <w:color w:val="auto"/>
        </w:rPr>
      </w:pPr>
    </w:p>
    <w:p>
      <w:pPr>
        <w:ind w:left="1080" w:right="159" w:hanging="370"/>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statement of changes in beneficial ownership of securities on Form 4 for the grant of restricted stock on October 2, 2006 was filed late by David Holtz, an executive officer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STOCKHOLDER PROPOSALS</w:t>
      </w:r>
    </w:p>
    <w:p>
      <w:pPr>
        <w:spacing w:after="0" w:line="189"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2008 Annual Meeting of Stockholders is December 16, 2007. Such proposals must be sent to: Integra LifeSciences Holdings Corporation, 311 Enterprise Drive, Plainsboro, New Jersey 08536, Attention: Senior Vice President,</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80"/>
        <w:spacing w:after="0" w:line="257" w:lineRule="auto"/>
        <w:rPr>
          <w:sz w:val="20"/>
          <w:szCs w:val="20"/>
          <w:color w:val="auto"/>
        </w:rPr>
      </w:pPr>
      <w:r>
        <w:rPr>
          <w:rFonts w:ascii="Arial" w:cs="Arial" w:eastAsia="Arial" w:hAnsi="Arial"/>
          <w:sz w:val="18"/>
          <w:szCs w:val="18"/>
          <w:color w:val="auto"/>
        </w:rPr>
        <w:t>General Counsel and Secretary. The date after which notice of a stockholder proposal submitted outside of the processes of Rule 14a-8 of the Exchange Act is considered untimely is March 2, 2008. If notice of a stockholder proposal submitted outside of the processes of Rule 14a-8 of the Exchange Act is received by the Company after March 2, 2008, then the Company’s proxy for the 2008 Annual Meeting of Stockholders may confer discretionary authority to vote on such matter without any discussion of such matter in the proxy statement for such annual meeting of stockholders.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jc w:val="both"/>
        <w:ind w:left="340" w:right="1360" w:firstLine="389"/>
        <w:spacing w:after="0" w:line="302" w:lineRule="auto"/>
        <w:rPr>
          <w:sz w:val="20"/>
          <w:szCs w:val="20"/>
          <w:color w:val="auto"/>
        </w:rPr>
      </w:pPr>
      <w:r>
        <w:rPr>
          <w:rFonts w:ascii="Arial" w:cs="Arial" w:eastAsia="Arial" w:hAnsi="Arial"/>
          <w:sz w:val="16"/>
          <w:szCs w:val="16"/>
          <w:color w:val="auto"/>
        </w:rPr>
        <w:t xml:space="preserve">A copy of the Company’s 2006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t>
      </w:r>
      <w:r>
        <w:rPr>
          <w:rFonts w:ascii="Arial" w:cs="Arial" w:eastAsia="Arial" w:hAnsi="Arial"/>
          <w:sz w:val="16"/>
          <w:szCs w:val="16"/>
          <w:u w:val="single" w:color="auto"/>
          <w:color w:val="auto"/>
        </w:rPr>
        <w:t>www.integra-LS.com</w:t>
      </w:r>
      <w:r>
        <w:rPr>
          <w:rFonts w:ascii="Arial" w:cs="Arial" w:eastAsia="Arial" w:hAnsi="Arial"/>
          <w:sz w:val="16"/>
          <w:szCs w:val="16"/>
          <w:color w:val="auto"/>
        </w:rPr>
        <w:t xml:space="preserve"> through the “Investor Relations” link under the heading “Corporate Governance.”</w:t>
      </w:r>
    </w:p>
    <w:p>
      <w:pPr>
        <w:spacing w:after="0" w:line="110" w:lineRule="exact"/>
        <w:rPr>
          <w:sz w:val="20"/>
          <w:szCs w:val="20"/>
          <w:color w:val="auto"/>
        </w:rPr>
      </w:pPr>
    </w:p>
    <w:p>
      <w:pPr>
        <w:jc w:val="both"/>
        <w:ind w:left="340" w:right="1360" w:firstLine="389"/>
        <w:spacing w:after="0" w:line="258"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2006.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tcPr>
          <w:p>
            <w:pPr>
              <w:ind w:left="1640"/>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3560" w:type="dxa"/>
            <w:vAlign w:val="bottom"/>
          </w:tcPr>
          <w:p>
            <w:pPr>
              <w:spacing w:after="0"/>
              <w:rPr>
                <w:sz w:val="24"/>
                <w:szCs w:val="24"/>
                <w:color w:val="auto"/>
              </w:rPr>
            </w:pPr>
          </w:p>
        </w:tc>
        <w:tc>
          <w:tcPr>
            <w:tcW w:w="7860" w:type="dxa"/>
            <w:vAlign w:val="bottom"/>
          </w:tcPr>
          <w:p>
            <w:pPr>
              <w:ind w:left="1640"/>
              <w:spacing w:after="0"/>
              <w:rPr>
                <w:sz w:val="20"/>
                <w:szCs w:val="20"/>
                <w:color w:val="auto"/>
              </w:rPr>
            </w:pPr>
            <w:r>
              <w:rPr>
                <w:rFonts w:ascii="Arial" w:cs="Arial" w:eastAsia="Arial" w:hAnsi="Arial"/>
                <w:sz w:val="18"/>
                <w:szCs w:val="18"/>
                <w:color w:val="auto"/>
              </w:rPr>
              <w:t>/s/ Richard D. Gorelick</w:t>
            </w:r>
          </w:p>
        </w:tc>
      </w:tr>
      <w:tr>
        <w:trPr>
          <w:trHeight w:val="418"/>
        </w:trPr>
        <w:tc>
          <w:tcPr>
            <w:tcW w:w="3560" w:type="dxa"/>
            <w:vAlign w:val="bottom"/>
          </w:tcPr>
          <w:p>
            <w:pPr>
              <w:ind w:left="340"/>
              <w:spacing w:after="0"/>
              <w:rPr>
                <w:sz w:val="20"/>
                <w:szCs w:val="20"/>
                <w:color w:val="auto"/>
              </w:rPr>
            </w:pPr>
            <w:r>
              <w:rPr>
                <w:rFonts w:ascii="Arial" w:cs="Arial" w:eastAsia="Arial" w:hAnsi="Arial"/>
                <w:sz w:val="18"/>
                <w:szCs w:val="18"/>
                <w:color w:val="auto"/>
              </w:rPr>
              <w:t>Plainsboro, New Jersey</w:t>
            </w:r>
          </w:p>
        </w:tc>
        <w:tc>
          <w:tcPr>
            <w:tcW w:w="7860" w:type="dxa"/>
            <w:vAlign w:val="bottom"/>
          </w:tcPr>
          <w:p>
            <w:pPr>
              <w:ind w:left="1640"/>
              <w:spacing w:after="0"/>
              <w:rPr>
                <w:sz w:val="20"/>
                <w:szCs w:val="20"/>
                <w:color w:val="auto"/>
              </w:rPr>
            </w:pPr>
            <w:r>
              <w:rPr>
                <w:rFonts w:ascii="Arial" w:cs="Arial" w:eastAsia="Arial" w:hAnsi="Arial"/>
                <w:sz w:val="18"/>
                <w:szCs w:val="18"/>
                <w:color w:val="auto"/>
              </w:rPr>
              <w:t>Richard D. Gorelick</w:t>
            </w: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April 16, 2007</w:t>
            </w:r>
          </w:p>
        </w:tc>
        <w:tc>
          <w:tcPr>
            <w:tcW w:w="7860" w:type="dxa"/>
            <w:vAlign w:val="bottom"/>
          </w:tcPr>
          <w:p>
            <w:pPr>
              <w:ind w:left="1640"/>
              <w:spacing w:after="0"/>
              <w:rPr>
                <w:sz w:val="20"/>
                <w:szCs w:val="20"/>
                <w:color w:val="auto"/>
              </w:rPr>
            </w:pPr>
            <w:r>
              <w:rPr>
                <w:rFonts w:ascii="Arial" w:cs="Arial" w:eastAsia="Arial" w:hAnsi="Arial"/>
                <w:sz w:val="18"/>
                <w:szCs w:val="18"/>
                <w:i w:val="1"/>
                <w:iCs w:val="1"/>
                <w:color w:val="auto"/>
              </w:rPr>
              <w:t>Senior Vice President, General Counsel and Secretary</w:t>
            </w:r>
          </w:p>
        </w:tc>
      </w:tr>
      <w:tr>
        <w:trPr>
          <w:trHeight w:val="797"/>
        </w:trPr>
        <w:tc>
          <w:tcPr>
            <w:tcW w:w="3560" w:type="dxa"/>
            <w:vAlign w:val="bottom"/>
          </w:tcPr>
          <w:p>
            <w:pPr>
              <w:spacing w:after="0"/>
              <w:rPr>
                <w:sz w:val="24"/>
                <w:szCs w:val="24"/>
                <w:color w:val="auto"/>
              </w:rPr>
            </w:pPr>
          </w:p>
        </w:tc>
        <w:tc>
          <w:tcPr>
            <w:tcW w:w="7860" w:type="dxa"/>
            <w:vAlign w:val="bottom"/>
          </w:tcPr>
          <w:p>
            <w:pPr>
              <w:ind w:left="1540"/>
              <w:spacing w:after="0"/>
              <w:rPr>
                <w:sz w:val="20"/>
                <w:szCs w:val="20"/>
                <w:color w:val="auto"/>
              </w:rPr>
            </w:pPr>
            <w:r>
              <w:rPr>
                <w:rFonts w:ascii="Arial" w:cs="Arial" w:eastAsia="Arial" w:hAnsi="Arial"/>
                <w:sz w:val="18"/>
                <w:szCs w:val="18"/>
                <w:color w:val="auto"/>
              </w:rPr>
              <w:t>43</w:t>
            </w:r>
          </w:p>
        </w:tc>
      </w:tr>
      <w:tr>
        <w:trPr>
          <w:trHeight w:val="226"/>
        </w:trPr>
        <w:tc>
          <w:tcPr>
            <w:tcW w:w="3560" w:type="dxa"/>
            <w:vAlign w:val="bottom"/>
            <w:tcBorders>
              <w:bottom w:val="single" w:sz="8" w:color="808080"/>
            </w:tcBorders>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ANNUAL MEETING OF STOCKHOLDERS OF</w:t>
      </w:r>
    </w:p>
    <w:p>
      <w:pPr>
        <w:spacing w:after="0" w:line="186" w:lineRule="exact"/>
        <w:rPr>
          <w:sz w:val="20"/>
          <w:szCs w:val="20"/>
          <w:color w:val="auto"/>
        </w:rPr>
      </w:pPr>
    </w:p>
    <w:p>
      <w:pPr>
        <w:ind w:left="1040"/>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May 17,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Please date, sign and mail</w:t>
      </w:r>
    </w:p>
    <w:p>
      <w:pPr>
        <w:jc w:val="center"/>
        <w:ind w:right="-160"/>
        <w:spacing w:after="0" w:line="238" w:lineRule="auto"/>
        <w:rPr>
          <w:sz w:val="20"/>
          <w:szCs w:val="20"/>
          <w:color w:val="auto"/>
        </w:rPr>
      </w:pPr>
      <w:r>
        <w:rPr>
          <w:rFonts w:ascii="Arial" w:cs="Arial" w:eastAsia="Arial" w:hAnsi="Arial"/>
          <w:sz w:val="22"/>
          <w:szCs w:val="22"/>
          <w:color w:val="auto"/>
        </w:rPr>
        <w:t>your proxy card in the</w:t>
      </w:r>
    </w:p>
    <w:p>
      <w:pPr>
        <w:jc w:val="center"/>
        <w:ind w:right="-160"/>
        <w:spacing w:after="0" w:line="230" w:lineRule="auto"/>
        <w:rPr>
          <w:sz w:val="20"/>
          <w:szCs w:val="20"/>
          <w:color w:val="auto"/>
        </w:rPr>
      </w:pPr>
      <w:r>
        <w:rPr>
          <w:rFonts w:ascii="Arial" w:cs="Arial" w:eastAsia="Arial" w:hAnsi="Arial"/>
          <w:sz w:val="22"/>
          <w:szCs w:val="22"/>
          <w:color w:val="auto"/>
        </w:rPr>
        <w:t>envelope provided as soon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as possible.</w:t>
      </w:r>
    </w:p>
    <w:p>
      <w:pPr>
        <w:spacing w:after="0" w:line="200" w:lineRule="exact"/>
        <w:rPr>
          <w:sz w:val="20"/>
          <w:szCs w:val="20"/>
          <w:color w:val="auto"/>
        </w:rPr>
      </w:pPr>
    </w:p>
    <w:p>
      <w:pPr>
        <w:spacing w:after="0" w:line="204" w:lineRule="exact"/>
        <w:rPr>
          <w:sz w:val="20"/>
          <w:szCs w:val="20"/>
          <w:color w:val="auto"/>
        </w:rPr>
      </w:pPr>
    </w:p>
    <w:p>
      <w:pPr>
        <w:jc w:val="center"/>
        <w:ind w:right="-160"/>
        <w:spacing w:after="0"/>
        <w:rPr>
          <w:sz w:val="20"/>
          <w:szCs w:val="20"/>
          <w:color w:val="auto"/>
        </w:rPr>
      </w:pPr>
      <w:r>
        <w:rPr>
          <w:rFonts w:ascii="Arial" w:cs="Arial" w:eastAsia="Arial" w:hAnsi="Arial"/>
          <w:sz w:val="27"/>
          <w:szCs w:val="27"/>
          <w:color w:val="auto"/>
        </w:rPr>
        <w:t xml:space="preserve">¯  </w:t>
      </w:r>
      <w:r>
        <w:rPr>
          <w:rFonts w:ascii="Arial" w:cs="Arial" w:eastAsia="Arial" w:hAnsi="Arial"/>
          <w:sz w:val="18"/>
          <w:szCs w:val="18"/>
          <w:color w:val="auto"/>
        </w:rPr>
        <w:t>Please detach along perforated line and mail in the envelope provided</w:t>
      </w:r>
      <w:r>
        <w:rPr>
          <w:rFonts w:ascii="Arial" w:cs="Arial" w:eastAsia="Arial" w:hAnsi="Arial"/>
          <w:sz w:val="27"/>
          <w:szCs w:val="2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200660</wp:posOffset>
            </wp:positionV>
            <wp:extent cx="6229985" cy="35096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29985" cy="3509645"/>
                    </a:xfrm>
                    <a:prstGeom prst="rect">
                      <a:avLst/>
                    </a:prstGeom>
                    <a:noFill/>
                  </pic:spPr>
                </pic:pic>
              </a:graphicData>
            </a:graphic>
          </wp:anchor>
        </w:drawing>
      </w:r>
    </w:p>
    <w:p>
      <w:pPr>
        <w:spacing w:after="0" w:line="371" w:lineRule="exact"/>
        <w:rPr>
          <w:sz w:val="20"/>
          <w:szCs w:val="20"/>
          <w:color w:val="auto"/>
        </w:rPr>
      </w:pPr>
    </w:p>
    <w:p>
      <w:pPr>
        <w:ind w:left="380" w:right="339"/>
        <w:spacing w:after="0" w:line="231" w:lineRule="exact"/>
        <w:rPr>
          <w:sz w:val="20"/>
          <w:szCs w:val="20"/>
          <w:color w:val="auto"/>
        </w:rPr>
      </w:pPr>
      <w:r>
        <w:rPr>
          <w:rFonts w:ascii="Arial" w:cs="Arial" w:eastAsia="Arial" w:hAnsi="Arial"/>
          <w:sz w:val="14"/>
          <w:szCs w:val="14"/>
          <w:b w:val="1"/>
          <w:bCs w:val="1"/>
          <w:color w:val="auto"/>
        </w:rPr>
        <w:t xml:space="preserve">THE BOARD OF DIRECTORS RECOMMENDS A VOTE “FOR” THE ELECTION OF DIRECTORS AND FOR PROPOSAL 2. PLEASE SIGN, DATE AND RETURN PROMPTLY IN THE ENCLOSED ENVELOPE. PLEASE MARK YOUR VOTE IN BLUE OR BLACK INK AS SHOWN HERE </w:t>
      </w:r>
      <w:r>
        <w:rPr>
          <w:rFonts w:ascii="MS PGothic" w:cs="MS PGothic" w:eastAsia="MS PGothic" w:hAnsi="MS PGothic"/>
          <w:sz w:val="21"/>
          <w:szCs w:val="21"/>
          <w:color w:val="auto"/>
        </w:rPr>
        <w:t>☒</w:t>
      </w:r>
    </w:p>
    <w:p>
      <w:pPr>
        <w:sectPr>
          <w:pgSz w:w="11900" w:h="16838" w:orient="portrait"/>
          <w:cols w:equalWidth="0" w:num="1">
            <w:col w:w="10219"/>
          </w:cols>
          <w:pgMar w:left="240" w:top="419" w:right="1440" w:bottom="1440" w:gutter="0" w:footer="0" w:header="0"/>
        </w:sectPr>
      </w:pP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182"/>
        </w:trPr>
        <w:tc>
          <w:tcPr>
            <w:tcW w:w="174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0"/>
        </w:trPr>
        <w:tc>
          <w:tcPr>
            <w:tcW w:w="1740" w:type="dxa"/>
            <w:vAlign w:val="bottom"/>
          </w:tcPr>
          <w:p>
            <w:pPr>
              <w:ind w:left="240"/>
              <w:spacing w:after="0"/>
              <w:rPr>
                <w:sz w:val="20"/>
                <w:szCs w:val="20"/>
                <w:color w:val="auto"/>
              </w:rPr>
            </w:pPr>
            <w:r>
              <w:rPr>
                <w:rFonts w:ascii="Arial" w:cs="Arial" w:eastAsia="Arial" w:hAnsi="Arial"/>
                <w:sz w:val="14"/>
                <w:szCs w:val="14"/>
                <w:b w:val="1"/>
                <w:bCs w:val="1"/>
                <w:color w:val="auto"/>
              </w:rPr>
              <w:t>Nominees:</w:t>
            </w: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For</w:t>
            </w: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920" w:type="dxa"/>
            <w:vAlign w:val="bottom"/>
          </w:tcPr>
          <w:p>
            <w:pPr>
              <w:jc w:val="center"/>
              <w:ind w:right="214"/>
              <w:spacing w:after="0"/>
              <w:rPr>
                <w:sz w:val="20"/>
                <w:szCs w:val="20"/>
                <w:color w:val="auto"/>
              </w:rPr>
            </w:pPr>
            <w:r>
              <w:rPr>
                <w:rFonts w:ascii="Arial" w:cs="Arial" w:eastAsia="Arial" w:hAnsi="Arial"/>
                <w:sz w:val="14"/>
                <w:szCs w:val="14"/>
                <w:color w:val="auto"/>
                <w:w w:val="98"/>
              </w:rPr>
              <w:t>Abstain</w:t>
            </w:r>
          </w:p>
        </w:tc>
      </w:tr>
      <w:tr>
        <w:trPr>
          <w:trHeight w:val="412"/>
        </w:trPr>
        <w:tc>
          <w:tcPr>
            <w:tcW w:w="1740" w:type="dxa"/>
            <w:vAlign w:val="bottom"/>
          </w:tcPr>
          <w:p>
            <w:pPr>
              <w:ind w:left="240"/>
              <w:spacing w:after="0"/>
              <w:rPr>
                <w:sz w:val="20"/>
                <w:szCs w:val="20"/>
                <w:color w:val="auto"/>
              </w:rPr>
            </w:pPr>
            <w:r>
              <w:rPr>
                <w:rFonts w:ascii="Arial" w:cs="Arial" w:eastAsia="Arial" w:hAnsi="Arial"/>
                <w:sz w:val="14"/>
                <w:szCs w:val="14"/>
                <w:color w:val="auto"/>
                <w:w w:val="97"/>
              </w:rPr>
              <w:t>Thomas J. Baltimore, Jr.</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16"/>
        </w:trPr>
        <w:tc>
          <w:tcPr>
            <w:tcW w:w="1740" w:type="dxa"/>
            <w:vAlign w:val="bottom"/>
          </w:tcPr>
          <w:p>
            <w:pPr>
              <w:ind w:left="240"/>
              <w:spacing w:after="0"/>
              <w:rPr>
                <w:sz w:val="20"/>
                <w:szCs w:val="20"/>
                <w:color w:val="auto"/>
              </w:rPr>
            </w:pPr>
            <w:r>
              <w:rPr>
                <w:rFonts w:ascii="Arial" w:cs="Arial" w:eastAsia="Arial" w:hAnsi="Arial"/>
                <w:sz w:val="14"/>
                <w:szCs w:val="14"/>
                <w:color w:val="auto"/>
              </w:rPr>
              <w:t>Keith Bradley</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16"/>
        </w:trPr>
        <w:tc>
          <w:tcPr>
            <w:tcW w:w="1740" w:type="dxa"/>
            <w:vAlign w:val="bottom"/>
          </w:tcPr>
          <w:p>
            <w:pPr>
              <w:ind w:left="240"/>
              <w:spacing w:after="0"/>
              <w:rPr>
                <w:sz w:val="20"/>
                <w:szCs w:val="20"/>
                <w:color w:val="auto"/>
              </w:rPr>
            </w:pPr>
            <w:r>
              <w:rPr>
                <w:rFonts w:ascii="Arial" w:cs="Arial" w:eastAsia="Arial" w:hAnsi="Arial"/>
                <w:sz w:val="14"/>
                <w:szCs w:val="14"/>
                <w:color w:val="auto"/>
              </w:rPr>
              <w:t>Richard E. Caruso</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16"/>
        </w:trPr>
        <w:tc>
          <w:tcPr>
            <w:tcW w:w="1740" w:type="dxa"/>
            <w:vAlign w:val="bottom"/>
          </w:tcPr>
          <w:p>
            <w:pPr>
              <w:ind w:left="240"/>
              <w:spacing w:after="0"/>
              <w:rPr>
                <w:sz w:val="20"/>
                <w:szCs w:val="20"/>
                <w:color w:val="auto"/>
              </w:rPr>
            </w:pPr>
            <w:r>
              <w:rPr>
                <w:rFonts w:ascii="Arial" w:cs="Arial" w:eastAsia="Arial" w:hAnsi="Arial"/>
                <w:sz w:val="14"/>
                <w:szCs w:val="14"/>
                <w:color w:val="auto"/>
              </w:rPr>
              <w:t>Stuart M. Essig</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16"/>
        </w:trPr>
        <w:tc>
          <w:tcPr>
            <w:tcW w:w="1740" w:type="dxa"/>
            <w:vAlign w:val="bottom"/>
          </w:tcPr>
          <w:p>
            <w:pPr>
              <w:ind w:left="240"/>
              <w:spacing w:after="0"/>
              <w:rPr>
                <w:sz w:val="20"/>
                <w:szCs w:val="20"/>
                <w:color w:val="auto"/>
              </w:rPr>
            </w:pPr>
            <w:r>
              <w:rPr>
                <w:rFonts w:ascii="Arial" w:cs="Arial" w:eastAsia="Arial" w:hAnsi="Arial"/>
                <w:sz w:val="14"/>
                <w:szCs w:val="14"/>
                <w:color w:val="auto"/>
              </w:rPr>
              <w:t>Neal Moszkowski</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16"/>
        </w:trPr>
        <w:tc>
          <w:tcPr>
            <w:tcW w:w="1740" w:type="dxa"/>
            <w:vAlign w:val="bottom"/>
          </w:tcPr>
          <w:p>
            <w:pPr>
              <w:ind w:left="240"/>
              <w:spacing w:after="0"/>
              <w:rPr>
                <w:sz w:val="20"/>
                <w:szCs w:val="20"/>
                <w:color w:val="auto"/>
              </w:rPr>
            </w:pPr>
            <w:r>
              <w:rPr>
                <w:rFonts w:ascii="Arial" w:cs="Arial" w:eastAsia="Arial" w:hAnsi="Arial"/>
                <w:sz w:val="14"/>
                <w:szCs w:val="14"/>
                <w:color w:val="auto"/>
              </w:rPr>
              <w:t>Christian S. Schade</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16"/>
        </w:trPr>
        <w:tc>
          <w:tcPr>
            <w:tcW w:w="1740" w:type="dxa"/>
            <w:vAlign w:val="bottom"/>
          </w:tcPr>
          <w:p>
            <w:pPr>
              <w:ind w:left="240"/>
              <w:spacing w:after="0"/>
              <w:rPr>
                <w:sz w:val="20"/>
                <w:szCs w:val="20"/>
                <w:color w:val="auto"/>
              </w:rPr>
            </w:pPr>
            <w:r>
              <w:rPr>
                <w:rFonts w:ascii="Arial" w:cs="Arial" w:eastAsia="Arial" w:hAnsi="Arial"/>
                <w:sz w:val="14"/>
                <w:szCs w:val="14"/>
                <w:color w:val="auto"/>
              </w:rPr>
              <w:t>James M. Sullivan</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33"/>
        </w:trPr>
        <w:tc>
          <w:tcPr>
            <w:tcW w:w="1740" w:type="dxa"/>
            <w:vAlign w:val="bottom"/>
          </w:tcPr>
          <w:p>
            <w:pPr>
              <w:ind w:left="240"/>
              <w:spacing w:after="0"/>
              <w:rPr>
                <w:sz w:val="20"/>
                <w:szCs w:val="20"/>
                <w:color w:val="auto"/>
              </w:rPr>
            </w:pPr>
            <w:r>
              <w:rPr>
                <w:rFonts w:ascii="Arial" w:cs="Arial" w:eastAsia="Arial" w:hAnsi="Arial"/>
                <w:sz w:val="14"/>
                <w:szCs w:val="14"/>
                <w:color w:val="auto"/>
              </w:rPr>
              <w:t>Anne M. VanLent</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6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o</w:t>
            </w:r>
          </w:p>
        </w:tc>
      </w:tr>
      <w:tr>
        <w:trPr>
          <w:trHeight w:val="299"/>
        </w:trPr>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 w:right="220"/>
        <w:spacing w:after="0" w:line="187" w:lineRule="auto"/>
        <w:rPr>
          <w:sz w:val="20"/>
          <w:szCs w:val="20"/>
          <w:color w:val="auto"/>
        </w:rPr>
      </w:pPr>
      <w:r>
        <w:rPr>
          <w:rFonts w:ascii="Arial" w:cs="Arial" w:eastAsia="Arial" w:hAnsi="Arial"/>
          <w:sz w:val="14"/>
          <w:szCs w:val="14"/>
          <w:color w:val="auto"/>
        </w:rPr>
        <w:t>To change the address on your account, please check the</w:t>
      </w:r>
      <w:r>
        <w:rPr>
          <w:rFonts w:ascii="Arial" w:cs="Arial" w:eastAsia="Arial" w:hAnsi="Arial"/>
          <w:sz w:val="32"/>
          <w:szCs w:val="32"/>
          <w:color w:val="auto"/>
        </w:rPr>
        <w:t>o</w:t>
      </w:r>
      <w:r>
        <w:rPr>
          <w:rFonts w:ascii="Arial" w:cs="Arial" w:eastAsia="Arial" w:hAnsi="Arial"/>
          <w:sz w:val="14"/>
          <w:szCs w:val="14"/>
          <w:color w:val="auto"/>
        </w:rPr>
        <w:t xml:space="preserve"> box at right and indicate your new address in the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429260</wp:posOffset>
            </wp:positionV>
            <wp:extent cx="26244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5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5"/>
              </w:rPr>
              <w:t>For</w:t>
            </w: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540" w:type="dxa"/>
            <w:vAlign w:val="bottom"/>
          </w:tcPr>
          <w:p>
            <w:pPr>
              <w:jc w:val="center"/>
              <w:spacing w:after="0"/>
              <w:rPr>
                <w:sz w:val="20"/>
                <w:szCs w:val="20"/>
                <w:color w:val="auto"/>
              </w:rPr>
            </w:pPr>
            <w:r>
              <w:rPr>
                <w:rFonts w:ascii="Arial" w:cs="Arial" w:eastAsia="Arial" w:hAnsi="Arial"/>
                <w:sz w:val="14"/>
                <w:szCs w:val="14"/>
                <w:color w:val="auto"/>
                <w:w w:val="98"/>
              </w:rPr>
              <w:t>Abstain</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r>
              <w:rPr>
                <w:rFonts w:ascii="Arial" w:cs="Arial" w:eastAsia="Arial" w:hAnsi="Arial"/>
                <w:sz w:val="14"/>
                <w:szCs w:val="14"/>
                <w:color w:val="auto"/>
              </w:rPr>
              <w:t>2.  Proposal to ratify the appointment of</w:t>
            </w:r>
          </w:p>
        </w:tc>
        <w:tc>
          <w:tcPr>
            <w:tcW w:w="46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64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54"/>
        </w:trPr>
        <w:tc>
          <w:tcPr>
            <w:tcW w:w="3500" w:type="dxa"/>
            <w:vAlign w:val="bottom"/>
          </w:tcPr>
          <w:p>
            <w:pPr>
              <w:ind w:left="280"/>
              <w:spacing w:after="0" w:line="154" w:lineRule="exact"/>
              <w:rPr>
                <w:sz w:val="20"/>
                <w:szCs w:val="20"/>
                <w:color w:val="auto"/>
              </w:rPr>
            </w:pPr>
            <w:r>
              <w:rPr>
                <w:rFonts w:ascii="Arial" w:cs="Arial" w:eastAsia="Arial" w:hAnsi="Arial"/>
                <w:sz w:val="14"/>
                <w:szCs w:val="14"/>
                <w:color w:val="auto"/>
              </w:rPr>
              <w:t>PricewaterhouseCoopers LLP as the Company’s</w:t>
            </w:r>
          </w:p>
        </w:tc>
        <w:tc>
          <w:tcPr>
            <w:tcW w:w="4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00" w:type="dxa"/>
            <w:vAlign w:val="bottom"/>
          </w:tcPr>
          <w:p>
            <w:pPr>
              <w:ind w:left="280"/>
              <w:spacing w:after="0" w:line="143" w:lineRule="exact"/>
              <w:rPr>
                <w:sz w:val="20"/>
                <w:szCs w:val="20"/>
                <w:color w:val="auto"/>
              </w:rPr>
            </w:pPr>
            <w:r>
              <w:rPr>
                <w:rFonts w:ascii="Arial" w:cs="Arial" w:eastAsia="Arial" w:hAnsi="Arial"/>
                <w:sz w:val="14"/>
                <w:szCs w:val="14"/>
                <w:color w:val="auto"/>
                <w:w w:val="98"/>
              </w:rPr>
              <w:t>independent registered public accounting firm for the</w:t>
            </w: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80"/>
              <w:spacing w:after="0"/>
              <w:rPr>
                <w:sz w:val="20"/>
                <w:szCs w:val="20"/>
                <w:color w:val="auto"/>
              </w:rPr>
            </w:pPr>
            <w:r>
              <w:rPr>
                <w:rFonts w:ascii="Arial" w:cs="Arial" w:eastAsia="Arial" w:hAnsi="Arial"/>
                <w:sz w:val="14"/>
                <w:szCs w:val="14"/>
                <w:color w:val="auto"/>
              </w:rPr>
              <w:t>current fiscal year.</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99"/>
        <w:spacing w:after="0" w:line="234" w:lineRule="auto"/>
        <w:rPr>
          <w:sz w:val="20"/>
          <w:szCs w:val="20"/>
          <w:color w:val="auto"/>
        </w:rPr>
      </w:pPr>
      <w:r>
        <w:rPr>
          <w:rFonts w:ascii="Arial" w:cs="Arial" w:eastAsia="Arial" w:hAnsi="Arial"/>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1954530</wp:posOffset>
            </wp:positionV>
            <wp:extent cx="26327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601" w:lineRule="exact"/>
        <w:rPr>
          <w:sz w:val="20"/>
          <w:szCs w:val="20"/>
          <w:color w:val="auto"/>
        </w:rPr>
      </w:pPr>
    </w:p>
    <w:p>
      <w:pPr>
        <w:sectPr>
          <w:pgSz w:w="11900" w:h="16838" w:orient="portrait"/>
          <w:cols w:equalWidth="0" w:num="2">
            <w:col w:w="4500" w:space="180"/>
            <w:col w:w="5539"/>
          </w:cols>
          <w:pgMar w:left="240" w:top="419" w:right="1440"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860"/>
        <w:spacing w:after="0"/>
        <w:tabs>
          <w:tab w:leader="none" w:pos="4340" w:val="left"/>
          <w:tab w:leader="none" w:pos="5460" w:val="left"/>
          <w:tab w:leader="none" w:pos="898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317" w:lineRule="exact"/>
        <w:rPr>
          <w:sz w:val="20"/>
          <w:szCs w:val="20"/>
          <w:color w:val="auto"/>
        </w:rPr>
      </w:pPr>
    </w:p>
    <w:p>
      <w:pPr>
        <w:ind w:left="720" w:right="359"/>
        <w:spacing w:after="0" w:line="242" w:lineRule="auto"/>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Please sign exactly as your name or names appear on the Proxy. When shares are held jointly, each holder should sign. When signing as executor, administrator, attorney, trustee or guardian, please give full</w:t>
      </w:r>
      <w:r>
        <w:rPr>
          <w:rFonts w:ascii="Arial" w:cs="Arial" w:eastAsia="Arial" w:hAnsi="Arial"/>
          <w:sz w:val="11"/>
          <w:szCs w:val="11"/>
          <w:b w:val="1"/>
          <w:bCs w:val="1"/>
          <w:color w:val="auto"/>
        </w:rPr>
        <w:t xml:space="preserve"> </w:t>
      </w:r>
      <w:r>
        <w:rPr>
          <w:rFonts w:ascii="Arial" w:cs="Arial" w:eastAsia="Arial" w:hAnsi="Arial"/>
          <w:sz w:val="11"/>
          <w:szCs w:val="11"/>
          <w:color w:val="auto"/>
        </w:rPr>
        <w:t>title as such.</w:t>
      </w:r>
    </w:p>
    <w:p>
      <w:pPr>
        <w:ind w:left="720"/>
        <w:spacing w:after="0"/>
        <w:rPr>
          <w:sz w:val="20"/>
          <w:szCs w:val="20"/>
          <w:color w:val="auto"/>
        </w:rPr>
      </w:pPr>
      <w:r>
        <w:rPr>
          <w:rFonts w:ascii="Arial" w:cs="Arial" w:eastAsia="Arial" w:hAnsi="Arial"/>
          <w:sz w:val="11"/>
          <w:szCs w:val="11"/>
          <w:color w:val="auto"/>
        </w:rPr>
        <w:t>If the signer is a corporation, please sign full corporate name by duly authorized officer, giving full title as such. If signer is a partnership,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PROXY CARD</w:t>
      </w: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INTEGRA LIFESCIENCES HOLDINGS CORPORATION</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311 ENTERPRISE DRIVE</w:t>
      </w:r>
    </w:p>
    <w:p>
      <w:pPr>
        <w:jc w:val="center"/>
        <w:ind w:right="-180"/>
        <w:spacing w:after="0" w:line="230" w:lineRule="auto"/>
        <w:rPr>
          <w:sz w:val="20"/>
          <w:szCs w:val="20"/>
          <w:color w:val="auto"/>
        </w:rPr>
      </w:pPr>
      <w:r>
        <w:rPr>
          <w:rFonts w:ascii="Arial" w:cs="Arial" w:eastAsia="Arial" w:hAnsi="Arial"/>
          <w:sz w:val="22"/>
          <w:szCs w:val="22"/>
          <w:color w:val="auto"/>
        </w:rPr>
        <w:t>PLAINSBORO, NEW JERSEY 08536</w:t>
      </w:r>
    </w:p>
    <w:p>
      <w:pPr>
        <w:jc w:val="center"/>
        <w:ind w:right="-180"/>
        <w:spacing w:after="0" w:line="231" w:lineRule="auto"/>
        <w:rPr>
          <w:sz w:val="20"/>
          <w:szCs w:val="20"/>
          <w:color w:val="auto"/>
        </w:rPr>
      </w:pPr>
      <w:r>
        <w:rPr>
          <w:rFonts w:ascii="Arial" w:cs="Arial" w:eastAsia="Arial" w:hAnsi="Arial"/>
          <w:sz w:val="22"/>
          <w:szCs w:val="22"/>
          <w:color w:val="auto"/>
        </w:rPr>
        <w:t>PROXY – Annual Meeting of Stockholders – Thursday, May 17, 2007</w:t>
      </w:r>
    </w:p>
    <w:p>
      <w:pPr>
        <w:jc w:val="center"/>
        <w:ind w:right="-180"/>
        <w:spacing w:after="0"/>
        <w:rPr>
          <w:sz w:val="20"/>
          <w:szCs w:val="20"/>
          <w:color w:val="auto"/>
        </w:rPr>
      </w:pPr>
      <w:r>
        <w:rPr>
          <w:rFonts w:ascii="Arial" w:cs="Arial" w:eastAsia="Arial" w:hAnsi="Arial"/>
          <w:sz w:val="22"/>
          <w:szCs w:val="22"/>
          <w:color w:val="auto"/>
        </w:rPr>
        <w:t>THIS PROXY IS SOLICITED ON BEHALF OF THE BOARD OF DIRECTORS</w:t>
      </w:r>
    </w:p>
    <w:p>
      <w:pPr>
        <w:spacing w:after="0" w:line="193" w:lineRule="exact"/>
        <w:rPr>
          <w:sz w:val="20"/>
          <w:szCs w:val="20"/>
          <w:color w:val="auto"/>
        </w:rPr>
      </w:pPr>
    </w:p>
    <w:p>
      <w:pPr>
        <w:jc w:val="both"/>
        <w:ind w:left="340" w:right="159" w:firstLine="379"/>
        <w:spacing w:after="0" w:line="244" w:lineRule="auto"/>
        <w:rPr>
          <w:sz w:val="20"/>
          <w:szCs w:val="20"/>
          <w:color w:val="auto"/>
        </w:rPr>
      </w:pPr>
      <w:r>
        <w:rPr>
          <w:rFonts w:ascii="Arial" w:cs="Arial" w:eastAsia="Arial" w:hAnsi="Arial"/>
          <w:sz w:val="20"/>
          <w:szCs w:val="20"/>
          <w:color w:val="auto"/>
        </w:rPr>
        <w:t>The undersigned hereby appoints Stuart M. Essig and John B. Henneman, III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30, 2007 at the Annual Meeting of Stockholders to be held on Thursday, May 17, 2007 or at any adjournment or postponement thereof.</w:t>
      </w:r>
    </w:p>
    <w:p>
      <w:pPr>
        <w:spacing w:after="0" w:line="195" w:lineRule="exact"/>
        <w:rPr>
          <w:sz w:val="20"/>
          <w:szCs w:val="20"/>
          <w:color w:val="auto"/>
        </w:rPr>
      </w:pPr>
    </w:p>
    <w:p>
      <w:pPr>
        <w:jc w:val="both"/>
        <w:ind w:left="340" w:right="159" w:firstLine="311"/>
        <w:spacing w:after="0" w:line="260" w:lineRule="auto"/>
        <w:rPr>
          <w:sz w:val="20"/>
          <w:szCs w:val="20"/>
          <w:color w:val="auto"/>
        </w:rPr>
      </w:pPr>
      <w:r>
        <w:rPr>
          <w:rFonts w:ascii="Arial" w:cs="Arial" w:eastAsia="Arial" w:hAnsi="Arial"/>
          <w:sz w:val="19"/>
          <w:szCs w:val="19"/>
          <w:color w:val="auto"/>
        </w:rPr>
        <w:t>THIS PROXY WHEN PROPERLY EXECUTED WILL BE VOTED IN THE MANNER DIRECTED HEREIN BY THE UNDERSIGNED STOCKHOLDER. IF NO DIRECTION IS MADE, THIS PROXY WILL BE VOTED IN FAVOR OF PROPOSAL 2, FOR ALL NOMINEES LISTED FOR ELECTION OF DIRECTORS UNDER PROPOSAL 1; AND IN ACCORDANCE WITH THE PROXIES’ JUDGMENT UPON OTHER MATTERS PROPERLY COMING BEFORE THE MEETING AND ANY ADJOURNMENT OR POSTPONEMENT THEREOF.</w:t>
      </w:r>
    </w:p>
    <w:p>
      <w:pPr>
        <w:spacing w:after="0" w:line="28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(Continued and to be signed on the reverse side)</w:t>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o"/>
      <w:numFmt w:val="bullet"/>
      <w:start w:val="1"/>
    </w:lvl>
    <w:lvl w:ilvl="1">
      <w:lvlJc w:val="left"/>
      <w:lvlText w:val="(%2)"/>
      <w:numFmt w:val="decimal"/>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emdash "/>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Roman"/>
      <w:start w:val="5"/>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4"/>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2019-12-14T02:26:38Z</dcterms:created>
  <dcterms:modified xsi:type="dcterms:W3CDTF">2019-12-14T02:26:38Z</dcterms:modified>
</cp:coreProperties>
</file>