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38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March 31, 2017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136" w:lineRule="exact"/>
        <w:rPr>
          <w:sz w:val="24"/>
          <w:szCs w:val="24"/>
          <w:color w:val="auto"/>
        </w:rPr>
      </w:pPr>
    </w:p>
    <w:p>
      <w:pPr>
        <w:ind w:left="720" w:right="180" w:hanging="685"/>
        <w:spacing w:after="0" w:line="256" w:lineRule="auto"/>
        <w:tabs>
          <w:tab w:leader="none" w:pos="72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7" w:lineRule="exact"/>
        <w:rPr>
          <w:sz w:val="24"/>
          <w:szCs w:val="24"/>
          <w:color w:val="auto"/>
        </w:rPr>
      </w:pPr>
    </w:p>
    <w:p>
      <w:pPr>
        <w:ind w:left="4020"/>
        <w:spacing w:after="0"/>
        <w:tabs>
          <w:tab w:leader="none" w:pos="66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0-26224</w:t>
      </w:r>
    </w:p>
    <w:p>
      <w:pPr>
        <w:spacing w:after="0" w:line="292"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INTEGRA LIFESCIENCES HOLDINGS CORPORATION</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361" w:lineRule="exact"/>
        <w:rPr>
          <w:sz w:val="24"/>
          <w:szCs w:val="24"/>
          <w:color w:val="auto"/>
        </w:rPr>
      </w:pPr>
    </w:p>
    <w:tbl>
      <w:tblPr>
        <w:tblLayout w:type="fixed"/>
        <w:tblInd w:w="1120" w:type="dxa"/>
        <w:tblCellMar>
          <w:top w:w="0" w:type="dxa"/>
          <w:left w:w="0" w:type="dxa"/>
          <w:bottom w:w="0" w:type="dxa"/>
          <w:right w:w="0" w:type="dxa"/>
        </w:tblCellMar>
      </w:tblP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8"/>
              </w:rPr>
              <w:t>DELAWARE</w:t>
            </w:r>
          </w:p>
        </w:tc>
        <w:tc>
          <w:tcPr>
            <w:tcW w:w="3260" w:type="dxa"/>
            <w:vAlign w:val="bottom"/>
          </w:tcPr>
          <w:p>
            <w:pPr>
              <w:jc w:val="right"/>
              <w:ind w:right="261"/>
              <w:spacing w:after="0"/>
              <w:rPr>
                <w:sz w:val="20"/>
                <w:szCs w:val="20"/>
                <w:color w:val="auto"/>
              </w:rPr>
            </w:pPr>
            <w:r>
              <w:rPr>
                <w:rFonts w:ascii="Arial" w:cs="Arial" w:eastAsia="Arial" w:hAnsi="Arial"/>
                <w:sz w:val="18"/>
                <w:szCs w:val="18"/>
                <w:b w:val="1"/>
                <w:bCs w:val="1"/>
                <w:color w:val="auto"/>
              </w:rPr>
              <w:t>51-0317849</w:t>
            </w:r>
          </w:p>
        </w:tc>
      </w:tr>
      <w:tr>
        <w:trPr>
          <w:trHeight w:val="180"/>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(STATE OR OTHER JURISDICTION OF</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(I.R.S. EMPLOYER</w:t>
            </w:r>
          </w:p>
        </w:tc>
      </w:tr>
      <w:tr>
        <w:trPr>
          <w:trHeight w:val="186"/>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INCORPORATION OR ORGANIZATION)</w:t>
            </w:r>
          </w:p>
        </w:tc>
        <w:tc>
          <w:tcPr>
            <w:tcW w:w="3260" w:type="dxa"/>
            <w:vAlign w:val="bottom"/>
          </w:tcPr>
          <w:p>
            <w:pPr>
              <w:jc w:val="center"/>
              <w:ind w:left="1621"/>
              <w:spacing w:after="0"/>
              <w:rPr>
                <w:sz w:val="20"/>
                <w:szCs w:val="20"/>
                <w:color w:val="auto"/>
              </w:rPr>
            </w:pPr>
            <w:r>
              <w:rPr>
                <w:rFonts w:ascii="Arial" w:cs="Arial" w:eastAsia="Arial" w:hAnsi="Arial"/>
                <w:sz w:val="14"/>
                <w:szCs w:val="14"/>
                <w:b w:val="1"/>
                <w:bCs w:val="1"/>
                <w:color w:val="auto"/>
              </w:rPr>
              <w:t>IDENTIFICATION NO.)</w:t>
            </w:r>
          </w:p>
        </w:tc>
      </w:tr>
      <w:tr>
        <w:trPr>
          <w:trHeight w:val="561"/>
        </w:trPr>
        <w:tc>
          <w:tcPr>
            <w:tcW w:w="5080" w:type="dxa"/>
            <w:vAlign w:val="bottom"/>
          </w:tcPr>
          <w:p>
            <w:pPr>
              <w:jc w:val="center"/>
              <w:ind w:right="1599"/>
              <w:spacing w:after="0"/>
              <w:rPr>
                <w:sz w:val="20"/>
                <w:szCs w:val="20"/>
                <w:color w:val="auto"/>
              </w:rPr>
            </w:pPr>
            <w:r>
              <w:rPr>
                <w:rFonts w:ascii="Arial" w:cs="Arial" w:eastAsia="Arial" w:hAnsi="Arial"/>
                <w:sz w:val="18"/>
                <w:szCs w:val="18"/>
                <w:b w:val="1"/>
                <w:bCs w:val="1"/>
                <w:color w:val="auto"/>
                <w:w w:val="98"/>
              </w:rPr>
              <w:t>311 ENTERPRISE DRIVE</w:t>
            </w:r>
          </w:p>
        </w:tc>
        <w:tc>
          <w:tcPr>
            <w:tcW w:w="3260" w:type="dxa"/>
            <w:vAlign w:val="bottom"/>
          </w:tcPr>
          <w:p>
            <w:pPr>
              <w:spacing w:after="0"/>
              <w:rPr>
                <w:sz w:val="24"/>
                <w:szCs w:val="24"/>
                <w:color w:val="auto"/>
              </w:rPr>
            </w:pPr>
          </w:p>
        </w:tc>
      </w:tr>
      <w:tr>
        <w:trPr>
          <w:trHeight w:val="234"/>
        </w:trPr>
        <w:tc>
          <w:tcPr>
            <w:tcW w:w="5080" w:type="dxa"/>
            <w:vAlign w:val="bottom"/>
          </w:tcPr>
          <w:p>
            <w:pPr>
              <w:jc w:val="center"/>
              <w:ind w:right="1619"/>
              <w:spacing w:after="0"/>
              <w:rPr>
                <w:sz w:val="20"/>
                <w:szCs w:val="20"/>
                <w:color w:val="auto"/>
              </w:rPr>
            </w:pPr>
            <w:r>
              <w:rPr>
                <w:rFonts w:ascii="Arial" w:cs="Arial" w:eastAsia="Arial" w:hAnsi="Arial"/>
                <w:sz w:val="18"/>
                <w:szCs w:val="18"/>
                <w:b w:val="1"/>
                <w:bCs w:val="1"/>
                <w:color w:val="auto"/>
                <w:w w:val="99"/>
              </w:rPr>
              <w:t>PLAINSBORO, NEW JERSEY</w:t>
            </w:r>
          </w:p>
        </w:tc>
        <w:tc>
          <w:tcPr>
            <w:tcW w:w="3260" w:type="dxa"/>
            <w:vAlign w:val="bottom"/>
          </w:tcPr>
          <w:p>
            <w:pPr>
              <w:jc w:val="right"/>
              <w:ind w:right="461"/>
              <w:spacing w:after="0"/>
              <w:rPr>
                <w:sz w:val="20"/>
                <w:szCs w:val="20"/>
                <w:color w:val="auto"/>
              </w:rPr>
            </w:pPr>
            <w:r>
              <w:rPr>
                <w:rFonts w:ascii="Arial" w:cs="Arial" w:eastAsia="Arial" w:hAnsi="Arial"/>
                <w:sz w:val="18"/>
                <w:szCs w:val="18"/>
                <w:b w:val="1"/>
                <w:bCs w:val="1"/>
                <w:color w:val="auto"/>
              </w:rPr>
              <w:t>08536</w:t>
            </w:r>
          </w:p>
        </w:tc>
      </w:tr>
      <w:tr>
        <w:trPr>
          <w:trHeight w:val="218"/>
        </w:trPr>
        <w:tc>
          <w:tcPr>
            <w:tcW w:w="5080" w:type="dxa"/>
            <w:vAlign w:val="bottom"/>
          </w:tcPr>
          <w:p>
            <w:pPr>
              <w:jc w:val="center"/>
              <w:ind w:right="1619"/>
              <w:spacing w:after="0"/>
              <w:rPr>
                <w:sz w:val="20"/>
                <w:szCs w:val="20"/>
                <w:color w:val="auto"/>
              </w:rPr>
            </w:pPr>
            <w:r>
              <w:rPr>
                <w:rFonts w:ascii="Arial" w:cs="Arial" w:eastAsia="Arial" w:hAnsi="Arial"/>
                <w:sz w:val="14"/>
                <w:szCs w:val="14"/>
                <w:b w:val="1"/>
                <w:bCs w:val="1"/>
                <w:color w:val="auto"/>
              </w:rPr>
              <w:t>(ADDRESS OF PRINCIPAL EXECUTIVE OFFICES)</w:t>
            </w:r>
          </w:p>
        </w:tc>
        <w:tc>
          <w:tcPr>
            <w:tcW w:w="3260" w:type="dxa"/>
            <w:vAlign w:val="bottom"/>
          </w:tcPr>
          <w:p>
            <w:pPr>
              <w:jc w:val="center"/>
              <w:ind w:left="1641"/>
              <w:spacing w:after="0"/>
              <w:rPr>
                <w:sz w:val="20"/>
                <w:szCs w:val="20"/>
                <w:color w:val="auto"/>
              </w:rPr>
            </w:pPr>
            <w:r>
              <w:rPr>
                <w:rFonts w:ascii="Arial" w:cs="Arial" w:eastAsia="Arial" w:hAnsi="Arial"/>
                <w:sz w:val="14"/>
                <w:szCs w:val="14"/>
                <w:b w:val="1"/>
                <w:bCs w:val="1"/>
                <w:color w:val="auto"/>
              </w:rPr>
              <w:t>(ZIP CODE)</w:t>
            </w:r>
          </w:p>
        </w:tc>
      </w:tr>
    </w:tbl>
    <w:p>
      <w:pPr>
        <w:spacing w:after="0" w:line="16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REGISTRANT’S TELEPHONE NUMBER, INCLUDING AREA CODE: (609) 275-0500</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42" w:lineRule="exact"/>
        <w:rPr>
          <w:sz w:val="24"/>
          <w:szCs w:val="24"/>
          <w:color w:val="auto"/>
        </w:rPr>
      </w:pPr>
    </w:p>
    <w:p>
      <w:pPr>
        <w:spacing w:after="0"/>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w:t>
      </w:r>
    </w:p>
    <w:p>
      <w:pPr>
        <w:spacing w:after="0" w:line="5" w:lineRule="exact"/>
        <w:rPr>
          <w:sz w:val="24"/>
          <w:szCs w:val="24"/>
          <w:color w:val="auto"/>
        </w:rPr>
      </w:pPr>
    </w:p>
    <w:p>
      <w:pPr>
        <w:spacing w:after="0"/>
        <w:tabs>
          <w:tab w:leader="none" w:pos="680" w:val="left"/>
          <w:tab w:leader="none" w:pos="1240" w:val="left"/>
        </w:tabs>
        <w:rPr>
          <w:sz w:val="20"/>
          <w:szCs w:val="20"/>
          <w:color w:val="auto"/>
        </w:rPr>
      </w:pPr>
      <w:r>
        <w:rPr>
          <w:rFonts w:ascii="Arial" w:cs="Arial" w:eastAsia="Arial" w:hAnsi="Arial"/>
          <w:sz w:val="16"/>
          <w:szCs w:val="16"/>
          <w:color w:val="auto"/>
        </w:rPr>
        <w:t>90 days.</w:t>
        <w:tab/>
        <w:t>Yes x</w:t>
        <w:tab/>
        <w:t>No o</w:t>
      </w:r>
    </w:p>
    <w:p>
      <w:pPr>
        <w:spacing w:after="0" w:line="153"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129" w:lineRule="exact"/>
        <w:rPr>
          <w:sz w:val="24"/>
          <w:szCs w:val="24"/>
          <w:color w:val="auto"/>
        </w:rPr>
      </w:pPr>
    </w:p>
    <w:p>
      <w:pPr>
        <w:jc w:val="both"/>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206"/>
        </w:trPr>
        <w:tc>
          <w:tcPr>
            <w:tcW w:w="1780" w:type="dxa"/>
            <w:vAlign w:val="bottom"/>
          </w:tcPr>
          <w:p>
            <w:pPr>
              <w:ind w:left="40"/>
              <w:spacing w:after="0"/>
              <w:rPr>
                <w:sz w:val="20"/>
                <w:szCs w:val="20"/>
                <w:color w:val="auto"/>
              </w:rPr>
            </w:pPr>
            <w:r>
              <w:rPr>
                <w:rFonts w:ascii="Arial" w:cs="Arial" w:eastAsia="Arial" w:hAnsi="Arial"/>
                <w:sz w:val="16"/>
                <w:szCs w:val="16"/>
                <w:color w:val="auto"/>
              </w:rPr>
              <w:t>Large 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x</w:t>
            </w:r>
          </w:p>
        </w:tc>
        <w:tc>
          <w:tcPr>
            <w:tcW w:w="5820" w:type="dxa"/>
            <w:vAlign w:val="bottom"/>
          </w:tcPr>
          <w:p>
            <w:pPr>
              <w:spacing w:after="0"/>
              <w:rPr>
                <w:sz w:val="17"/>
                <w:szCs w:val="17"/>
                <w:color w:val="auto"/>
              </w:rPr>
            </w:pPr>
          </w:p>
        </w:tc>
        <w:tc>
          <w:tcPr>
            <w:tcW w:w="2260" w:type="dxa"/>
            <w:vAlign w:val="bottom"/>
          </w:tcPr>
          <w:p>
            <w:pPr>
              <w:ind w:left="100"/>
              <w:spacing w:after="0"/>
              <w:rPr>
                <w:sz w:val="20"/>
                <w:szCs w:val="20"/>
                <w:color w:val="auto"/>
              </w:rPr>
            </w:pPr>
            <w:r>
              <w:rPr>
                <w:rFonts w:ascii="Arial" w:cs="Arial" w:eastAsia="Arial" w:hAnsi="Arial"/>
                <w:sz w:val="16"/>
                <w:szCs w:val="16"/>
                <w:color w:val="auto"/>
              </w:rPr>
              <w:t>Accelerated filer</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46"/>
        </w:trPr>
        <w:tc>
          <w:tcPr>
            <w:tcW w:w="1780" w:type="dxa"/>
            <w:vAlign w:val="bottom"/>
          </w:tcPr>
          <w:p>
            <w:pPr>
              <w:ind w:left="40"/>
              <w:spacing w:after="0"/>
              <w:rPr>
                <w:sz w:val="20"/>
                <w:szCs w:val="20"/>
                <w:color w:val="auto"/>
              </w:rPr>
            </w:pPr>
            <w:r>
              <w:rPr>
                <w:rFonts w:ascii="Arial" w:cs="Arial" w:eastAsia="Arial" w:hAnsi="Arial"/>
                <w:sz w:val="16"/>
                <w:szCs w:val="16"/>
                <w:color w:val="auto"/>
              </w:rPr>
              <w:t>Non-accelerated filer</w:t>
            </w:r>
          </w:p>
        </w:tc>
        <w:tc>
          <w:tcPr>
            <w:tcW w:w="400" w:type="dxa"/>
            <w:vAlign w:val="bottom"/>
          </w:tcPr>
          <w:p>
            <w:pPr>
              <w:ind w:left="280"/>
              <w:spacing w:after="0"/>
              <w:rPr>
                <w:sz w:val="20"/>
                <w:szCs w:val="20"/>
                <w:color w:val="auto"/>
              </w:rPr>
            </w:pPr>
            <w:r>
              <w:rPr>
                <w:rFonts w:ascii="Arial" w:cs="Arial" w:eastAsia="Arial" w:hAnsi="Arial"/>
                <w:sz w:val="16"/>
                <w:szCs w:val="16"/>
                <w:color w:val="auto"/>
              </w:rPr>
              <w:t>o</w:t>
            </w:r>
          </w:p>
        </w:tc>
        <w:tc>
          <w:tcPr>
            <w:tcW w:w="5820" w:type="dxa"/>
            <w:vAlign w:val="bottom"/>
          </w:tcPr>
          <w:p>
            <w:pPr>
              <w:ind w:left="40"/>
              <w:spacing w:after="0"/>
              <w:rPr>
                <w:sz w:val="20"/>
                <w:szCs w:val="20"/>
                <w:color w:val="auto"/>
              </w:rPr>
            </w:pPr>
            <w:r>
              <w:rPr>
                <w:rFonts w:ascii="Arial" w:cs="Arial" w:eastAsia="Arial" w:hAnsi="Arial"/>
                <w:sz w:val="16"/>
                <w:szCs w:val="16"/>
                <w:color w:val="auto"/>
              </w:rPr>
              <w:t>(Do not check if a smaller reporting company)</w:t>
            </w:r>
          </w:p>
        </w:tc>
        <w:tc>
          <w:tcPr>
            <w:tcW w:w="2260" w:type="dxa"/>
            <w:vAlign w:val="bottom"/>
          </w:tcPr>
          <w:p>
            <w:pPr>
              <w:ind w:left="100"/>
              <w:spacing w:after="0"/>
              <w:rPr>
                <w:sz w:val="20"/>
                <w:szCs w:val="20"/>
                <w:color w:val="auto"/>
              </w:rPr>
            </w:pPr>
            <w:r>
              <w:rPr>
                <w:rFonts w:ascii="Arial" w:cs="Arial" w:eastAsia="Arial" w:hAnsi="Arial"/>
                <w:sz w:val="16"/>
                <w:szCs w:val="16"/>
                <w:color w:val="auto"/>
              </w:rPr>
              <w:t>Smaller reporting company</w:t>
            </w:r>
          </w:p>
        </w:tc>
        <w:tc>
          <w:tcPr>
            <w:tcW w:w="480" w:type="dxa"/>
            <w:vAlign w:val="bottom"/>
          </w:tcPr>
          <w:p>
            <w:pPr>
              <w:ind w:left="400"/>
              <w:spacing w:after="0"/>
              <w:rPr>
                <w:sz w:val="20"/>
                <w:szCs w:val="20"/>
                <w:color w:val="auto"/>
              </w:rPr>
            </w:pPr>
            <w:r>
              <w:rPr>
                <w:rFonts w:ascii="Arial" w:cs="Arial" w:eastAsia="Arial" w:hAnsi="Arial"/>
                <w:sz w:val="15"/>
                <w:szCs w:val="15"/>
                <w:color w:val="auto"/>
                <w:w w:val="71"/>
              </w:rPr>
              <w:t>o</w:t>
            </w:r>
          </w:p>
        </w:tc>
      </w:tr>
      <w:tr>
        <w:trPr>
          <w:trHeight w:val="410"/>
        </w:trPr>
        <w:tc>
          <w:tcPr>
            <w:tcW w:w="8000" w:type="dxa"/>
            <w:vAlign w:val="bottom"/>
            <w:gridSpan w:val="3"/>
          </w:tcPr>
          <w:p>
            <w:pPr>
              <w:spacing w:after="0"/>
              <w:rPr>
                <w:sz w:val="20"/>
                <w:szCs w:val="20"/>
                <w:color w:val="auto"/>
              </w:rPr>
            </w:pPr>
            <w:r>
              <w:rPr>
                <w:rFonts w:ascii="Arial" w:cs="Arial" w:eastAsia="Arial" w:hAnsi="Arial"/>
                <w:sz w:val="16"/>
                <w:szCs w:val="16"/>
                <w:color w:val="auto"/>
                <w:w w:val="93"/>
              </w:rPr>
              <w:t>Indicate by check mark whether the registrant is a shell company (as defined in Rule 12b-2 of the Exchange Act).  Yes o</w:t>
            </w:r>
          </w:p>
        </w:tc>
        <w:tc>
          <w:tcPr>
            <w:tcW w:w="2260" w:type="dxa"/>
            <w:vAlign w:val="bottom"/>
          </w:tcPr>
          <w:p>
            <w:pPr>
              <w:ind w:left="8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c>
          <w:tcPr>
            <w:tcW w:w="480" w:type="dxa"/>
            <w:vAlign w:val="bottom"/>
          </w:tcPr>
          <w:p>
            <w:pPr>
              <w:spacing w:after="0"/>
              <w:rPr>
                <w:sz w:val="24"/>
                <w:szCs w:val="24"/>
                <w:color w:val="auto"/>
              </w:rPr>
            </w:pPr>
          </w:p>
        </w:tc>
      </w:tr>
    </w:tbl>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The number of shares of the registrant’s Common Stock, $0.01 par value, outstanding as of April 24, 2017 was 75,620,857.</w:t>
      </w:r>
    </w:p>
    <w:p>
      <w:pPr>
        <w:sectPr>
          <w:pgSz w:w="11900" w:h="16838" w:orient="portrait"/>
          <w:cols w:equalWidth="0" w:num="1">
            <w:col w:w="11420"/>
          </w:cols>
          <w:pgMar w:left="240" w:top="269" w:right="2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83"/>
              </w:rPr>
              <w:t>Page</w:t>
            </w: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40" w:type="dxa"/>
            <w:vAlign w:val="bottom"/>
            <w:gridSpan w:val="4"/>
          </w:tcPr>
          <w:p>
            <w:pPr>
              <w:jc w:val="center"/>
              <w:spacing w:after="0"/>
              <w:rPr>
                <w:sz w:val="20"/>
                <w:szCs w:val="20"/>
                <w:color w:val="auto"/>
              </w:rPr>
            </w:pPr>
            <w:r>
              <w:rPr>
                <w:rFonts w:ascii="Arial" w:cs="Arial" w:eastAsia="Arial" w:hAnsi="Arial"/>
                <w:sz w:val="16"/>
                <w:szCs w:val="16"/>
                <w:b w:val="1"/>
                <w:bCs w:val="1"/>
                <w:color w:val="auto"/>
                <w:w w:val="92"/>
              </w:rPr>
              <w:t>Number</w:t>
            </w:r>
          </w:p>
        </w:tc>
        <w:tc>
          <w:tcPr>
            <w:tcW w:w="0" w:type="dxa"/>
            <w:vAlign w:val="bottom"/>
          </w:tcPr>
          <w:p>
            <w:pPr>
              <w:spacing w:after="0"/>
              <w:rPr>
                <w:sz w:val="1"/>
                <w:szCs w:val="1"/>
                <w:color w:val="auto"/>
              </w:rPr>
            </w:pPr>
          </w:p>
        </w:tc>
      </w:tr>
      <w:tr>
        <w:trPr>
          <w:trHeight w:val="33"/>
        </w:trPr>
        <w:tc>
          <w:tcPr>
            <w:tcW w:w="10140" w:type="dxa"/>
            <w:vAlign w:val="bottom"/>
            <w:gridSpan w:val="14"/>
            <w:vMerge w:val="restart"/>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PART I. FINANCIAL INFORMATION</w:t>
              </w:r>
            </w:hyperlink>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0140" w:type="dxa"/>
            <w:vAlign w:val="bottom"/>
            <w:gridSpan w:val="14"/>
            <w:vMerge w:val="continue"/>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2580" w:type="dxa"/>
            <w:vAlign w:val="bottom"/>
            <w:tcBorders>
              <w:top w:val="single" w:sz="8" w:color="0000FF"/>
            </w:tcBorders>
            <w:gridSpan w:val="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7560" w:type="dxa"/>
            <w:vAlign w:val="bottom"/>
            <w:gridSpan w:val="7"/>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sz w:val="20"/>
                <w:szCs w:val="20"/>
                <w:color w:val="auto"/>
              </w:rPr>
            </w:pPr>
            <w:r>
              <w:rPr>
                <w:rFonts w:ascii="Arial" w:cs="Arial" w:eastAsia="Arial" w:hAnsi="Arial"/>
                <w:sz w:val="16"/>
                <w:szCs w:val="16"/>
                <w:color w:val="0000FF"/>
                <w:w w:val="97"/>
              </w:rPr>
              <w:t>Condensed Consolidated Statements of Operations and Comprehensive Income for the three months ended March 31, 2017 and 2016 (Unaudited)</w:t>
            </w:r>
          </w:p>
        </w:tc>
        <w:tc>
          <w:tcPr>
            <w:tcW w:w="1240" w:type="dxa"/>
            <w:vAlign w:val="bottom"/>
            <w:gridSpan w:val="4"/>
          </w:tcPr>
          <w:p>
            <w:pPr>
              <w:jc w:val="right"/>
              <w:ind w:right="20"/>
              <w:spacing w:after="0"/>
              <w:rPr>
                <w:rFonts w:ascii="Arial" w:cs="Arial" w:eastAsia="Arial" w:hAnsi="Arial"/>
                <w:sz w:val="16"/>
                <w:szCs w:val="16"/>
                <w:color w:val="0000FF"/>
              </w:rPr>
            </w:pPr>
            <w:hyperlink w:anchor="page3">
              <w:r>
                <w:rPr>
                  <w:rFonts w:ascii="Arial" w:cs="Arial" w:eastAsia="Arial" w:hAnsi="Arial"/>
                  <w:sz w:val="16"/>
                  <w:szCs w:val="16"/>
                  <w:color w:val="0000FF"/>
                </w:rPr>
                <w:t>3</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480" w:type="dxa"/>
            <w:vAlign w:val="bottom"/>
            <w:gridSpan w:val="11"/>
          </w:tcPr>
          <w:p>
            <w:pPr>
              <w:spacing w:after="0"/>
              <w:rPr>
                <w:sz w:val="20"/>
                <w:szCs w:val="20"/>
                <w:color w:val="auto"/>
              </w:rPr>
            </w:pPr>
            <w:r>
              <w:rPr>
                <w:rFonts w:ascii="Arial" w:cs="Arial" w:eastAsia="Arial" w:hAnsi="Arial"/>
                <w:sz w:val="16"/>
                <w:szCs w:val="16"/>
                <w:color w:val="0000FF"/>
                <w:w w:val="90"/>
              </w:rPr>
              <w:t>Condensed Consolidated Balance Sheets as of March 31, 2017 and December 31, 2016 (Unaudited)</w:t>
            </w:r>
          </w:p>
        </w:tc>
        <w:tc>
          <w:tcPr>
            <w:tcW w:w="2980" w:type="dxa"/>
            <w:vAlign w:val="bottom"/>
            <w:gridSpan w:val="2"/>
          </w:tcPr>
          <w:p>
            <w:pPr>
              <w:spacing w:after="0"/>
              <w:rPr>
                <w:sz w:val="24"/>
                <w:szCs w:val="24"/>
                <w:color w:val="auto"/>
              </w:rPr>
            </w:pPr>
          </w:p>
        </w:tc>
        <w:tc>
          <w:tcPr>
            <w:tcW w:w="680" w:type="dxa"/>
            <w:vAlign w:val="bottom"/>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4">
              <w:r>
                <w:rPr>
                  <w:rFonts w:ascii="Arial" w:cs="Arial" w:eastAsia="Arial" w:hAnsi="Arial"/>
                  <w:sz w:val="16"/>
                  <w:szCs w:val="16"/>
                  <w:color w:val="0000FF"/>
                </w:rPr>
                <w:t>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2"/>
          </w:tcPr>
          <w:p>
            <w:pPr>
              <w:spacing w:after="0"/>
              <w:rPr>
                <w:sz w:val="20"/>
                <w:szCs w:val="20"/>
                <w:color w:val="auto"/>
              </w:rPr>
            </w:pPr>
            <w:r>
              <w:rPr>
                <w:rFonts w:ascii="Arial" w:cs="Arial" w:eastAsia="Arial" w:hAnsi="Arial"/>
                <w:sz w:val="16"/>
                <w:szCs w:val="16"/>
                <w:color w:val="0000FF"/>
                <w:w w:val="90"/>
              </w:rPr>
              <w:t>Condensed Consolidated Statements of Cash Flows for the three months ended March 31, 2017 and 2016 (Unaudited)</w:t>
            </w:r>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660" w:type="dxa"/>
            <w:vAlign w:val="bottom"/>
            <w:gridSpan w:val="12"/>
          </w:tcPr>
          <w:p>
            <w:pPr>
              <w:spacing w:after="0"/>
              <w:rPr>
                <w:rFonts w:ascii="Arial" w:cs="Arial" w:eastAsia="Arial" w:hAnsi="Arial"/>
                <w:sz w:val="16"/>
                <w:szCs w:val="16"/>
                <w:color w:val="0000FF"/>
              </w:rPr>
            </w:pPr>
            <w:hyperlink w:anchor="page6">
              <w:r>
                <w:rPr>
                  <w:rFonts w:ascii="Arial" w:cs="Arial" w:eastAsia="Arial" w:hAnsi="Arial"/>
                  <w:sz w:val="16"/>
                  <w:szCs w:val="16"/>
                  <w:color w:val="0000FF"/>
                </w:rPr>
                <w:t>Notes to Unaudited Condensed Consolidated Financial Statements</w:t>
              </w:r>
            </w:hyperlink>
          </w:p>
        </w:tc>
        <w:tc>
          <w:tcPr>
            <w:tcW w:w="2480" w:type="dxa"/>
            <w:vAlign w:val="bottom"/>
            <w:gridSpan w:val="2"/>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6">
              <w:r>
                <w:rPr>
                  <w:rFonts w:ascii="Arial" w:cs="Arial" w:eastAsia="Arial" w:hAnsi="Arial"/>
                  <w:sz w:val="16"/>
                  <w:szCs w:val="16"/>
                  <w:color w:val="0000FF"/>
                </w:rPr>
                <w:t>6</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9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820" w:type="dxa"/>
            <w:vAlign w:val="bottom"/>
            <w:gridSpan w:val="4"/>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6320" w:type="dxa"/>
            <w:vAlign w:val="bottom"/>
            <w:gridSpan w:val="10"/>
          </w:tcPr>
          <w:p>
            <w:pPr>
              <w:spacing w:after="0"/>
              <w:rPr>
                <w:rFonts w:ascii="Arial" w:cs="Arial" w:eastAsia="Arial" w:hAnsi="Arial"/>
                <w:sz w:val="16"/>
                <w:szCs w:val="16"/>
                <w:color w:val="0000FF"/>
                <w:w w:val="92"/>
              </w:rPr>
            </w:pPr>
            <w:hyperlink w:anchor="page22">
              <w:r>
                <w:rPr>
                  <w:rFonts w:ascii="Arial" w:cs="Arial" w:eastAsia="Arial" w:hAnsi="Arial"/>
                  <w:sz w:val="16"/>
                  <w:szCs w:val="16"/>
                  <w:color w:val="0000FF"/>
                  <w:w w:val="92"/>
                </w:rPr>
                <w:t>Item 2. Management’s Discussion and Analysis of Financial Condition and Results of Operations</w:t>
              </w:r>
            </w:hyperlink>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22">
              <w:r>
                <w:rPr>
                  <w:rFonts w:ascii="Arial" w:cs="Arial" w:eastAsia="Arial" w:hAnsi="Arial"/>
                  <w:sz w:val="16"/>
                  <w:szCs w:val="16"/>
                  <w:color w:val="0000FF"/>
                </w:rPr>
                <w:t>22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w w:val="92"/>
              </w:rPr>
            </w:pPr>
            <w:hyperlink w:anchor="page31">
              <w:r>
                <w:rPr>
                  <w:rFonts w:ascii="Arial" w:cs="Arial" w:eastAsia="Arial" w:hAnsi="Arial"/>
                  <w:sz w:val="16"/>
                  <w:szCs w:val="16"/>
                  <w:color w:val="0000FF"/>
                  <w:w w:val="92"/>
                </w:rPr>
                <w:t>Item 3. Quantitative and Qualitative Disclosures About Market Risk</w:t>
              </w:r>
            </w:hyperlink>
          </w:p>
        </w:tc>
        <w:tc>
          <w:tcPr>
            <w:tcW w:w="1920" w:type="dxa"/>
            <w:vAlign w:val="bottom"/>
          </w:tcPr>
          <w:p>
            <w:pPr>
              <w:spacing w:after="0"/>
              <w:rPr>
                <w:sz w:val="24"/>
                <w:szCs w:val="24"/>
                <w:color w:val="auto"/>
              </w:rPr>
            </w:pPr>
          </w:p>
        </w:tc>
        <w:tc>
          <w:tcPr>
            <w:tcW w:w="3820" w:type="dxa"/>
            <w:vAlign w:val="bottom"/>
            <w:gridSpan w:val="4"/>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1">
              <w:r>
                <w:rPr>
                  <w:rFonts w:ascii="Arial" w:cs="Arial" w:eastAsia="Arial" w:hAnsi="Arial"/>
                  <w:sz w:val="16"/>
                  <w:szCs w:val="16"/>
                  <w:color w:val="0000FF"/>
                </w:rPr>
                <w:t>31</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5740" w:type="dxa"/>
            <w:vAlign w:val="bottom"/>
            <w:tcBorders>
              <w:left w:val="single" w:sz="8" w:color="0000FF"/>
            </w:tcBorders>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rPr>
            </w:pPr>
            <w:hyperlink w:anchor="page32">
              <w:r>
                <w:rPr>
                  <w:rFonts w:ascii="Arial" w:cs="Arial" w:eastAsia="Arial" w:hAnsi="Arial"/>
                  <w:sz w:val="16"/>
                  <w:szCs w:val="16"/>
                  <w:color w:val="0000FF"/>
                </w:rPr>
                <w:t>Item 4. Controls and Procedures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320" w:type="dxa"/>
            <w:vAlign w:val="bottom"/>
            <w:tcBorders>
              <w:bottom w:val="single" w:sz="8" w:color="0000FF"/>
            </w:tcBorders>
            <w:gridSpan w:val="6"/>
          </w:tcPr>
          <w:p>
            <w:pPr>
              <w:spacing w:after="0"/>
              <w:rPr>
                <w:rFonts w:ascii="Arial" w:cs="Arial" w:eastAsia="Arial" w:hAnsi="Arial"/>
                <w:sz w:val="16"/>
                <w:szCs w:val="16"/>
                <w:color w:val="0000FF"/>
                <w:w w:val="96"/>
              </w:rPr>
            </w:pPr>
            <w:hyperlink w:anchor="page32">
              <w:r>
                <w:rPr>
                  <w:rFonts w:ascii="Arial" w:cs="Arial" w:eastAsia="Arial" w:hAnsi="Arial"/>
                  <w:sz w:val="16"/>
                  <w:szCs w:val="16"/>
                  <w:color w:val="0000FF"/>
                  <w:w w:val="96"/>
                </w:rPr>
                <w:t>PART II. OTHER INFORMATION</w:t>
              </w:r>
            </w:hyperlink>
          </w:p>
        </w:tc>
        <w:tc>
          <w:tcPr>
            <w:tcW w:w="7820" w:type="dxa"/>
            <w:vAlign w:val="bottom"/>
            <w:gridSpan w:val="8"/>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680" w:type="dxa"/>
            <w:vAlign w:val="bottom"/>
            <w:gridSpan w:val="3"/>
          </w:tcPr>
          <w:p>
            <w:pPr>
              <w:spacing w:after="0"/>
              <w:rPr>
                <w:rFonts w:ascii="Arial" w:cs="Arial" w:eastAsia="Arial" w:hAnsi="Arial"/>
                <w:sz w:val="16"/>
                <w:szCs w:val="16"/>
                <w:color w:val="0000FF"/>
                <w:w w:val="88"/>
              </w:rPr>
            </w:pPr>
            <w:hyperlink w:anchor="page32">
              <w:r>
                <w:rPr>
                  <w:rFonts w:ascii="Arial" w:cs="Arial" w:eastAsia="Arial" w:hAnsi="Arial"/>
                  <w:sz w:val="16"/>
                  <w:szCs w:val="16"/>
                  <w:color w:val="0000FF"/>
                  <w:w w:val="88"/>
                </w:rPr>
                <w:t>Item 1. Legal Proceedings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2">
              <w:r>
                <w:rPr>
                  <w:rFonts w:ascii="Arial" w:cs="Arial" w:eastAsia="Arial" w:hAnsi="Arial"/>
                  <w:sz w:val="16"/>
                  <w:szCs w:val="16"/>
                  <w:color w:val="0000FF"/>
                </w:rPr>
                <w:t>32</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00" w:type="dxa"/>
            <w:vAlign w:val="bottom"/>
            <w:tcBorders>
              <w:left w:val="single" w:sz="8" w:color="0000FF"/>
            </w:tcBorders>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3"/>
          </w:tcPr>
          <w:p>
            <w:pPr>
              <w:spacing w:after="0"/>
              <w:rPr>
                <w:rFonts w:ascii="Arial" w:cs="Arial" w:eastAsia="Arial" w:hAnsi="Arial"/>
                <w:sz w:val="16"/>
                <w:szCs w:val="16"/>
                <w:color w:val="0000FF"/>
              </w:rPr>
            </w:pPr>
            <w:hyperlink w:anchor="page34">
              <w:r>
                <w:rPr>
                  <w:rFonts w:ascii="Arial" w:cs="Arial" w:eastAsia="Arial" w:hAnsi="Arial"/>
                  <w:sz w:val="16"/>
                  <w:szCs w:val="16"/>
                  <w:color w:val="0000FF"/>
                </w:rPr>
                <w:t>Item 1A. Risk Factors</w:t>
              </w:r>
            </w:hyperlink>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34</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5740" w:type="dxa"/>
            <w:vAlign w:val="bottom"/>
            <w:gridSpan w:val="5"/>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140" w:type="dxa"/>
            <w:vAlign w:val="bottom"/>
            <w:gridSpan w:val="14"/>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2. Unregistered Sales of Equity Securities and Use of Proceeds</w:t>
              </w:r>
            </w:hyperlink>
          </w:p>
        </w:tc>
        <w:tc>
          <w:tcPr>
            <w:tcW w:w="1240" w:type="dxa"/>
            <w:vAlign w:val="bottom"/>
            <w:gridSpan w:val="4"/>
          </w:tcPr>
          <w:p>
            <w:pPr>
              <w:jc w:val="right"/>
              <w:ind w:right="20"/>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7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400" w:type="dxa"/>
            <w:vAlign w:val="bottom"/>
            <w:gridSpan w:val="9"/>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4. Mine Safety Disclosures</w:t>
              </w:r>
            </w:hyperlink>
          </w:p>
        </w:tc>
        <w:tc>
          <w:tcPr>
            <w:tcW w:w="5740" w:type="dxa"/>
            <w:vAlign w:val="bottom"/>
            <w:gridSpan w:val="5"/>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680" w:type="dxa"/>
            <w:vAlign w:val="bottom"/>
            <w:gridSpan w:val="3"/>
          </w:tcPr>
          <w:p>
            <w:pPr>
              <w:spacing w:after="0"/>
              <w:rPr>
                <w:sz w:val="20"/>
                <w:szCs w:val="20"/>
                <w:color w:val="auto"/>
              </w:rPr>
            </w:pPr>
            <w:r>
              <w:rPr>
                <w:rFonts w:ascii="Arial" w:cs="Arial" w:eastAsia="Arial" w:hAnsi="Arial"/>
                <w:sz w:val="16"/>
                <w:szCs w:val="16"/>
                <w:color w:val="0000FF"/>
                <w:w w:val="92"/>
              </w:rPr>
              <w:t>Item 5. Other Information</w:t>
            </w:r>
          </w:p>
        </w:tc>
        <w:tc>
          <w:tcPr>
            <w:tcW w:w="400" w:type="dxa"/>
            <w:vAlign w:val="bottom"/>
            <w:gridSpan w:val="2"/>
          </w:tcPr>
          <w:p>
            <w:pPr>
              <w:spacing w:after="0"/>
              <w:rPr>
                <w:sz w:val="24"/>
                <w:szCs w:val="24"/>
                <w:color w:val="auto"/>
              </w:rPr>
            </w:pPr>
          </w:p>
        </w:tc>
        <w:tc>
          <w:tcPr>
            <w:tcW w:w="8060" w:type="dxa"/>
            <w:vAlign w:val="bottom"/>
            <w:gridSpan w:val="9"/>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7">
              <w:r>
                <w:rPr>
                  <w:rFonts w:ascii="Arial" w:cs="Arial" w:eastAsia="Arial" w:hAnsi="Arial"/>
                  <w:sz w:val="16"/>
                  <w:szCs w:val="16"/>
                  <w:color w:val="0000FF"/>
                </w:rPr>
                <w:t>37</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2"/>
            <w:shd w:val="clear" w:color="auto" w:fill="0000FF"/>
          </w:tcPr>
          <w:p>
            <w:pPr>
              <w:spacing w:after="0" w:line="20" w:lineRule="exact"/>
              <w:rPr>
                <w:sz w:val="1"/>
                <w:szCs w:val="1"/>
                <w:color w:val="auto"/>
              </w:rPr>
            </w:pPr>
          </w:p>
        </w:tc>
        <w:tc>
          <w:tcPr>
            <w:tcW w:w="8460" w:type="dxa"/>
            <w:vAlign w:val="bottom"/>
            <w:gridSpan w:val="11"/>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80" w:type="dxa"/>
            <w:vAlign w:val="bottom"/>
          </w:tcPr>
          <w:p>
            <w:pPr>
              <w:spacing w:after="0"/>
              <w:rPr>
                <w:rFonts w:ascii="Arial" w:cs="Arial" w:eastAsia="Arial" w:hAnsi="Arial"/>
                <w:sz w:val="16"/>
                <w:szCs w:val="16"/>
                <w:color w:val="0000FF"/>
                <w:w w:val="85"/>
              </w:rPr>
            </w:pPr>
            <w:hyperlink w:anchor="page38">
              <w:r>
                <w:rPr>
                  <w:rFonts w:ascii="Arial" w:cs="Arial" w:eastAsia="Arial" w:hAnsi="Arial"/>
                  <w:sz w:val="16"/>
                  <w:szCs w:val="16"/>
                  <w:color w:val="0000FF"/>
                  <w:w w:val="85"/>
                </w:rPr>
                <w:t>Item 6. Exhibits</w:t>
              </w:r>
            </w:hyperlink>
          </w:p>
        </w:tc>
        <w:tc>
          <w:tcPr>
            <w:tcW w:w="700" w:type="dxa"/>
            <w:vAlign w:val="bottom"/>
            <w:gridSpan w:val="2"/>
          </w:tcPr>
          <w:p>
            <w:pPr>
              <w:spacing w:after="0"/>
              <w:rPr>
                <w:sz w:val="24"/>
                <w:szCs w:val="24"/>
                <w:color w:val="auto"/>
              </w:rPr>
            </w:pPr>
          </w:p>
        </w:tc>
        <w:tc>
          <w:tcPr>
            <w:tcW w:w="8460" w:type="dxa"/>
            <w:vAlign w:val="bottom"/>
            <w:gridSpan w:val="11"/>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8">
              <w:r>
                <w:rPr>
                  <w:rFonts w:ascii="Arial" w:cs="Arial" w:eastAsia="Arial" w:hAnsi="Arial"/>
                  <w:sz w:val="16"/>
                  <w:szCs w:val="16"/>
                  <w:color w:val="0000FF"/>
                </w:rPr>
                <w:t>38</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tcBorders>
              <w:left w:val="single" w:sz="8" w:color="0000FF"/>
            </w:tcBorders>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spacing w:after="0"/>
              <w:rPr>
                <w:rFonts w:ascii="Arial" w:cs="Arial" w:eastAsia="Arial" w:hAnsi="Arial"/>
                <w:sz w:val="16"/>
                <w:szCs w:val="16"/>
                <w:color w:val="0000FF"/>
                <w:w w:val="90"/>
              </w:rPr>
            </w:pPr>
            <w:hyperlink w:anchor="page39">
              <w:r>
                <w:rPr>
                  <w:rFonts w:ascii="Arial" w:cs="Arial" w:eastAsia="Arial" w:hAnsi="Arial"/>
                  <w:sz w:val="16"/>
                  <w:szCs w:val="16"/>
                  <w:color w:val="0000FF"/>
                  <w:w w:val="90"/>
                </w:rPr>
                <w:t>SIGNATURES</w:t>
              </w:r>
            </w:hyperlink>
          </w:p>
        </w:tc>
        <w:tc>
          <w:tcPr>
            <w:tcW w:w="9160" w:type="dxa"/>
            <w:vAlign w:val="bottom"/>
            <w:gridSpan w:val="13"/>
          </w:tcPr>
          <w:p>
            <w:pPr>
              <w:spacing w:after="0"/>
              <w:rPr>
                <w:sz w:val="24"/>
                <w:szCs w:val="24"/>
                <w:color w:val="auto"/>
              </w:rPr>
            </w:pPr>
          </w:p>
        </w:tc>
        <w:tc>
          <w:tcPr>
            <w:tcW w:w="1240" w:type="dxa"/>
            <w:vAlign w:val="bottom"/>
            <w:gridSpan w:val="4"/>
          </w:tcPr>
          <w:p>
            <w:pPr>
              <w:jc w:val="right"/>
              <w:ind w:right="20"/>
              <w:spacing w:after="0"/>
              <w:rPr>
                <w:rFonts w:ascii="Arial" w:cs="Arial" w:eastAsia="Arial" w:hAnsi="Arial"/>
                <w:sz w:val="16"/>
                <w:szCs w:val="16"/>
                <w:color w:val="0000FF"/>
              </w:rPr>
            </w:pPr>
            <w:hyperlink w:anchor="page39">
              <w:r>
                <w:rPr>
                  <w:rFonts w:ascii="Arial" w:cs="Arial" w:eastAsia="Arial" w:hAnsi="Arial"/>
                  <w:sz w:val="16"/>
                  <w:szCs w:val="16"/>
                  <w:color w:val="0000FF"/>
                </w:rPr>
                <w:t>39</w:t>
              </w:r>
            </w:hyperlink>
          </w:p>
        </w:tc>
        <w:tc>
          <w:tcPr>
            <w:tcW w:w="0" w:type="dxa"/>
            <w:vAlign w:val="bottom"/>
          </w:tcPr>
          <w:p>
            <w:pPr>
              <w:spacing w:after="0"/>
              <w:rPr>
                <w:sz w:val="1"/>
                <w:szCs w:val="1"/>
                <w:color w:val="auto"/>
              </w:rPr>
            </w:pPr>
          </w:p>
        </w:tc>
      </w:tr>
      <w:tr>
        <w:trPr>
          <w:trHeight w:val="20"/>
        </w:trPr>
        <w:tc>
          <w:tcPr>
            <w:tcW w:w="980" w:type="dxa"/>
            <w:vAlign w:val="bottom"/>
            <w:shd w:val="clear" w:color="auto" w:fill="0000FF"/>
          </w:tcPr>
          <w:p>
            <w:pPr>
              <w:spacing w:after="0" w:line="20" w:lineRule="exact"/>
              <w:rPr>
                <w:sz w:val="1"/>
                <w:szCs w:val="1"/>
                <w:color w:val="auto"/>
              </w:rPr>
            </w:pPr>
          </w:p>
        </w:tc>
        <w:tc>
          <w:tcPr>
            <w:tcW w:w="9160" w:type="dxa"/>
            <w:vAlign w:val="bottom"/>
            <w:gridSpan w:val="13"/>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31.1</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31.2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32.1</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Exhibit 32.2</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0140" w:type="dxa"/>
            <w:vAlign w:val="bottom"/>
            <w:gridSpan w:val="14"/>
          </w:tcPr>
          <w:p>
            <w:pPr>
              <w:ind w:left="340"/>
              <w:spacing w:after="0"/>
              <w:rPr>
                <w:sz w:val="20"/>
                <w:szCs w:val="20"/>
                <w:color w:val="auto"/>
              </w:rPr>
            </w:pPr>
            <w:r>
              <w:rPr>
                <w:rFonts w:ascii="Arial" w:cs="Arial" w:eastAsia="Arial" w:hAnsi="Arial"/>
                <w:sz w:val="16"/>
                <w:szCs w:val="16"/>
                <w:color w:val="auto"/>
              </w:rPr>
              <w:t>EX-101 INSTANCE DOCUMENT</w:t>
            </w: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SCHEMA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CALCULATION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DEFINITION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LABELS LINKBASE DOCUMENT</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EX-101 PRESENTATION LINKBASE DOCUMENT</w:t>
      </w:r>
    </w:p>
    <w:p>
      <w:pPr>
        <w:sectPr>
          <w:pgSz w:w="11900" w:h="16838" w:orient="portrait"/>
          <w:cols w:equalWidth="0" w:num="1">
            <w:col w:w="11420"/>
          </w:cols>
          <w:pgMar w:left="240" w:top="125"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391"/>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258,636</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236,770</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Cost of goods sold</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86,585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84,773</w:t>
            </w:r>
          </w:p>
        </w:tc>
      </w:tr>
      <w:tr>
        <w:trPr>
          <w:trHeight w:val="243"/>
        </w:trPr>
        <w:tc>
          <w:tcPr>
            <w:tcW w:w="8460" w:type="dxa"/>
            <w:vAlign w:val="bottom"/>
          </w:tcPr>
          <w:p>
            <w:pPr>
              <w:ind w:left="20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15,494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14,451</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142,497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111,975</w:t>
            </w:r>
          </w:p>
        </w:tc>
      </w:tr>
      <w:tr>
        <w:trPr>
          <w:trHeight w:val="243"/>
        </w:trPr>
        <w:tc>
          <w:tcPr>
            <w:tcW w:w="8460" w:type="dxa"/>
            <w:vAlign w:val="bottom"/>
          </w:tcPr>
          <w:p>
            <w:pPr>
              <w:ind w:left="200"/>
              <w:spacing w:after="0"/>
              <w:rPr>
                <w:sz w:val="20"/>
                <w:szCs w:val="20"/>
                <w:color w:val="auto"/>
              </w:rPr>
            </w:pPr>
            <w:r>
              <w:rPr>
                <w:rFonts w:ascii="Arial" w:cs="Arial" w:eastAsia="Arial" w:hAnsi="Arial"/>
                <w:sz w:val="18"/>
                <w:szCs w:val="18"/>
                <w:color w:val="auto"/>
              </w:rPr>
              <w:t>Intangible asset amortization</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4,101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3,471</w:t>
            </w:r>
          </w:p>
        </w:tc>
      </w:tr>
      <w:tr>
        <w:trPr>
          <w:trHeight w:val="27"/>
        </w:trPr>
        <w:tc>
          <w:tcPr>
            <w:tcW w:w="84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Total costs and expenses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248,677</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214,670</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9,959</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22,100</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(5,131)</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(6,373)</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37"/>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4,745</w:t>
            </w:r>
          </w:p>
        </w:tc>
        <w:tc>
          <w:tcPr>
            <w:tcW w:w="2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14,995</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1,576</w:t>
            </w:r>
          </w:p>
        </w:tc>
      </w:tr>
      <w:tr>
        <w:trPr>
          <w:trHeight w:val="297"/>
        </w:trPr>
        <w:tc>
          <w:tcPr>
            <w:tcW w:w="846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6,394</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13,419</w:t>
            </w:r>
          </w:p>
        </w:tc>
      </w:tr>
      <w:tr>
        <w:trPr>
          <w:trHeight w:val="311"/>
        </w:trPr>
        <w:tc>
          <w:tcPr>
            <w:tcW w:w="8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0.09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0.18</w:t>
            </w: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0.08</w:t>
            </w:r>
          </w:p>
        </w:tc>
        <w:tc>
          <w:tcPr>
            <w:tcW w:w="2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0.18</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324"/>
        </w:trPr>
        <w:tc>
          <w:tcPr>
            <w:tcW w:w="84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 (See Note 10):</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Basic</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74,765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73,934</w:t>
            </w:r>
          </w:p>
        </w:tc>
      </w:tr>
      <w:tr>
        <w:trPr>
          <w:trHeight w:val="243"/>
        </w:trPr>
        <w:tc>
          <w:tcPr>
            <w:tcW w:w="8460" w:type="dxa"/>
            <w:vAlign w:val="bottom"/>
          </w:tcPr>
          <w:p>
            <w:pPr>
              <w:ind w:left="540"/>
              <w:spacing w:after="0"/>
              <w:rPr>
                <w:sz w:val="20"/>
                <w:szCs w:val="20"/>
                <w:color w:val="auto"/>
              </w:rPr>
            </w:pPr>
            <w:r>
              <w:rPr>
                <w:rFonts w:ascii="Arial" w:cs="Arial" w:eastAsia="Arial" w:hAnsi="Arial"/>
                <w:sz w:val="18"/>
                <w:szCs w:val="18"/>
                <w:color w:val="auto"/>
              </w:rPr>
              <w:t>Diluted</w:t>
            </w:r>
          </w:p>
        </w:tc>
        <w:tc>
          <w:tcPr>
            <w:tcW w:w="32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78,394</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76,466</w:t>
            </w: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(See Note 11)</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12,095</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24,656</w:t>
            </w:r>
          </w:p>
        </w:tc>
      </w:tr>
      <w:tr>
        <w:trPr>
          <w:trHeight w:val="20"/>
        </w:trPr>
        <w:tc>
          <w:tcPr>
            <w:tcW w:w="8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25"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16"/>
                <w:szCs w:val="16"/>
                <w:color w:val="auto"/>
              </w:rPr>
            </w:pPr>
          </w:p>
        </w:tc>
        <w:tc>
          <w:tcPr>
            <w:tcW w:w="1500" w:type="dxa"/>
            <w:vAlign w:val="bottom"/>
          </w:tcPr>
          <w:p>
            <w:pPr>
              <w:jc w:val="right"/>
              <w:ind w:right="179"/>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Cash and cash equivalents</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102,055</w:t>
            </w:r>
          </w:p>
        </w:tc>
      </w:tr>
      <w:tr>
        <w:trPr>
          <w:trHeight w:val="237"/>
        </w:trPr>
        <w:tc>
          <w:tcPr>
            <w:tcW w:w="790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11,286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Trade accounts receivable, net of allowances of $7,529 and $6,319</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158,234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148,186</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Inventories,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239,809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217,263</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Prepaid expenses and other current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35,477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27,666</w:t>
            </w:r>
          </w:p>
        </w:tc>
      </w:tr>
      <w:tr>
        <w:trPr>
          <w:trHeight w:val="217"/>
        </w:trPr>
        <w:tc>
          <w:tcPr>
            <w:tcW w:w="7900" w:type="dxa"/>
            <w:vAlign w:val="bottom"/>
          </w:tcPr>
          <w:p>
            <w:pPr>
              <w:ind w:left="620"/>
              <w:spacing w:after="0"/>
              <w:rPr>
                <w:sz w:val="20"/>
                <w:szCs w:val="20"/>
                <w:color w:val="auto"/>
              </w:rPr>
            </w:pPr>
            <w:r>
              <w:rPr>
                <w:rFonts w:ascii="Arial" w:cs="Arial" w:eastAsia="Arial" w:hAnsi="Arial"/>
                <w:sz w:val="16"/>
                <w:szCs w:val="16"/>
                <w:color w:val="auto"/>
              </w:rPr>
              <w:t>Total current assets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568,919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495,170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net</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229,110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222,369</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654,408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561,175</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578,229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510,571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Deferred tax assets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4,757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6,935</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13,592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11,734</w:t>
            </w:r>
          </w:p>
        </w:tc>
      </w:tr>
      <w:tr>
        <w:trPr>
          <w:trHeight w:val="284"/>
        </w:trPr>
        <w:tc>
          <w:tcPr>
            <w:tcW w:w="7900" w:type="dxa"/>
            <w:vAlign w:val="bottom"/>
            <w:tcBorders>
              <w:bottom w:val="single" w:sz="8" w:color="CCEEFF"/>
            </w:tcBorders>
          </w:tcPr>
          <w:p>
            <w:pPr>
              <w:ind w:left="4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2,049,015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1,807,954</w:t>
            </w:r>
          </w:p>
        </w:tc>
      </w:tr>
      <w:tr>
        <w:trPr>
          <w:trHeight w:val="23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Current liabilities:</w:t>
            </w:r>
          </w:p>
        </w:tc>
        <w:tc>
          <w:tcPr>
            <w:tcW w:w="2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Short-term portion of borrowings under senior credit facility</w:t>
            </w:r>
          </w:p>
        </w:tc>
        <w:tc>
          <w:tcPr>
            <w:tcW w:w="2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6,250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Accounts payable, trade</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45,594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29,057</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Deferred revenue</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8,088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6,812</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Accrued compensation</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44,751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52,762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Short-term portion of contingent considerations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7900" w:type="dxa"/>
            <w:vAlign w:val="bottom"/>
          </w:tcPr>
          <w:p>
            <w:pPr>
              <w:ind w:left="540"/>
              <w:spacing w:after="0"/>
              <w:rPr>
                <w:sz w:val="20"/>
                <w:szCs w:val="20"/>
                <w:color w:val="auto"/>
              </w:rPr>
            </w:pPr>
            <w:r>
              <w:rPr>
                <w:rFonts w:ascii="Arial" w:cs="Arial" w:eastAsia="Arial" w:hAnsi="Arial"/>
                <w:sz w:val="16"/>
                <w:szCs w:val="16"/>
                <w:color w:val="auto"/>
              </w:rPr>
              <w:t>Accrued expenses and other current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46,354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34,970</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6"/>
                <w:szCs w:val="16"/>
                <w:color w:val="auto"/>
              </w:rPr>
              <w:t>Total current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188,083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123,601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Long-term borrowings under senior credit facility</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848,750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665,000</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130,836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148,941</w:t>
            </w:r>
          </w:p>
        </w:tc>
      </w:tr>
      <w:tr>
        <w:trPr>
          <w:trHeight w:val="237"/>
        </w:trPr>
        <w:tc>
          <w:tcPr>
            <w:tcW w:w="7900" w:type="dxa"/>
            <w:vAlign w:val="bottom"/>
          </w:tcPr>
          <w:p>
            <w:pPr>
              <w:ind w:left="40"/>
              <w:spacing w:after="0"/>
              <w:rPr>
                <w:sz w:val="20"/>
                <w:szCs w:val="20"/>
                <w:color w:val="auto"/>
              </w:rPr>
            </w:pPr>
            <w:r>
              <w:rPr>
                <w:rFonts w:ascii="Arial" w:cs="Arial" w:eastAsia="Arial" w:hAnsi="Arial"/>
                <w:sz w:val="16"/>
                <w:szCs w:val="16"/>
                <w:color w:val="auto"/>
              </w:rPr>
              <w:t>Other liabilities</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28,855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30,745</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1,196,524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968,287</w:t>
            </w:r>
          </w:p>
        </w:tc>
      </w:tr>
      <w:tr>
        <w:trPr>
          <w:trHeight w:val="217"/>
        </w:trPr>
        <w:tc>
          <w:tcPr>
            <w:tcW w:w="7900" w:type="dxa"/>
            <w:vAlign w:val="bottom"/>
          </w:tcPr>
          <w:p>
            <w:pPr>
              <w:ind w:left="40"/>
              <w:spacing w:after="0"/>
              <w:rPr>
                <w:sz w:val="20"/>
                <w:szCs w:val="20"/>
                <w:color w:val="auto"/>
              </w:rPr>
            </w:pPr>
            <w:r>
              <w:rPr>
                <w:rFonts w:ascii="Arial" w:cs="Arial" w:eastAsia="Arial" w:hAnsi="Arial"/>
                <w:sz w:val="16"/>
                <w:szCs w:val="16"/>
                <w:color w:val="auto"/>
              </w:rPr>
              <w:t>Commitments and contingencies</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Stockholders’ equity:</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Preferred stock; no par value; 15,000 authorized shares; none outstanding</w:t>
            </w:r>
          </w:p>
        </w:tc>
        <w:tc>
          <w:tcPr>
            <w:tcW w:w="240" w:type="dxa"/>
            <w:vAlign w:val="bottom"/>
          </w:tcPr>
          <w:p>
            <w:pPr>
              <w:spacing w:after="0"/>
              <w:rPr>
                <w:sz w:val="20"/>
                <w:szCs w:val="20"/>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20"/>
        </w:trPr>
        <w:tc>
          <w:tcPr>
            <w:tcW w:w="790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Common stock; $0.01 par value; 240,000 authorized shares; 78,185 and 77,666 issued at March 31, 2017 and</w:t>
            </w:r>
          </w:p>
        </w:tc>
        <w:tc>
          <w:tcPr>
            <w:tcW w:w="24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19"/>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2016, respectively</w:t>
            </w:r>
          </w:p>
        </w:tc>
        <w:tc>
          <w:tcPr>
            <w:tcW w:w="2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777</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Additional paid-in capital</w:t>
            </w:r>
          </w:p>
        </w:tc>
        <w:tc>
          <w:tcPr>
            <w:tcW w:w="240" w:type="dxa"/>
            <w:vAlign w:val="bottom"/>
          </w:tcPr>
          <w:p>
            <w:pPr>
              <w:spacing w:after="0"/>
              <w:rPr>
                <w:sz w:val="20"/>
                <w:szCs w:val="20"/>
                <w:color w:val="auto"/>
              </w:rPr>
            </w:pPr>
          </w:p>
        </w:tc>
        <w:tc>
          <w:tcPr>
            <w:tcW w:w="1480" w:type="dxa"/>
            <w:vAlign w:val="bottom"/>
          </w:tcPr>
          <w:p>
            <w:pPr>
              <w:jc w:val="right"/>
              <w:ind w:right="39"/>
              <w:spacing w:after="0"/>
              <w:rPr>
                <w:sz w:val="20"/>
                <w:szCs w:val="20"/>
                <w:color w:val="auto"/>
              </w:rPr>
            </w:pPr>
            <w:r>
              <w:rPr>
                <w:rFonts w:ascii="Arial" w:cs="Arial" w:eastAsia="Arial" w:hAnsi="Arial"/>
                <w:sz w:val="16"/>
                <w:szCs w:val="16"/>
                <w:color w:val="auto"/>
              </w:rPr>
              <w:t>799,376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798,652</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at cost; 2,946 shares at March 31, 2017 and December 31, 2016</w:t>
            </w:r>
          </w:p>
        </w:tc>
        <w:tc>
          <w:tcPr>
            <w:tcW w:w="2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(123,051)</w:t>
            </w:r>
          </w:p>
        </w:tc>
      </w:tr>
      <w:tr>
        <w:trPr>
          <w:trHeight w:val="237"/>
        </w:trPr>
        <w:tc>
          <w:tcPr>
            <w:tcW w:w="790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24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(51,453)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(57,154)</w:t>
            </w:r>
          </w:p>
        </w:tc>
      </w:tr>
      <w:tr>
        <w:trPr>
          <w:trHeight w:val="33"/>
        </w:trPr>
        <w:tc>
          <w:tcPr>
            <w:tcW w:w="7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79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6"/>
                <w:szCs w:val="16"/>
                <w:color w:val="auto"/>
              </w:rPr>
              <w:t>Retained earnings</w:t>
            </w:r>
          </w:p>
        </w:tc>
        <w:tc>
          <w:tcPr>
            <w:tcW w:w="2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226,837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220,443</w:t>
            </w:r>
          </w:p>
        </w:tc>
      </w:tr>
      <w:tr>
        <w:trPr>
          <w:trHeight w:val="217"/>
        </w:trPr>
        <w:tc>
          <w:tcPr>
            <w:tcW w:w="7900" w:type="dxa"/>
            <w:vAlign w:val="bottom"/>
          </w:tcPr>
          <w:p>
            <w:pPr>
              <w:ind w:left="720"/>
              <w:spacing w:after="0"/>
              <w:rPr>
                <w:sz w:val="20"/>
                <w:szCs w:val="20"/>
                <w:color w:val="auto"/>
              </w:rPr>
            </w:pPr>
            <w:r>
              <w:rPr>
                <w:rFonts w:ascii="Arial" w:cs="Arial" w:eastAsia="Arial" w:hAnsi="Arial"/>
                <w:sz w:val="16"/>
                <w:szCs w:val="16"/>
                <w:b w:val="1"/>
                <w:bCs w:val="1"/>
                <w:color w:val="auto"/>
              </w:rPr>
              <w:t>Total stockholders’ equity</w:t>
            </w:r>
          </w:p>
        </w:tc>
        <w:tc>
          <w:tcPr>
            <w:tcW w:w="24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852,491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839,667</w:t>
            </w:r>
          </w:p>
        </w:tc>
      </w:tr>
      <w:tr>
        <w:trPr>
          <w:trHeight w:val="33"/>
        </w:trPr>
        <w:tc>
          <w:tcPr>
            <w:tcW w:w="79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liabilities and stockholders’ equity</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2,049,015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1,807,954</w:t>
            </w: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w:t>
      </w:r>
    </w:p>
    <w:p>
      <w:pPr>
        <w:spacing w:after="0" w:line="200" w:lineRule="exact"/>
        <w:rPr>
          <w:sz w:val="20"/>
          <w:szCs w:val="20"/>
          <w:color w:val="auto"/>
        </w:rPr>
      </w:pPr>
    </w:p>
    <w:p>
      <w:pPr>
        <w:spacing w:after="0" w:line="215"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8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100" w:type="dxa"/>
            <w:vAlign w:val="bottom"/>
            <w:tcBorders>
              <w:bottom w:val="single" w:sz="8" w:color="auto"/>
            </w:tcBorders>
            <w:gridSpan w:val="4"/>
          </w:tcPr>
          <w:p>
            <w:pPr>
              <w:jc w:val="right"/>
              <w:ind w:right="688"/>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263"/>
        </w:trPr>
        <w:tc>
          <w:tcPr>
            <w:tcW w:w="786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312"/>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OPERATING ACTIVITIES:</w:t>
            </w: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6,394</w:t>
            </w:r>
          </w:p>
        </w:tc>
        <w:tc>
          <w:tcPr>
            <w:tcW w:w="100" w:type="dxa"/>
            <w:vAlign w:val="bottom"/>
            <w:shd w:val="clear" w:color="auto" w:fill="CCEEFF"/>
          </w:tcPr>
          <w:p>
            <w:pPr>
              <w:spacing w:after="0"/>
              <w:rPr>
                <w:sz w:val="16"/>
                <w:szCs w:val="16"/>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13,419</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vMerge w:val="continue"/>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vMerge w:val="continue"/>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Depreciation and amortization</w:t>
            </w:r>
          </w:p>
        </w:tc>
        <w:tc>
          <w:tcPr>
            <w:tcW w:w="42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19,717</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18,253</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Deferred income tax</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Amortization of debt issuance costs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393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Non-cash interest expense</w:t>
            </w:r>
          </w:p>
        </w:tc>
        <w:tc>
          <w:tcPr>
            <w:tcW w:w="420" w:type="dxa"/>
            <w:vAlign w:val="bottom"/>
          </w:tcPr>
          <w:p>
            <w:pPr>
              <w:spacing w:after="0"/>
              <w:rPr>
                <w:sz w:val="16"/>
                <w:szCs w:val="16"/>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2,064</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disposal of property and equipment</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348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Change in fair value of contingent consideration and other</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color w:val="auto"/>
              </w:rPr>
              <w:t>261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131</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Share-based compensation</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5,363</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3,265</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Changes in assets and liabilities, net of business acquisitions:</w:t>
            </w: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receivable</w:t>
            </w:r>
          </w:p>
        </w:tc>
        <w:tc>
          <w:tcPr>
            <w:tcW w:w="420" w:type="dxa"/>
            <w:vAlign w:val="bottom"/>
            <w:shd w:val="clear" w:color="auto" w:fill="CCEEFF"/>
          </w:tcPr>
          <w:p>
            <w:pPr>
              <w:spacing w:after="0"/>
              <w:rPr>
                <w:sz w:val="16"/>
                <w:szCs w:val="16"/>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(589)</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(18,440)</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Inventories</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(5,207)</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(8,104)</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Prepaid expenses and other current assets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(1,988)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1,288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Other non-current assets</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(601)</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Accounts payable, accrued expenses and other current liabilities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8,938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12,057</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380"/>
              <w:spacing w:after="0"/>
              <w:rPr>
                <w:sz w:val="20"/>
                <w:szCs w:val="20"/>
                <w:color w:val="auto"/>
              </w:rPr>
            </w:pPr>
            <w:r>
              <w:rPr>
                <w:rFonts w:ascii="Arial" w:cs="Arial" w:eastAsia="Arial" w:hAnsi="Arial"/>
                <w:sz w:val="14"/>
                <w:szCs w:val="14"/>
                <w:color w:val="auto"/>
              </w:rPr>
              <w:t>Deferred revenue</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color w:val="auto"/>
              </w:rPr>
              <w:t>1,251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1,527</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non-current liabilities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(5,685)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420" w:type="dxa"/>
            <w:vAlign w:val="bottom"/>
          </w:tcPr>
          <w:p>
            <w:pPr>
              <w:spacing w:after="0"/>
              <w:rPr>
                <w:sz w:val="14"/>
                <w:szCs w:val="14"/>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color w:val="auto"/>
              </w:rPr>
              <w:t>28,882</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25,030</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INVESTING ACTIVITIES:</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(9,191)</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(10,895)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used in business acquisition, net of cash acquired</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(193,928)</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Change in restricted cash</w:t>
            </w:r>
          </w:p>
        </w:tc>
        <w:tc>
          <w:tcPr>
            <w:tcW w:w="420" w:type="dxa"/>
            <w:vAlign w:val="bottom"/>
          </w:tcPr>
          <w:p>
            <w:pPr>
              <w:spacing w:after="0"/>
              <w:rPr>
                <w:sz w:val="16"/>
                <w:szCs w:val="16"/>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4,165</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sale of short-term investments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9,976</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Net cash used in investing activities</w:t>
            </w:r>
          </w:p>
        </w:tc>
        <w:tc>
          <w:tcPr>
            <w:tcW w:w="420" w:type="dxa"/>
            <w:vAlign w:val="bottom"/>
          </w:tcPr>
          <w:p>
            <w:pPr>
              <w:spacing w:after="0"/>
              <w:rPr>
                <w:sz w:val="14"/>
                <w:szCs w:val="14"/>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(193,143)</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(6,730)</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FINANCING ACTIVITIES:</w:t>
            </w:r>
          </w:p>
        </w:tc>
        <w:tc>
          <w:tcPr>
            <w:tcW w:w="4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Borrowings under senior credit facility</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color w:val="auto"/>
              </w:rPr>
              <w:t>210,000</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15,000</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3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Repayments under senior credit facility</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(20,000)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(1,875)</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Principal payments under capital lease obligations</w:t>
            </w:r>
          </w:p>
        </w:tc>
        <w:tc>
          <w:tcPr>
            <w:tcW w:w="420" w:type="dxa"/>
            <w:vAlign w:val="bottom"/>
          </w:tcPr>
          <w:p>
            <w:pPr>
              <w:spacing w:after="0"/>
              <w:rPr>
                <w:sz w:val="16"/>
                <w:szCs w:val="16"/>
                <w:color w:val="auto"/>
              </w:rPr>
            </w:pPr>
          </w:p>
        </w:tc>
        <w:tc>
          <w:tcPr>
            <w:tcW w:w="14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74"/>
        </w:trPr>
        <w:tc>
          <w:tcPr>
            <w:tcW w:w="78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4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exercised stock options</w:t>
            </w:r>
          </w:p>
        </w:tc>
        <w:tc>
          <w:tcPr>
            <w:tcW w:w="42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1,167</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1,038</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color w:val="auto"/>
              </w:rPr>
              <w:t>Cash taxes paid in net equity settlement</w:t>
            </w:r>
          </w:p>
        </w:tc>
        <w:tc>
          <w:tcPr>
            <w:tcW w:w="420" w:type="dxa"/>
            <w:vAlign w:val="bottom"/>
          </w:tcPr>
          <w:p>
            <w:pPr>
              <w:spacing w:after="0"/>
              <w:rPr>
                <w:sz w:val="16"/>
                <w:szCs w:val="16"/>
                <w:color w:val="auto"/>
              </w:rPr>
            </w:pPr>
          </w:p>
        </w:tc>
        <w:tc>
          <w:tcPr>
            <w:tcW w:w="1320" w:type="dxa"/>
            <w:vAlign w:val="bottom"/>
            <w:vMerge w:val="restart"/>
          </w:tcPr>
          <w:p>
            <w:pPr>
              <w:jc w:val="right"/>
              <w:ind w:right="8"/>
              <w:spacing w:after="0"/>
              <w:rPr>
                <w:sz w:val="20"/>
                <w:szCs w:val="20"/>
                <w:color w:val="auto"/>
              </w:rPr>
            </w:pPr>
            <w:r>
              <w:rPr>
                <w:rFonts w:ascii="Arial" w:cs="Arial" w:eastAsia="Arial" w:hAnsi="Arial"/>
                <w:sz w:val="14"/>
                <w:szCs w:val="14"/>
                <w:color w:val="auto"/>
              </w:rPr>
              <w:t>(6,128)</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color w:val="auto"/>
              </w:rPr>
              <w:t>(4,051)</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cash provided by financing activities</w:t>
            </w:r>
          </w:p>
        </w:tc>
        <w:tc>
          <w:tcPr>
            <w:tcW w:w="4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185,039</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9,952</w:t>
            </w:r>
          </w:p>
        </w:tc>
        <w:tc>
          <w:tcPr>
            <w:tcW w:w="0" w:type="dxa"/>
            <w:vAlign w:val="bottom"/>
          </w:tcPr>
          <w:p>
            <w:pPr>
              <w:spacing w:after="0"/>
              <w:rPr>
                <w:sz w:val="1"/>
                <w:szCs w:val="1"/>
                <w:color w:val="auto"/>
              </w:rPr>
            </w:pPr>
          </w:p>
        </w:tc>
      </w:tr>
      <w:tr>
        <w:trPr>
          <w:trHeight w:val="74"/>
        </w:trPr>
        <w:tc>
          <w:tcPr>
            <w:tcW w:w="7860" w:type="dxa"/>
            <w:vAlign w:val="bottom"/>
            <w:shd w:val="clear" w:color="auto" w:fill="CCEEFF"/>
          </w:tcPr>
          <w:p>
            <w:pPr>
              <w:spacing w:after="0"/>
              <w:rPr>
                <w:sz w:val="6"/>
                <w:szCs w:val="6"/>
                <w:color w:val="auto"/>
              </w:rPr>
            </w:pPr>
          </w:p>
        </w:tc>
        <w:tc>
          <w:tcPr>
            <w:tcW w:w="420" w:type="dxa"/>
            <w:vAlign w:val="bottom"/>
            <w:tcBorders>
              <w:bottom w:val="single" w:sz="8" w:color="auto"/>
            </w:tcBorders>
            <w:shd w:val="clear" w:color="auto" w:fill="CCEEFF"/>
          </w:tcPr>
          <w:p>
            <w:pPr>
              <w:spacing w:after="0"/>
              <w:rPr>
                <w:sz w:val="6"/>
                <w:szCs w:val="6"/>
                <w:color w:val="auto"/>
              </w:rPr>
            </w:pPr>
          </w:p>
        </w:tc>
        <w:tc>
          <w:tcPr>
            <w:tcW w:w="132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tcBorders>
              <w:bottom w:val="single" w:sz="8" w:color="auto"/>
            </w:tcBorders>
            <w:shd w:val="clear" w:color="auto" w:fill="CCEEFF"/>
          </w:tcPr>
          <w:p>
            <w:pPr>
              <w:spacing w:after="0"/>
              <w:rPr>
                <w:sz w:val="6"/>
                <w:szCs w:val="6"/>
                <w:color w:val="auto"/>
              </w:rPr>
            </w:pPr>
          </w:p>
        </w:tc>
        <w:tc>
          <w:tcPr>
            <w:tcW w:w="128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Effect of exchange rate changes on cash and cash equivalents</w:t>
            </w:r>
          </w:p>
        </w:tc>
        <w:tc>
          <w:tcPr>
            <w:tcW w:w="4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1,280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702</w:t>
            </w: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increase in cash and cash equivalents</w:t>
            </w:r>
          </w:p>
        </w:tc>
        <w:tc>
          <w:tcPr>
            <w:tcW w:w="42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22,058</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28,954</w:t>
            </w:r>
          </w:p>
        </w:tc>
        <w:tc>
          <w:tcPr>
            <w:tcW w:w="0" w:type="dxa"/>
            <w:vAlign w:val="bottom"/>
          </w:tcPr>
          <w:p>
            <w:pPr>
              <w:spacing w:after="0"/>
              <w:rPr>
                <w:sz w:val="1"/>
                <w:szCs w:val="1"/>
                <w:color w:val="auto"/>
              </w:rPr>
            </w:pPr>
          </w:p>
        </w:tc>
      </w:tr>
      <w:tr>
        <w:trPr>
          <w:trHeight w:val="80"/>
        </w:trPr>
        <w:tc>
          <w:tcPr>
            <w:tcW w:w="7860" w:type="dxa"/>
            <w:vAlign w:val="bottom"/>
            <w:shd w:val="clear" w:color="auto" w:fill="CCEEFF"/>
          </w:tcPr>
          <w:p>
            <w:pPr>
              <w:spacing w:after="0"/>
              <w:rPr>
                <w:sz w:val="6"/>
                <w:szCs w:val="6"/>
                <w:color w:val="auto"/>
              </w:rPr>
            </w:pPr>
          </w:p>
        </w:tc>
        <w:tc>
          <w:tcPr>
            <w:tcW w:w="420" w:type="dxa"/>
            <w:vAlign w:val="bottom"/>
            <w:shd w:val="clear" w:color="auto" w:fill="CCEEFF"/>
          </w:tcPr>
          <w:p>
            <w:pPr>
              <w:spacing w:after="0"/>
              <w:rPr>
                <w:sz w:val="6"/>
                <w:szCs w:val="6"/>
                <w:color w:val="auto"/>
              </w:rPr>
            </w:pPr>
          </w:p>
        </w:tc>
        <w:tc>
          <w:tcPr>
            <w:tcW w:w="132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400" w:type="dxa"/>
            <w:vAlign w:val="bottom"/>
            <w:shd w:val="clear" w:color="auto" w:fill="CCEEFF"/>
          </w:tcPr>
          <w:p>
            <w:pPr>
              <w:spacing w:after="0"/>
              <w:rPr>
                <w:sz w:val="6"/>
                <w:szCs w:val="6"/>
                <w:color w:val="auto"/>
              </w:rPr>
            </w:pPr>
          </w:p>
        </w:tc>
        <w:tc>
          <w:tcPr>
            <w:tcW w:w="12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78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beginning of period</w:t>
            </w:r>
          </w:p>
        </w:tc>
        <w:tc>
          <w:tcPr>
            <w:tcW w:w="420" w:type="dxa"/>
            <w:vAlign w:val="bottom"/>
          </w:tcPr>
          <w:p>
            <w:pPr>
              <w:spacing w:after="0"/>
              <w:rPr>
                <w:sz w:val="16"/>
                <w:szCs w:val="16"/>
                <w:color w:val="auto"/>
              </w:rPr>
            </w:pPr>
          </w:p>
        </w:tc>
        <w:tc>
          <w:tcPr>
            <w:tcW w:w="1320" w:type="dxa"/>
            <w:vAlign w:val="bottom"/>
            <w:vMerge w:val="restart"/>
          </w:tcPr>
          <w:p>
            <w:pPr>
              <w:jc w:val="right"/>
              <w:ind w:right="68"/>
              <w:spacing w:after="0"/>
              <w:rPr>
                <w:sz w:val="20"/>
                <w:szCs w:val="20"/>
                <w:color w:val="auto"/>
              </w:rPr>
            </w:pPr>
            <w:r>
              <w:rPr>
                <w:rFonts w:ascii="Arial" w:cs="Arial" w:eastAsia="Arial" w:hAnsi="Arial"/>
                <w:sz w:val="14"/>
                <w:szCs w:val="14"/>
                <w:color w:val="auto"/>
              </w:rPr>
              <w:t>102,055</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80" w:type="dxa"/>
            <w:vAlign w:val="bottom"/>
            <w:vMerge w:val="restart"/>
          </w:tcPr>
          <w:p>
            <w:pPr>
              <w:jc w:val="right"/>
              <w:ind w:right="28"/>
              <w:spacing w:after="0"/>
              <w:rPr>
                <w:sz w:val="20"/>
                <w:szCs w:val="20"/>
                <w:color w:val="auto"/>
              </w:rPr>
            </w:pPr>
            <w:r>
              <w:rPr>
                <w:rFonts w:ascii="Arial" w:cs="Arial" w:eastAsia="Arial" w:hAnsi="Arial"/>
                <w:sz w:val="14"/>
                <w:szCs w:val="14"/>
                <w:color w:val="auto"/>
              </w:rPr>
              <w:t>48,132</w:t>
            </w:r>
          </w:p>
        </w:tc>
        <w:tc>
          <w:tcPr>
            <w:tcW w:w="0" w:type="dxa"/>
            <w:vAlign w:val="bottom"/>
          </w:tcPr>
          <w:p>
            <w:pPr>
              <w:spacing w:after="0"/>
              <w:rPr>
                <w:sz w:val="1"/>
                <w:szCs w:val="1"/>
                <w:color w:val="auto"/>
              </w:rPr>
            </w:pPr>
          </w:p>
        </w:tc>
      </w:tr>
      <w:tr>
        <w:trPr>
          <w:trHeight w:val="74"/>
        </w:trPr>
        <w:tc>
          <w:tcPr>
            <w:tcW w:w="7860" w:type="dxa"/>
            <w:vAlign w:val="bottom"/>
            <w:tcBorders>
              <w:bottom w:val="single" w:sz="8" w:color="CCEEFF"/>
            </w:tcBorders>
          </w:tcPr>
          <w:p>
            <w:pPr>
              <w:spacing w:after="0"/>
              <w:rPr>
                <w:sz w:val="6"/>
                <w:szCs w:val="6"/>
                <w:color w:val="auto"/>
              </w:rPr>
            </w:pPr>
          </w:p>
        </w:tc>
        <w:tc>
          <w:tcPr>
            <w:tcW w:w="420" w:type="dxa"/>
            <w:vAlign w:val="bottom"/>
            <w:tcBorders>
              <w:bottom w:val="single" w:sz="8" w:color="auto"/>
            </w:tcBorders>
          </w:tcPr>
          <w:p>
            <w:pPr>
              <w:spacing w:after="0"/>
              <w:rPr>
                <w:sz w:val="6"/>
                <w:szCs w:val="6"/>
                <w:color w:val="auto"/>
              </w:rPr>
            </w:pPr>
          </w:p>
        </w:tc>
        <w:tc>
          <w:tcPr>
            <w:tcW w:w="132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and cash equivalents at end of period</w:t>
            </w:r>
          </w:p>
        </w:tc>
        <w:tc>
          <w:tcPr>
            <w:tcW w:w="420" w:type="dxa"/>
            <w:vAlign w:val="bottom"/>
            <w:vMerge w:val="restart"/>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3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124,113</w:t>
            </w:r>
          </w:p>
        </w:tc>
        <w:tc>
          <w:tcPr>
            <w:tcW w:w="10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2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77,086</w:t>
            </w:r>
          </w:p>
        </w:tc>
        <w:tc>
          <w:tcPr>
            <w:tcW w:w="0" w:type="dxa"/>
            <w:vAlign w:val="bottom"/>
          </w:tcPr>
          <w:p>
            <w:pPr>
              <w:spacing w:after="0"/>
              <w:rPr>
                <w:sz w:val="1"/>
                <w:szCs w:val="1"/>
                <w:color w:val="auto"/>
              </w:rPr>
            </w:pPr>
          </w:p>
        </w:tc>
      </w:tr>
      <w:tr>
        <w:trPr>
          <w:trHeight w:val="60"/>
        </w:trPr>
        <w:tc>
          <w:tcPr>
            <w:tcW w:w="7860" w:type="dxa"/>
            <w:vAlign w:val="bottom"/>
            <w:tcBorders>
              <w:bottom w:val="single" w:sz="8" w:color="CCEEFF"/>
            </w:tcBorders>
            <w:shd w:val="clear" w:color="auto" w:fill="CCEEFF"/>
          </w:tcPr>
          <w:p>
            <w:pPr>
              <w:spacing w:after="0"/>
              <w:rPr>
                <w:sz w:val="5"/>
                <w:szCs w:val="5"/>
                <w:color w:val="auto"/>
              </w:rPr>
            </w:pPr>
          </w:p>
        </w:tc>
        <w:tc>
          <w:tcPr>
            <w:tcW w:w="420" w:type="dxa"/>
            <w:vAlign w:val="bottom"/>
            <w:tcBorders>
              <w:bottom w:val="single" w:sz="8" w:color="auto"/>
            </w:tcBorders>
            <w:vMerge w:val="continue"/>
            <w:shd w:val="clear" w:color="auto" w:fill="CCEEFF"/>
          </w:tcPr>
          <w:p>
            <w:pPr>
              <w:spacing w:after="0"/>
              <w:rPr>
                <w:sz w:val="5"/>
                <w:szCs w:val="5"/>
                <w:color w:val="auto"/>
              </w:rPr>
            </w:pPr>
          </w:p>
        </w:tc>
        <w:tc>
          <w:tcPr>
            <w:tcW w:w="132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400" w:type="dxa"/>
            <w:vAlign w:val="bottom"/>
            <w:tcBorders>
              <w:bottom w:val="single" w:sz="8" w:color="auto"/>
            </w:tcBorders>
            <w:vMerge w:val="continue"/>
            <w:shd w:val="clear" w:color="auto" w:fill="CCEEFF"/>
          </w:tcPr>
          <w:p>
            <w:pPr>
              <w:spacing w:after="0"/>
              <w:rPr>
                <w:sz w:val="5"/>
                <w:szCs w:val="5"/>
                <w:color w:val="auto"/>
              </w:rPr>
            </w:pPr>
          </w:p>
        </w:tc>
        <w:tc>
          <w:tcPr>
            <w:tcW w:w="128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25"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w:t>
      </w:r>
    </w:p>
    <w:p>
      <w:pPr>
        <w:spacing w:after="0" w:line="207" w:lineRule="exact"/>
        <w:rPr>
          <w:sz w:val="20"/>
          <w:szCs w:val="20"/>
          <w:color w:val="auto"/>
        </w:rPr>
      </w:pPr>
    </w:p>
    <w:p>
      <w:pPr>
        <w:ind w:right="8980" w:firstLine="8"/>
        <w:spacing w:after="0" w:line="346" w:lineRule="auto"/>
        <w:tabs>
          <w:tab w:leader="none" w:pos="1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i w:val="1"/>
          <w:iCs w:val="1"/>
          <w:u w:val="single" w:color="auto"/>
          <w:color w:val="auto"/>
        </w:rPr>
        <w:t>General</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terms “we,” “our,” “us,” “Company” and “Integra” refer to Integra LifeSciences Holdings Corporation, a Delaware corporation, and its subsidiaries unless the context suggests otherwise.</w:t>
      </w:r>
    </w:p>
    <w:p>
      <w:pPr>
        <w:spacing w:after="0" w:line="11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opinion of management, the March 31, 2017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2016 included in the Company’s Annual Report on Form 10-K. The December 31, 2016 consolidated balance sheet was derived from audited financial statements, but does not include all disclosures required by accounting principles generally accepted in the United States. Operating results for the three-month period ended March 31, 2017 are not necessarily indicative of the results to be expected for the entire year.</w:t>
      </w:r>
    </w:p>
    <w:p>
      <w:pPr>
        <w:spacing w:after="0" w:line="1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preparation of consolidated financial statements in conformity with generally accepted accounting principles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valuation of intangible assets including in-process research and development, amortization periods for acquired intangible assets, discount rates and estimated projected cash flows used to value and test impairments of long-lived assets and goodwill, estimates of projected cash flows and depreciation and amortization periods for long-lived assets, computation of taxes, valuation allowances recorded against deferred tax assets, the valuation of stock-based compensation, valuation of derivative instruments, valuation of the equity component of convertible debt instruments, valuation of contingent liabilities, the fair value of debt instruments and loss contingencies. These estimates are based on historical experience and on various other assumptions that are believed to be reasonable under the current circumstances. Actual results could differ from these estimates.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Amendment to the Certificate of Incorporation and Stock Split</w:t>
      </w:r>
    </w:p>
    <w:p>
      <w:pPr>
        <w:spacing w:after="0" w:line="2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October 25, 2016, our Board of Directors recommended, subject to stockholder approval, an Amendment to the Company’s Certificate of Incorporation (the “Amendment”) to increase the number of authorized shares of common stock from 60.0 million shares to 240.0 million shares with $0.01 per share par value, for the purpose of, among other things, affecting a two-for-one stock split. The stockholders approved the amendment at its special stockholders meeting on December 21, 2016, and the Company subsequently filed a certificate of amendment to our amended and restated certificate of incorporation to effect the increase in the number of authorized shares of common stock and the two-for-one-stock split. Stockholders of record, as of the close of market on December 21, 2016, became entitled to receive one additional share of common stock for each share held. The shares were distributed on January 3, 2017. No fractional shares of common stock were issued as a result of the two-for-one stock split. The adjusted stock price was reflected on the NASDAQ stock market beginning on January 4, 2017.</w:t>
      </w:r>
    </w:p>
    <w:p>
      <w:pPr>
        <w:spacing w:after="0" w:line="1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shares of common stock retain a par value of $0.01 per share. Accordingly, the stockholders' equity reflects the stock split by reclassifying from "additional paid-in capital" to "common stock" an amount equal to the par value of the increased shares resulting from the stock split. All share and per share amounts of common stock contained in the Company's financial statements have been restated for all periods to give retroactive effect to the stock split which went into effect on December 21, 2016.</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21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14, 2017, the Company entered into a binding offer letter (the “Offer Letter”) with DePuy Synthes, Inc., a Delaware corporation (“DePuy Synthes”) a wholly-owned subsidiary of Johnson &amp; Johnson, pursuant to which the Company made a binding offer (the “Binding Offer”) to acquire certain assets, and assume certain liabilities, of Johnson &amp; Johnson’s Codman neurosurgery business (the “Codman Neurosurgery Transaction”). The assets and liabilities subject to the proposed Codman Neurosurgery Transaction relate to the research, development, manufacture, marketing, distribution and sale of certain products used in connection with neurosurgery procedures (the “Codman Neurosurgery Business”). The purchase price for the Codman Neurosurgery Transaction is $1.0 billion, subject to adjustments set forth in the Purchase Agreement (as defined below) relating to the book value of inventory transferred to the Company at the closing of the Codman Neurosurgery Transaction, the book value of certain inventory retained by DePuy Synthes and the amount of certain prepaid taxes (as so adjusted, the “Purchase Price”).</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Binding Offer expires on the earlier of (i) May 15, 2017 and (ii) the second business day after each of the employees’ representative bodies of DePuy Synthes and its affiliates in certain jurisdictions have concluded certain statutory information or consultation processes in connection with the Codman Neurosurgery Transaction (the “Specified Consultation Processes”). The Binding Offer can be extended by either party in certain circumstances to no later than August 14, 2017. Upon completion of the Specified Consultation Processes, the Company expects that DePuy Synthes will accept the Binding Offer by countersigning the asset purchase agreement attached to the Offer Letter (the “Purchase Agreement”). The Offer Letter provides that, until the Binding Offer is accepted or the Offer Letter is terminated, DePuy Synthes is prohibited from soliciting proposals from, negotiating or discussing with, or entering into an agreement with, third parties with respect to an alternative transaction relating to 25% or more of the assets of the Codman Neurosurgery Business. If DePuy Synthes does not accept the Binding Offer prior to its expiration, the Offer Letter requires DePuy Synthes to pay the Company $10.5 million as reimbursement for the Company’s expenses. The Offer Letter requires DePuy Synthes to pay a termination fee of $41.8 million if (i) the Company terminates the Offer Letter as a result of DePuy Synthes’ breach of its exclusivity obligations or (ii) any person has made an alternative proposal prior to the termination of the Binding Offer, DePuy Synthes fails to accept the Binding Offer and DePuy Synthes enters into a definitive agreement with respect to any alternative proposal within twelve months after the termination of the Offer Letter.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Recently Issued Accounting Standards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In May 2014, the FASB issued Update No.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The core principle of the guidance is that an entity should recognize revenue to depict the transfer of promised goods or services to customers in an amount that reflects the consideration to which the entity expects to be entitled in exchange for those goods or services. To achieve that core principle, an entity should: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 This update will become effective for all annual periods and interim reporting periods beginning after December 15, 2017. Early adoption as of January 1, 2017 is permitted. The Company will adopt this standard on January 1, 2018. The Company expects to apply the full retrospective method of adoption. The Company has developed a project plan to assess the potential impact of the standard and has evaluated a sample of significant contracts. The Company has not yet reached a conclusion as to how the adoption of the standard will affect the Company's financial position, results of operations and cash flows.</w:t>
      </w:r>
    </w:p>
    <w:p>
      <w:pPr>
        <w:spacing w:after="0" w:line="12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July 2015, the FASB issued Update No. 2015-11, </w:t>
      </w:r>
      <w:r>
        <w:rPr>
          <w:rFonts w:ascii="Arial" w:cs="Arial" w:eastAsia="Arial" w:hAnsi="Arial"/>
          <w:sz w:val="16"/>
          <w:szCs w:val="16"/>
          <w:i w:val="1"/>
          <w:iCs w:val="1"/>
          <w:color w:val="auto"/>
        </w:rPr>
        <w:t>Simplifying the Measurement of Inventory</w:t>
      </w:r>
      <w:r>
        <w:rPr>
          <w:rFonts w:ascii="Arial" w:cs="Arial" w:eastAsia="Arial" w:hAnsi="Arial"/>
          <w:sz w:val="16"/>
          <w:szCs w:val="16"/>
          <w:color w:val="auto"/>
        </w:rPr>
        <w:t xml:space="preserve">. The amendment requires an entity to measure inventory that is within the scope of this amendment at the lower of cost and net realizable value. Existing impairment models will continue to be used for inventories that are accounted for using the last-in first-out (“LIFO”) method. The ASU requires prospective adoption for inventory measurements for fiscal years beginning after December 15, 2016 and interim periods within those fiscal years for public business entities. Early adoption was permitted. The Company adopted </w:t>
      </w:r>
      <w:r>
        <w:rPr>
          <w:rFonts w:ascii="Arial" w:cs="Arial" w:eastAsia="Arial" w:hAnsi="Arial"/>
          <w:sz w:val="16"/>
          <w:szCs w:val="16"/>
          <w:i w:val="1"/>
          <w:iCs w:val="1"/>
          <w:color w:val="auto"/>
        </w:rPr>
        <w:t xml:space="preserve">ASU 2015-11 </w:t>
      </w:r>
      <w:r>
        <w:rPr>
          <w:rFonts w:ascii="Arial" w:cs="Arial" w:eastAsia="Arial" w:hAnsi="Arial"/>
          <w:sz w:val="16"/>
          <w:szCs w:val="16"/>
          <w:color w:val="auto"/>
        </w:rPr>
        <w:t>as of January 1, 2017 on a prospective basis, and there was no significant impact of this guidance on its consolidated financial statements.</w:t>
      </w:r>
    </w:p>
    <w:p>
      <w:pPr>
        <w:spacing w:after="0" w:line="1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February 2016, the FASB issued Update No. 2016-02, </w:t>
      </w:r>
      <w:r>
        <w:rPr>
          <w:rFonts w:ascii="Arial" w:cs="Arial" w:eastAsia="Arial" w:hAnsi="Arial"/>
          <w:sz w:val="17"/>
          <w:szCs w:val="17"/>
          <w:i w:val="1"/>
          <w:iCs w:val="1"/>
          <w:color w:val="auto"/>
        </w:rPr>
        <w:t>Leases (Topic 842)</w:t>
      </w:r>
      <w:r>
        <w:rPr>
          <w:rFonts w:ascii="Arial" w:cs="Arial" w:eastAsia="Arial" w:hAnsi="Arial"/>
          <w:sz w:val="17"/>
          <w:szCs w:val="17"/>
          <w:color w:val="auto"/>
        </w:rPr>
        <w:t>. Under current accounting guidance an entity is not required to report operating leases on the balance sheet. The amendment requires that lessees recognize virtually all of their leases on the balance sheet by recording a right-of-use asset and lease liability (other than leases that meet the definition of a "short-term lease"). This update will become effective for all annual periods and interim reporting periods beginning after December 15, 2018. The new standard must be adopted using a modified retrospective transition. Early adoption is permitted. The Company is in the process of evaluating the impact of this standard on its financial statements.</w:t>
      </w:r>
    </w:p>
    <w:p>
      <w:pPr>
        <w:spacing w:after="0" w:line="1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In March 2016, the FASB issued Update No. 2016-09, </w:t>
      </w:r>
      <w:r>
        <w:rPr>
          <w:rFonts w:ascii="Arial" w:cs="Arial" w:eastAsia="Arial" w:hAnsi="Arial"/>
          <w:sz w:val="17"/>
          <w:szCs w:val="17"/>
          <w:i w:val="1"/>
          <w:iCs w:val="1"/>
          <w:color w:val="auto"/>
        </w:rPr>
        <w:t>Improvements to Employee Share-Based Payment Accounting (Topic 718) (ASU 2016-09)</w:t>
      </w:r>
      <w:r>
        <w:rPr>
          <w:rFonts w:ascii="Arial" w:cs="Arial" w:eastAsia="Arial" w:hAnsi="Arial"/>
          <w:sz w:val="17"/>
          <w:szCs w:val="17"/>
          <w:color w:val="auto"/>
        </w:rPr>
        <w:t xml:space="preserve">, which simplifies several aspects of the accounting for share-based payment. Under current accounting guidance an entity is required to report excess tax benefits and tax deficiencies, to the extent of previous windfalls, in equity when an award is settled. A tax benefit currently is recognized only when it is realized. Excess tax benefits at settlements are currently reported as cash inflows from financing activities. The amendment requires that an entity present all excess tax benefits and all tax deficiencies as income tax expense or benefit in the statement of operations to be applied using a prospective transition method. Related tax effects of share-based payment settlements are to be presented as cash inflows from operating activities with either a prospective or retrospective transition method. The amendment also removes the requirement to delay recognition of an excess tax benefit until the tax benefit is realized. A modified retrospective transition method must be applied for this provision of the amendment. </w:t>
      </w:r>
      <w:r>
        <w:rPr>
          <w:rFonts w:ascii="Arial" w:cs="Arial" w:eastAsia="Arial" w:hAnsi="Arial"/>
          <w:sz w:val="17"/>
          <w:szCs w:val="17"/>
          <w:i w:val="1"/>
          <w:iCs w:val="1"/>
          <w:color w:val="auto"/>
        </w:rPr>
        <w:t>ASU 2016-09</w:t>
      </w:r>
      <w:r>
        <w:rPr>
          <w:rFonts w:ascii="Arial" w:cs="Arial" w:eastAsia="Arial" w:hAnsi="Arial"/>
          <w:sz w:val="17"/>
          <w:szCs w:val="17"/>
          <w:color w:val="auto"/>
        </w:rPr>
        <w:t xml:space="preserve"> allows the Company to elect either to account for forfeitures based on an estimate of the number of awards for which the requisite service period is not expected to be rendered with a true-up for actual forfeitures or to account for forfeitures as they occur. The amendment also requires cash outflows attributable to tax withholdings on the net settlement of equity-classified awards to be classified in financing cash flows, with any changes to be applied retrospectively. </w:t>
      </w:r>
      <w:r>
        <w:rPr>
          <w:rFonts w:ascii="Arial" w:cs="Arial" w:eastAsia="Arial" w:hAnsi="Arial"/>
          <w:sz w:val="17"/>
          <w:szCs w:val="17"/>
          <w:i w:val="1"/>
          <w:iCs w:val="1"/>
          <w:color w:val="auto"/>
        </w:rPr>
        <w:t>ASU 2016-09</w:t>
      </w:r>
      <w:r>
        <w:rPr>
          <w:rFonts w:ascii="Arial" w:cs="Arial" w:eastAsia="Arial" w:hAnsi="Arial"/>
          <w:sz w:val="17"/>
          <w:szCs w:val="17"/>
          <w:color w:val="auto"/>
        </w:rPr>
        <w:t xml:space="preserve"> is effective for all annual periods and interim reporting periods beginning after December 15, 2016. Early adoption was permitted.</w:t>
      </w:r>
    </w:p>
    <w:p>
      <w:pPr>
        <w:spacing w:after="0" w:line="12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Company elected to early adopt </w:t>
      </w:r>
      <w:r>
        <w:rPr>
          <w:rFonts w:ascii="Arial" w:cs="Arial" w:eastAsia="Arial" w:hAnsi="Arial"/>
          <w:sz w:val="18"/>
          <w:szCs w:val="18"/>
          <w:i w:val="1"/>
          <w:iCs w:val="1"/>
          <w:color w:val="auto"/>
        </w:rPr>
        <w:t>ASU 2016-09</w:t>
      </w:r>
      <w:r>
        <w:rPr>
          <w:rFonts w:ascii="Arial" w:cs="Arial" w:eastAsia="Arial" w:hAnsi="Arial"/>
          <w:sz w:val="18"/>
          <w:szCs w:val="18"/>
          <w:color w:val="auto"/>
        </w:rPr>
        <w:t xml:space="preserve"> during the quarter ended June 30, 2016. As a result, the Company has reflected any adjustments as of January 1, 2016, the beginning of the annual period that includes the interim period of adoption. The Company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elected to account for forfeitures as they occur. The impact in retained earnings as of December 31, 2015 from this provision was not significant. The Company has adopted amendments related to accounting for excess tax benefits prospectively, resulting in recognition of excess tax benefits against income tax expenses rather than additional paid-in capital of $1.8 million for the three months ended March 31, 2016. Amendments related to the condensed consolidated statement of cash flows have been adopted retrospectively. As a result of this adoption, net cash provided by operating activities increased by $5.9 million, and net cash provided by financing activities decreased by $5.9 million for the three months ended March 31, 2016. The prior periods were retrospectively adjusted to reflect the change.</w:t>
      </w:r>
    </w:p>
    <w:p>
      <w:pPr>
        <w:spacing w:after="0" w:line="13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August 2016, the FASB issued Update No. 2016-15, </w:t>
      </w:r>
      <w:r>
        <w:rPr>
          <w:rFonts w:ascii="Arial" w:cs="Arial" w:eastAsia="Arial" w:hAnsi="Arial"/>
          <w:sz w:val="17"/>
          <w:szCs w:val="17"/>
          <w:i w:val="1"/>
          <w:iCs w:val="1"/>
          <w:color w:val="auto"/>
        </w:rPr>
        <w:t>Classification of Certain Cash Receipts and Cash Payments</w:t>
      </w:r>
      <w:r>
        <w:rPr>
          <w:rFonts w:ascii="Arial" w:cs="Arial" w:eastAsia="Arial" w:hAnsi="Arial"/>
          <w:sz w:val="17"/>
          <w:szCs w:val="17"/>
          <w:color w:val="auto"/>
        </w:rPr>
        <w:t>. The guidance addresses the classification of cash flows related to debt repayment or extinguishment costs, settlement of zero-coupon debt instruments or debt instruments with coupon rates that are insignificant in relation to the effective interest rate of the borrowing, contingent consideration payments made after business combination, proceeds from the settlement of insurance claims and corporate-owned life insurance, distribution received from equity method investees and beneficial interest in securitization transaction. This update will become effective for all annual periods and interim reporting periods beginning after December 15, 2017. Early adoption is permitted. The Company is in the process of evaluating the impact of this standard on its financial statements.</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October 2016, the FASB issued Update No. 2016-16, </w:t>
      </w:r>
      <w:r>
        <w:rPr>
          <w:rFonts w:ascii="Arial" w:cs="Arial" w:eastAsia="Arial" w:hAnsi="Arial"/>
          <w:sz w:val="18"/>
          <w:szCs w:val="18"/>
          <w:i w:val="1"/>
          <w:iCs w:val="1"/>
          <w:color w:val="auto"/>
        </w:rPr>
        <w:t>Intra-Entity Transfers of Assets Other Than Inventory.</w:t>
      </w:r>
      <w:r>
        <w:rPr>
          <w:rFonts w:ascii="Arial" w:cs="Arial" w:eastAsia="Arial" w:hAnsi="Arial"/>
          <w:sz w:val="18"/>
          <w:szCs w:val="18"/>
          <w:color w:val="auto"/>
        </w:rPr>
        <w:t xml:space="preserve"> The guidance requires the income tax consequences of intra-entity transfers of assets other than inventory to be recognized as current period income tax expense or benefit and removes the requirement to defer and amortize the consolidated tax consequences of intra-entity transfers. The new standard will be effective for all annual periods beginning after December 15, 2017. Early adoption is permitted. The Company is in the process of evaluating the impact of this standard on its financial statements.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In January 2017, the FASB issued Update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The standard eliminates the second step in the goodwill impairment test, which requires an entity to determine the implied fair value of the reporting unit’s goodwill. Instead, an entity should recognize an impairment loss if the carrying value of the net assets assigned to the reporting unit exceeds the fair value of the reporting unit, with the impairment loss not to exceed the amount of goodwill allocated to the reporting unit. The standard is effective for annual and interim goodwill impairment tests conducted in fiscal years beginning after December 15, 2019. Early adoption is permitted. The Company elected to early adopt </w:t>
      </w:r>
      <w:r>
        <w:rPr>
          <w:rFonts w:ascii="Arial" w:cs="Arial" w:eastAsia="Arial" w:hAnsi="Arial"/>
          <w:sz w:val="17"/>
          <w:szCs w:val="17"/>
          <w:i w:val="1"/>
          <w:iCs w:val="1"/>
          <w:color w:val="auto"/>
        </w:rPr>
        <w:t>ASU 2017-04</w:t>
      </w:r>
      <w:r>
        <w:rPr>
          <w:rFonts w:ascii="Arial" w:cs="Arial" w:eastAsia="Arial" w:hAnsi="Arial"/>
          <w:sz w:val="17"/>
          <w:szCs w:val="17"/>
          <w:color w:val="auto"/>
        </w:rPr>
        <w:t xml:space="preserve"> effective January 1, 2017 and will apply the new guidance in its annual assessment in the third quarter of 2017.</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January 2017, the FASB issued Update No. 2017-01, </w:t>
      </w:r>
      <w:r>
        <w:rPr>
          <w:rFonts w:ascii="Arial" w:cs="Arial" w:eastAsia="Arial" w:hAnsi="Arial"/>
          <w:sz w:val="18"/>
          <w:szCs w:val="18"/>
          <w:i w:val="1"/>
          <w:iCs w:val="1"/>
          <w:color w:val="auto"/>
        </w:rPr>
        <w:t>Business Combinations</w:t>
      </w:r>
      <w:r>
        <w:rPr>
          <w:rFonts w:ascii="Arial" w:cs="Arial" w:eastAsia="Arial" w:hAnsi="Arial"/>
          <w:sz w:val="18"/>
          <w:szCs w:val="18"/>
          <w:color w:val="auto"/>
        </w:rPr>
        <w:t>. The standard provides guidance for evaluating whether transactions should be accounted for as acquisitions (or disposals) of assets or businesses. The guidance provides a screen to determine when an integrated set of assets and activities (a “set”) does not qualify to be a business. The screen requires that when substantially all of the fair value of the gross assets acquired (or disposed of) is concentrated in an identifiable asset or a group of similar identifiable assets, the set of assets and activities is not a business. If the screen is not met, the guidance requires a set of assets and activities to be considered a business and to include, at a minimum, an input and a substantive process that together significantly contribute to the ability to create outputs and removes the evaluation as to whether a market participant could replace the missing elements. The new standard will be effective for all annual periods beginning after December 15, 2017. Early adoption is permitted. The Company elected to early adopt ASU 2017-01 effective January 1, 2017. The implementation of the amended guidance did not have any material impact on the Company's consolidated financial statements.</w:t>
      </w:r>
    </w:p>
    <w:p>
      <w:pPr>
        <w:spacing w:after="0" w:line="1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other recently issued accounting pronouncements that are expected to have a material effect on the Company's financial position, results of operations or cash flows.</w:t>
      </w:r>
    </w:p>
    <w:p>
      <w:pPr>
        <w:spacing w:after="0" w:line="329" w:lineRule="exact"/>
        <w:rPr>
          <w:sz w:val="20"/>
          <w:szCs w:val="20"/>
          <w:color w:val="auto"/>
        </w:rPr>
      </w:pPr>
    </w:p>
    <w:p>
      <w:pPr>
        <w:ind w:right="9080" w:firstLine="8"/>
        <w:spacing w:after="0" w:line="376" w:lineRule="auto"/>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ACQUISITION </w:t>
      </w:r>
      <w:r>
        <w:rPr>
          <w:rFonts w:ascii="Arial" w:cs="Arial" w:eastAsia="Arial" w:hAnsi="Arial"/>
          <w:sz w:val="18"/>
          <w:szCs w:val="18"/>
          <w:b w:val="1"/>
          <w:bCs w:val="1"/>
          <w:i w:val="1"/>
          <w:iCs w:val="1"/>
          <w:u w:val="single" w:color="auto"/>
          <w:color w:val="auto"/>
        </w:rPr>
        <w:t>Derma Sciences</w:t>
      </w:r>
    </w:p>
    <w:p>
      <w:pPr>
        <w:spacing w:after="0" w:line="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of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Derma Sciences is a tissue regeneration company focused on advance wound and burn care that offers products to help manage chronic and hard-to-heal wounds, especially those resulting from diabetes and poor vascular functioning.</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recorded revenue for Derma Sciences of approximately $10.4 million in the condensed consolidated statements of operations and comprehensive income for the three months ended March 31, 2017. The net income or loss attributable to this acquisition cannot be identified on a stand-alone basis because it is in the process of being integrated into the Company's operations.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summarizes the preliminary allocation of the purchase price as of March 31, 2017 based on the fair value of the assets acquired and liabilities assumed:</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tcPr>
          <w:p>
            <w:pPr>
              <w:jc w:val="center"/>
              <w:ind w:right="72"/>
              <w:spacing w:after="0"/>
              <w:rPr>
                <w:sz w:val="20"/>
                <w:szCs w:val="20"/>
                <w:color w:val="auto"/>
              </w:rPr>
            </w:pPr>
            <w:r>
              <w:rPr>
                <w:rFonts w:ascii="Arial" w:cs="Arial" w:eastAsia="Arial" w:hAnsi="Arial"/>
                <w:sz w:val="14"/>
                <w:szCs w:val="14"/>
                <w:b w:val="1"/>
                <w:bCs w:val="1"/>
                <w:color w:val="auto"/>
                <w:w w:val="93"/>
              </w:rPr>
              <w:t>Preliminary Purchase Price</w:t>
            </w:r>
          </w:p>
        </w:tc>
        <w:tc>
          <w:tcPr>
            <w:tcW w:w="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92"/>
        </w:trPr>
        <w:tc>
          <w:tcPr>
            <w:tcW w:w="75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4"/>
              </w:rPr>
              <w:t>Allocation</w:t>
            </w:r>
          </w:p>
        </w:tc>
        <w:tc>
          <w:tcPr>
            <w:tcW w:w="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50"/>
        </w:trPr>
        <w:tc>
          <w:tcPr>
            <w:tcW w:w="7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60" w:type="dxa"/>
            <w:vAlign w:val="bottom"/>
          </w:tcPr>
          <w:p>
            <w:pPr>
              <w:jc w:val="center"/>
              <w:ind w:right="132"/>
              <w:spacing w:after="0"/>
              <w:rPr>
                <w:sz w:val="20"/>
                <w:szCs w:val="20"/>
                <w:color w:val="auto"/>
              </w:rPr>
            </w:pPr>
            <w:r>
              <w:rPr>
                <w:rFonts w:ascii="Arial" w:cs="Arial" w:eastAsia="Arial" w:hAnsi="Arial"/>
                <w:sz w:val="14"/>
                <w:szCs w:val="14"/>
                <w:b w:val="1"/>
                <w:bCs w:val="1"/>
                <w:color w:val="auto"/>
                <w:w w:val="91"/>
              </w:rPr>
              <w:t>(Dollars in thousands)</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16,512</w:t>
            </w:r>
          </w:p>
        </w:tc>
        <w:tc>
          <w:tcPr>
            <w:tcW w:w="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19,238</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8,949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18,089</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4,369</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4,311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Intangible assets:</w:t>
            </w:r>
          </w:p>
        </w:tc>
        <w:tc>
          <w:tcPr>
            <w:tcW w:w="220" w:type="dxa"/>
            <w:vAlign w:val="bottom"/>
            <w:shd w:val="clear" w:color="auto" w:fill="CCEEFF"/>
          </w:tcPr>
          <w:p>
            <w:pPr>
              <w:spacing w:after="0"/>
              <w:rPr>
                <w:sz w:val="21"/>
                <w:szCs w:val="21"/>
                <w:color w:val="auto"/>
              </w:rPr>
            </w:pPr>
          </w:p>
        </w:tc>
        <w:tc>
          <w:tcPr>
            <w:tcW w:w="20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Wtd. Avg. Life:</w:t>
            </w:r>
          </w:p>
        </w:tc>
      </w:tr>
      <w:tr>
        <w:trPr>
          <w:trHeight w:val="243"/>
        </w:trPr>
        <w:tc>
          <w:tcPr>
            <w:tcW w:w="7540" w:type="dxa"/>
            <w:vAlign w:val="bottom"/>
            <w:tcBorders>
              <w:top w:val="single" w:sz="8" w:color="CCEEFF"/>
            </w:tcBorders>
          </w:tcPr>
          <w:p>
            <w:pPr>
              <w:ind w:left="180"/>
              <w:spacing w:after="0"/>
              <w:rPr>
                <w:sz w:val="20"/>
                <w:szCs w:val="20"/>
                <w:color w:val="auto"/>
              </w:rPr>
            </w:pPr>
            <w:r>
              <w:rPr>
                <w:rFonts w:ascii="Arial" w:cs="Arial" w:eastAsia="Arial" w:hAnsi="Arial"/>
                <w:sz w:val="18"/>
                <w:szCs w:val="18"/>
                <w:color w:val="auto"/>
              </w:rPr>
              <w:t>Customer relationship</w:t>
            </w:r>
          </w:p>
        </w:tc>
        <w:tc>
          <w:tcPr>
            <w:tcW w:w="220" w:type="dxa"/>
            <w:vAlign w:val="bottom"/>
            <w:tcBorders>
              <w:top w:val="single" w:sz="8" w:color="CCEEFF"/>
            </w:tcBorders>
          </w:tcPr>
          <w:p>
            <w:pPr>
              <w:spacing w:after="0"/>
              <w:rPr>
                <w:sz w:val="21"/>
                <w:szCs w:val="21"/>
                <w:color w:val="auto"/>
              </w:rPr>
            </w:pPr>
          </w:p>
        </w:tc>
        <w:tc>
          <w:tcPr>
            <w:tcW w:w="2060" w:type="dxa"/>
            <w:vAlign w:val="bottom"/>
            <w:tcBorders>
              <w:top w:val="single" w:sz="8" w:color="CCEEFF"/>
            </w:tcBorders>
          </w:tcPr>
          <w:p>
            <w:pPr>
              <w:jc w:val="right"/>
              <w:ind w:right="12"/>
              <w:spacing w:after="0"/>
              <w:rPr>
                <w:sz w:val="20"/>
                <w:szCs w:val="20"/>
                <w:color w:val="auto"/>
              </w:rPr>
            </w:pPr>
            <w:r>
              <w:rPr>
                <w:rFonts w:ascii="Arial" w:cs="Arial" w:eastAsia="Arial" w:hAnsi="Arial"/>
                <w:sz w:val="18"/>
                <w:szCs w:val="18"/>
                <w:color w:val="auto"/>
              </w:rPr>
              <w:t>78,300</w:t>
            </w:r>
          </w:p>
        </w:tc>
        <w:tc>
          <w:tcPr>
            <w:tcW w:w="40" w:type="dxa"/>
            <w:vAlign w:val="bottom"/>
            <w:tcBorders>
              <w:top w:val="single" w:sz="8" w:color="CCEEFF"/>
            </w:tcBorders>
          </w:tcPr>
          <w:p>
            <w:pPr>
              <w:spacing w:after="0"/>
              <w:rPr>
                <w:sz w:val="21"/>
                <w:szCs w:val="21"/>
                <w:color w:val="auto"/>
              </w:rPr>
            </w:pPr>
          </w:p>
        </w:tc>
        <w:tc>
          <w:tcPr>
            <w:tcW w:w="11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14 years</w:t>
            </w:r>
          </w:p>
        </w:tc>
        <w:tc>
          <w:tcPr>
            <w:tcW w:w="440" w:type="dxa"/>
            <w:vAlign w:val="bottom"/>
            <w:tcBorders>
              <w:top w:val="single" w:sz="8" w:color="CCEEFF"/>
            </w:tcBorders>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Trademarks/brand names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13,500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15 years</w:t>
            </w:r>
          </w:p>
        </w:tc>
      </w:tr>
      <w:tr>
        <w:trPr>
          <w:trHeight w:val="243"/>
        </w:trPr>
        <w:tc>
          <w:tcPr>
            <w:tcW w:w="7540" w:type="dxa"/>
            <w:vAlign w:val="bottom"/>
          </w:tcPr>
          <w:p>
            <w:pPr>
              <w:ind w:left="180"/>
              <w:spacing w:after="0"/>
              <w:rPr>
                <w:sz w:val="20"/>
                <w:szCs w:val="20"/>
                <w:color w:val="auto"/>
              </w:rPr>
            </w:pPr>
            <w:r>
              <w:rPr>
                <w:rFonts w:ascii="Arial" w:cs="Arial" w:eastAsia="Arial" w:hAnsi="Arial"/>
                <w:sz w:val="18"/>
                <w:szCs w:val="18"/>
                <w:color w:val="auto"/>
              </w:rPr>
              <w:t>Completed technology</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11,600</w:t>
            </w:r>
          </w:p>
        </w:tc>
        <w:tc>
          <w:tcPr>
            <w:tcW w:w="40" w:type="dxa"/>
            <w:vAlign w:val="bottom"/>
          </w:tcPr>
          <w:p>
            <w:pPr>
              <w:spacing w:after="0"/>
              <w:rPr>
                <w:sz w:val="21"/>
                <w:szCs w:val="21"/>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14 years</w:t>
            </w: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Non-compete agreement</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w:t>
            </w:r>
          </w:p>
        </w:tc>
        <w:tc>
          <w:tcPr>
            <w:tcW w:w="4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1 year</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66,488</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19,355</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101</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 acquired</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261,092</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4,560</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 and other 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6,634</w:t>
            </w:r>
          </w:p>
        </w:tc>
        <w:tc>
          <w:tcPr>
            <w:tcW w:w="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Contingent liability</w:t>
            </w:r>
          </w:p>
        </w:tc>
        <w:tc>
          <w:tcPr>
            <w:tcW w:w="220" w:type="dxa"/>
            <w:vAlign w:val="bottom"/>
          </w:tcPr>
          <w:p>
            <w:pPr>
              <w:spacing w:after="0"/>
              <w:rPr>
                <w:sz w:val="21"/>
                <w:szCs w:val="21"/>
                <w:color w:val="auto"/>
              </w:rPr>
            </w:pPr>
          </w:p>
        </w:tc>
        <w:tc>
          <w:tcPr>
            <w:tcW w:w="2060" w:type="dxa"/>
            <w:vAlign w:val="bottom"/>
          </w:tcPr>
          <w:p>
            <w:pPr>
              <w:jc w:val="right"/>
              <w:ind w:right="12"/>
              <w:spacing w:after="0"/>
              <w:rPr>
                <w:sz w:val="20"/>
                <w:szCs w:val="20"/>
                <w:color w:val="auto"/>
              </w:rPr>
            </w:pPr>
            <w:r>
              <w:rPr>
                <w:rFonts w:ascii="Arial" w:cs="Arial" w:eastAsia="Arial" w:hAnsi="Arial"/>
                <w:sz w:val="18"/>
                <w:szCs w:val="18"/>
                <w:color w:val="auto"/>
              </w:rPr>
              <w:t>36,314</w:t>
            </w:r>
          </w:p>
        </w:tc>
        <w:tc>
          <w:tcPr>
            <w:tcW w:w="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40" w:type="dxa"/>
            <w:vAlign w:val="bottom"/>
          </w:tcPr>
          <w:p>
            <w:pPr>
              <w:spacing w:after="0"/>
              <w:rPr>
                <w:sz w:val="21"/>
                <w:szCs w:val="21"/>
                <w:color w:val="auto"/>
              </w:rPr>
            </w:pPr>
          </w:p>
        </w:tc>
      </w:tr>
      <w:tr>
        <w:trPr>
          <w:trHeight w:val="27"/>
        </w:trPr>
        <w:tc>
          <w:tcPr>
            <w:tcW w:w="7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2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2,813</w:t>
            </w:r>
          </w:p>
        </w:tc>
        <w:tc>
          <w:tcPr>
            <w:tcW w:w="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r>
      <w:tr>
        <w:trPr>
          <w:trHeight w:val="257"/>
        </w:trPr>
        <w:tc>
          <w:tcPr>
            <w:tcW w:w="7540" w:type="dxa"/>
            <w:vAlign w:val="bottom"/>
          </w:tcPr>
          <w:p>
            <w:pPr>
              <w:ind w:left="260"/>
              <w:spacing w:after="0"/>
              <w:rPr>
                <w:sz w:val="20"/>
                <w:szCs w:val="20"/>
                <w:color w:val="auto"/>
              </w:rPr>
            </w:pPr>
            <w:r>
              <w:rPr>
                <w:rFonts w:ascii="Arial" w:cs="Arial" w:eastAsia="Arial" w:hAnsi="Arial"/>
                <w:sz w:val="18"/>
                <w:szCs w:val="18"/>
                <w:b w:val="1"/>
                <w:bCs w:val="1"/>
                <w:color w:val="auto"/>
              </w:rPr>
              <w:t>Net assets acquired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210,771</w:t>
            </w:r>
          </w:p>
        </w:tc>
        <w:tc>
          <w:tcPr>
            <w:tcW w:w="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0"/>
        </w:trPr>
        <w:tc>
          <w:tcPr>
            <w:tcW w:w="7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Goodwill was allocated to the Orthopedics and Tissue Technologies segment. Goodwill is the excess of the consideration transferred over the net assets recognized and represents the expected revenue and cost synergies of the combined company and assembled workforce. Goodwill recognized as a result of the acquisition is not deductible for income tax purposes.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Short-term Investments</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Short-term investments recognized at acquisition date of Derma Sciences are investments in equity and debt securities including certificates of deposit purchased with an original maturity greater than three months which are deposited in various U.S. financial institutions and are fully insured by the Federal Deposit Insurance Corporation. The Company considers securities with original maturities of greater than 90 days to be available for sale securities. Securities under this classification are recorded at fair value and unrealized gains and losses are recorded within accumulated other comprehensive income. The estimated fair value of the available for sale securities is determined based on quoted market prices. The Company evaluates securities with unrealized losses to determine whether such losses, if any, are other than temporary. Short-term investments are classified as Level 1 in fair value hierarchy. Fair values of short-term investments are determined using the unadjusted quoted prices in active markets for identical assets or liabilities that the Company has the ability to access at the balance sheet date.</w:t>
      </w:r>
    </w:p>
    <w:p>
      <w:pPr>
        <w:spacing w:after="0" w:line="1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March 31, 2017, short-term investments consisted of an investment in equity securities with an estimated fair value of $11.3 million. At March 31, 2017, the Company had no securities with an unrealized loss position. As of March 31, 2017, the Company did not have any realized gains or losses from the sale of short-term investments.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Short-term investments are available for current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Deferred Taxes</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acquired deferred taxes of $19.4 million primarily include a deferred tax asset of $39.7 million related to a federal net operating loss which the Company expects to utilize against income in future periods and a deferred tax asset of $15.8 million related to</w:t>
      </w:r>
    </w:p>
    <w:p>
      <w:pPr>
        <w:sectPr>
          <w:pgSz w:w="11900" w:h="16838" w:orient="portrait"/>
          <w:cols w:equalWidth="0" w:num="1">
            <w:col w:w="11420"/>
          </w:cols>
          <w:pgMar w:left="240" w:top="121" w:right="239"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1"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intangibles acquired by Derma Sciences in previous periods, offset by a deferred tax liability of $36.8 million for new intangibles for which the Company will not receive a tax benefit.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United States Food and Drug Administration ("FDA") Untitled Letter</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22, 2015, the FDA issued an Untitled Letter (the "Untitled Letter") alleging that BioD LLC’s ("BioD") morselized amniotic membrane based products do not meet the criteria for regulation as human cellular tissue-based products (“HCT/Ps”) solely under Section 361 of the Public Health Service Act and that, as a result, BioD would need a biologics license to lawfully market those morselized products (BioD is a wholly owned subsidiary of Derma Sciences). Since the issuance of the Untitled Letter, BioD and now the Company has been in discussions with the FDA to communicate its disagreement with the FDA’s assertion that certain products are more than minimally manipulated and therefore do not meet the requirements for HCT/Ps. To date, the FDA has not changed its position that certain of the acquired morselized products are not eligible for marketing solely under Section 361 of the Public Health Service Act, but discussions are continuing.</w:t>
      </w:r>
    </w:p>
    <w:p>
      <w:pPr>
        <w:spacing w:after="0" w:line="18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December 22, 2014, the FDA issued for comment “Draft Guidance for Industry and FDA Staff: Minimal Manipulation of Human Cells, Tissues, and Cellular and Tissue-Based Products.” On October 28, 2015, the FDA issued for comment, "Draft Guidance for Industry and FDA Staff: Homologous Use of Human Cells, Tissues, and Cellular and Tissue-Based Products." The FDA held a public hearing on September 12 and 13, 2016 to obtain input on the Homologous Use draft guidance and the Minimal Manipulation draft guidance, as well as other recently issued guidance documents on HCT/Ps. The Company continues to market these products. The Company continues to monitor the FDA's position on these products.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assumed contingent liabilities incurred by Derma Sciences related to its acquisitions of BioD and the intellectual property related to the Medihoney product. The Company accounted for the contingent liabilities by recording their fair value on the date of the acquisition based on a discounted cash-flow model. The contingent liabilities recognized as part of the Derma Sciences acquisition relate to the following:</w:t>
      </w:r>
    </w:p>
    <w:p>
      <w:pPr>
        <w:spacing w:after="0" w:line="181" w:lineRule="exact"/>
        <w:rPr>
          <w:sz w:val="20"/>
          <w:szCs w:val="20"/>
          <w:color w:val="auto"/>
        </w:rPr>
      </w:pPr>
    </w:p>
    <w:p>
      <w:pPr>
        <w:ind w:left="660" w:hanging="328"/>
        <w:spacing w:after="0" w:line="277"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incentive payments that could be made to former equity owners of BioD if net sales of BioD products exceed a certain amount for the twelve-month periods ending June 30, 2017 and 2018. ("BioD Earnout Payment");</w:t>
      </w:r>
    </w:p>
    <w:p>
      <w:pPr>
        <w:spacing w:after="0" w:line="129"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contractual incentive payment that could be made to the former equity owners if there has been no specific enforcement action or notice by the FDA against the specific BioD products as a result of the Untitled Letter for a certain period after closing as defined by the agreement ("Product Payment"); and</w:t>
      </w:r>
    </w:p>
    <w:p>
      <w:pPr>
        <w:spacing w:after="0" w:line="14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contractual incentive payments that will be made to the former owner of the intellectual property relating to the Medihoney product line, if net sales of Medihoney products exceed certain amounts defined in the agreement between Derma Sciences and the former owner of the intellectual property of Medihoney for any twelve-month period ("Medihoney Earnout Payment").</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the acquisition, net sales used in estimating the BioD Earnout Payment is based on the weighted average of different possible scenarios using revenue volatility of 13.5%. The BioD Earnout Payment was valued using a discount rate of 3.0%. The maximum payout related to the BioD Earnout Payment is $26.5 million. The estimated fair value as of February 24, 2017 was $9.1 million.</w:t>
      </w:r>
    </w:p>
    <w:p>
      <w:pPr>
        <w:spacing w:after="0" w:line="14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At the date of acquisition, the Company estimates that the probability of the Product Payment was 98.0% and valued it at a discount rate of 2.5%. The maximum payout related to the Product Payment is $29.7 million. The estimated fair value as of February 24, 2017 was $25.9 million.</w:t>
      </w:r>
    </w:p>
    <w:p>
      <w:pPr>
        <w:spacing w:after="0" w:line="10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date of the acquisition, net sales used in estimating the Medihoney Earnout Payment is based on the weighted average of different possible scenarios using revenue volatility of 27.5%. The Medihoney Earnout Payment was valued using a discount rate of 4.5%. The maximum payout related to the Medihoney Earnout Payment is $5.0 million. The estimated fair value as of February 24, 2017 was $1.3 million.</w:t>
      </w:r>
    </w:p>
    <w:p>
      <w:pPr>
        <w:spacing w:after="0" w:line="14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fair value measurements were based on significant inputs not observed in the market and thus represented a Level 3 measurement. The contingent considerations are re-measured to fair value at each reporting date until the contingency is resolved, and those changes in fair value are recognized in earnings. Depending on the expected timing of the estimated payments, the acquisition date fair values and subsequent remeasurement could be different.</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1"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Pro Forma Results</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following unaudited pro forma financial information summarizes the results of operations for the three months ended March 31, 2017 and 2016 as if the acquisitions had been completed as of the beginning of the prior year. The pro forma results are based upon certain assumptions and estimates, and they give effect to actual operating results prior to the acquisition and adjustments to reflect (i) the change in interest expense and intangible asset amortization, (ii) certain external expenses related to the acquisition as if they were incurred on January 1 of the year prior to the acquisition that will not be recurring in the post-acquisition periods, which includes $2.9 million incurred by Derma Sciences prior to acquisition and $7.4 million incurred by Integra, and (iii) income taxes on the aforementioned adjustments at the Company’s statutory rate. No effect has been given to other cost reductions or operating synergies. As a result, these pro forma results do not necessarily represent results that would have occurred if the acquisition had taken place on the basis assumed above, nor are they indicative of the results of future combined operations.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center"/>
              <w:ind w:right="14"/>
              <w:spacing w:after="0"/>
              <w:rPr>
                <w:sz w:val="20"/>
                <w:szCs w:val="20"/>
                <w:color w:val="auto"/>
              </w:rPr>
            </w:pPr>
            <w:r>
              <w:rPr>
                <w:rFonts w:ascii="Arial" w:cs="Arial" w:eastAsia="Arial" w:hAnsi="Arial"/>
                <w:sz w:val="14"/>
                <w:szCs w:val="14"/>
                <w:b w:val="1"/>
                <w:bCs w:val="1"/>
                <w:color w:val="auto"/>
                <w:w w:val="94"/>
              </w:rPr>
              <w:t>Three Months Ended March 31,</w:t>
            </w:r>
          </w:p>
        </w:tc>
        <w:tc>
          <w:tcPr>
            <w:tcW w:w="100" w:type="dxa"/>
            <w:vAlign w:val="bottom"/>
          </w:tcPr>
          <w:p>
            <w:pPr>
              <w:spacing w:after="0"/>
              <w:rPr>
                <w:sz w:val="16"/>
                <w:szCs w:val="16"/>
                <w:color w:val="auto"/>
              </w:rPr>
            </w:pPr>
          </w:p>
        </w:tc>
      </w:tr>
      <w:tr>
        <w:trPr>
          <w:trHeight w:val="264"/>
        </w:trPr>
        <w:tc>
          <w:tcPr>
            <w:tcW w:w="100" w:type="dxa"/>
            <w:vAlign w:val="bottom"/>
          </w:tcPr>
          <w:p>
            <w:pPr>
              <w:spacing w:after="0"/>
              <w:rPr>
                <w:sz w:val="22"/>
                <w:szCs w:val="22"/>
                <w:color w:val="auto"/>
              </w:rPr>
            </w:pPr>
          </w:p>
        </w:tc>
        <w:tc>
          <w:tcPr>
            <w:tcW w:w="7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r>
      <w:tr>
        <w:trPr>
          <w:trHeight w:val="190"/>
        </w:trPr>
        <w:tc>
          <w:tcPr>
            <w:tcW w:w="100" w:type="dxa"/>
            <w:vAlign w:val="bottom"/>
          </w:tcPr>
          <w:p>
            <w:pPr>
              <w:spacing w:after="0"/>
              <w:rPr>
                <w:sz w:val="16"/>
                <w:szCs w:val="16"/>
                <w:color w:val="auto"/>
              </w:rPr>
            </w:pPr>
          </w:p>
        </w:tc>
        <w:tc>
          <w:tcPr>
            <w:tcW w:w="7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20" w:type="dxa"/>
            <w:vAlign w:val="bottom"/>
            <w:gridSpan w:val="4"/>
          </w:tcPr>
          <w:p>
            <w:pPr>
              <w:jc w:val="center"/>
              <w:ind w:right="14"/>
              <w:spacing w:after="0"/>
              <w:rPr>
                <w:sz w:val="20"/>
                <w:szCs w:val="20"/>
                <w:color w:val="auto"/>
              </w:rPr>
            </w:pPr>
            <w:r>
              <w:rPr>
                <w:rFonts w:ascii="Arial" w:cs="Arial" w:eastAsia="Arial" w:hAnsi="Arial"/>
                <w:sz w:val="14"/>
                <w:szCs w:val="14"/>
                <w:b w:val="1"/>
                <w:bCs w:val="1"/>
                <w:color w:val="auto"/>
                <w:w w:val="90"/>
              </w:rPr>
              <w:t>(In thousands, except per share amounts)</w:t>
            </w:r>
          </w:p>
        </w:tc>
        <w:tc>
          <w:tcPr>
            <w:tcW w:w="100" w:type="dxa"/>
            <w:vAlign w:val="bottom"/>
          </w:tcPr>
          <w:p>
            <w:pPr>
              <w:spacing w:after="0"/>
              <w:rPr>
                <w:sz w:val="16"/>
                <w:szCs w:val="16"/>
                <w:color w:val="auto"/>
              </w:rPr>
            </w:pPr>
          </w:p>
        </w:tc>
      </w:tr>
      <w:tr>
        <w:trPr>
          <w:trHeight w:val="66"/>
        </w:trPr>
        <w:tc>
          <w:tcPr>
            <w:tcW w:w="100" w:type="dxa"/>
            <w:vAlign w:val="bottom"/>
          </w:tcPr>
          <w:p>
            <w:pPr>
              <w:spacing w:after="0"/>
              <w:rPr>
                <w:sz w:val="5"/>
                <w:szCs w:val="5"/>
                <w:color w:val="auto"/>
              </w:rPr>
            </w:pPr>
          </w:p>
        </w:tc>
        <w:tc>
          <w:tcPr>
            <w:tcW w:w="7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20" w:type="dxa"/>
            <w:vAlign w:val="bottom"/>
          </w:tcPr>
          <w:p>
            <w:pPr>
              <w:spacing w:after="0"/>
              <w:rPr>
                <w:sz w:val="5"/>
                <w:szCs w:val="5"/>
                <w:color w:val="auto"/>
              </w:rPr>
            </w:pPr>
          </w:p>
        </w:tc>
        <w:tc>
          <w:tcPr>
            <w:tcW w:w="100" w:type="dxa"/>
            <w:vAlign w:val="bottom"/>
          </w:tcPr>
          <w:p>
            <w:pPr>
              <w:spacing w:after="0"/>
              <w:rPr>
                <w:sz w:val="5"/>
                <w:szCs w:val="5"/>
                <w:color w:val="auto"/>
              </w:rPr>
            </w:pPr>
          </w:p>
        </w:tc>
      </w:tr>
      <w:tr>
        <w:trPr>
          <w:trHeight w:val="250"/>
        </w:trPr>
        <w:tc>
          <w:tcPr>
            <w:tcW w:w="10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257,012</w:t>
            </w:r>
          </w:p>
        </w:tc>
        <w:tc>
          <w:tcPr>
            <w:tcW w:w="100" w:type="dxa"/>
            <w:vAlign w:val="bottom"/>
          </w:tcPr>
          <w:p>
            <w:pPr>
              <w:spacing w:after="0"/>
              <w:rPr>
                <w:sz w:val="21"/>
                <w:szCs w:val="21"/>
                <w:color w:val="auto"/>
              </w:rPr>
            </w:pPr>
          </w:p>
        </w:tc>
      </w:tr>
      <w:tr>
        <w:trPr>
          <w:trHeight w:val="243"/>
        </w:trPr>
        <w:tc>
          <w:tcPr>
            <w:tcW w:w="100" w:type="dxa"/>
            <w:vAlign w:val="bottom"/>
          </w:tcPr>
          <w:p>
            <w:pPr>
              <w:spacing w:after="0"/>
              <w:rPr>
                <w:sz w:val="21"/>
                <w:szCs w:val="21"/>
                <w:color w:val="auto"/>
              </w:rPr>
            </w:pPr>
          </w:p>
        </w:tc>
        <w:tc>
          <w:tcPr>
            <w:tcW w:w="75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7,824</w:t>
            </w:r>
          </w:p>
        </w:tc>
        <w:tc>
          <w:tcPr>
            <w:tcW w:w="1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4"/>
              <w:spacing w:after="0"/>
              <w:rPr>
                <w:sz w:val="20"/>
                <w:szCs w:val="20"/>
                <w:color w:val="auto"/>
              </w:rPr>
            </w:pPr>
            <w:r>
              <w:rPr>
                <w:rFonts w:ascii="Arial" w:cs="Arial" w:eastAsia="Arial" w:hAnsi="Arial"/>
                <w:sz w:val="18"/>
                <w:szCs w:val="18"/>
                <w:color w:val="auto"/>
              </w:rPr>
              <w:t>4,275</w:t>
            </w:r>
          </w:p>
        </w:tc>
        <w:tc>
          <w:tcPr>
            <w:tcW w:w="100" w:type="dxa"/>
            <w:vAlign w:val="bottom"/>
          </w:tcPr>
          <w:p>
            <w:pPr>
              <w:spacing w:after="0"/>
              <w:rPr>
                <w:sz w:val="21"/>
                <w:szCs w:val="21"/>
                <w:color w:val="auto"/>
              </w:rPr>
            </w:pPr>
          </w:p>
        </w:tc>
      </w:tr>
      <w:tr>
        <w:trPr>
          <w:trHeight w:val="27"/>
        </w:trPr>
        <w:tc>
          <w:tcPr>
            <w:tcW w:w="1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100" w:type="dxa"/>
            <w:vAlign w:val="bottom"/>
          </w:tcPr>
          <w:p>
            <w:pPr>
              <w:spacing w:after="0"/>
              <w:rPr>
                <w:sz w:val="21"/>
                <w:szCs w:val="21"/>
                <w:color w:val="auto"/>
              </w:rPr>
            </w:pPr>
          </w:p>
        </w:tc>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0.06</w:t>
            </w:r>
          </w:p>
        </w:tc>
        <w:tc>
          <w:tcPr>
            <w:tcW w:w="100" w:type="dxa"/>
            <w:vAlign w:val="bottom"/>
          </w:tcPr>
          <w:p>
            <w:pPr>
              <w:spacing w:after="0"/>
              <w:rPr>
                <w:sz w:val="21"/>
                <w:szCs w:val="21"/>
                <w:color w:val="auto"/>
              </w:rPr>
            </w:pPr>
          </w:p>
        </w:tc>
      </w:tr>
      <w:tr>
        <w:trPr>
          <w:trHeight w:val="675"/>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97"/>
        </w:trPr>
        <w:tc>
          <w:tcPr>
            <w:tcW w:w="7660" w:type="dxa"/>
            <w:vAlign w:val="bottom"/>
            <w:gridSpan w:val="2"/>
          </w:tcPr>
          <w:p>
            <w:pPr>
              <w:spacing w:after="0"/>
              <w:rPr>
                <w:sz w:val="20"/>
                <w:szCs w:val="20"/>
                <w:color w:val="auto"/>
              </w:rPr>
            </w:pPr>
            <w:r>
              <w:rPr>
                <w:rFonts w:ascii="Arial" w:cs="Arial" w:eastAsia="Arial" w:hAnsi="Arial"/>
                <w:sz w:val="18"/>
                <w:szCs w:val="18"/>
                <w:color w:val="auto"/>
              </w:rPr>
              <w:t>Inventories, net consisted of the following:</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9"/>
        </w:trPr>
        <w:tc>
          <w:tcPr>
            <w:tcW w:w="100" w:type="dxa"/>
            <w:vAlign w:val="bottom"/>
          </w:tcPr>
          <w:p>
            <w:pPr>
              <w:spacing w:after="0"/>
              <w:rPr>
                <w:sz w:val="24"/>
                <w:szCs w:val="24"/>
                <w:color w:val="auto"/>
              </w:rPr>
            </w:pPr>
          </w:p>
        </w:tc>
        <w:tc>
          <w:tcPr>
            <w:tcW w:w="756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March 31, 2017</w:t>
            </w:r>
          </w:p>
        </w:tc>
        <w:tc>
          <w:tcPr>
            <w:tcW w:w="3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w w:val="91"/>
              </w:rPr>
              <w:t>December 31, 2016</w:t>
            </w:r>
          </w:p>
        </w:tc>
        <w:tc>
          <w:tcPr>
            <w:tcW w:w="100" w:type="dxa"/>
            <w:vAlign w:val="bottom"/>
            <w:tcBorders>
              <w:bottom w:val="single" w:sz="8" w:color="auto"/>
            </w:tcBorders>
          </w:tcPr>
          <w:p>
            <w:pPr>
              <w:spacing w:after="0"/>
              <w:rPr>
                <w:sz w:val="24"/>
                <w:szCs w:val="24"/>
                <w:color w:val="auto"/>
              </w:rPr>
            </w:pPr>
          </w:p>
        </w:tc>
      </w:tr>
      <w:tr>
        <w:trPr>
          <w:trHeight w:val="196"/>
        </w:trPr>
        <w:tc>
          <w:tcPr>
            <w:tcW w:w="100" w:type="dxa"/>
            <w:vAlign w:val="bottom"/>
          </w:tcPr>
          <w:p>
            <w:pPr>
              <w:spacing w:after="0"/>
              <w:rPr>
                <w:sz w:val="17"/>
                <w:szCs w:val="17"/>
                <w:color w:val="auto"/>
              </w:rPr>
            </w:pPr>
          </w:p>
        </w:tc>
        <w:tc>
          <w:tcPr>
            <w:tcW w:w="7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gridSpan w:val="4"/>
          </w:tcPr>
          <w:p>
            <w:pPr>
              <w:jc w:val="right"/>
              <w:ind w:right="1234"/>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7"/>
                <w:szCs w:val="17"/>
                <w:color w:val="auto"/>
              </w:rPr>
            </w:pPr>
          </w:p>
        </w:tc>
      </w:tr>
      <w:tr>
        <w:trPr>
          <w:trHeight w:val="256"/>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143,228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127,973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43"/>
        </w:trPr>
        <w:tc>
          <w:tcPr>
            <w:tcW w:w="7660" w:type="dxa"/>
            <w:vAlign w:val="bottom"/>
            <w:gridSpan w:val="2"/>
          </w:tcPr>
          <w:p>
            <w:pPr>
              <w:ind w:left="4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tcPr>
          <w:p>
            <w:pPr>
              <w:jc w:val="right"/>
              <w:ind w:right="17"/>
              <w:spacing w:after="0"/>
              <w:rPr>
                <w:sz w:val="20"/>
                <w:szCs w:val="20"/>
                <w:color w:val="auto"/>
              </w:rPr>
            </w:pPr>
            <w:r>
              <w:rPr>
                <w:rFonts w:ascii="Arial" w:cs="Arial" w:eastAsia="Arial" w:hAnsi="Arial"/>
                <w:sz w:val="18"/>
                <w:szCs w:val="18"/>
                <w:color w:val="auto"/>
              </w:rPr>
              <w:t>49,033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39,247</w:t>
            </w:r>
          </w:p>
        </w:tc>
        <w:tc>
          <w:tcPr>
            <w:tcW w:w="100" w:type="dxa"/>
            <w:vAlign w:val="bottom"/>
          </w:tcPr>
          <w:p>
            <w:pPr>
              <w:spacing w:after="0"/>
              <w:rPr>
                <w:sz w:val="21"/>
                <w:szCs w:val="21"/>
                <w:color w:val="auto"/>
              </w:rPr>
            </w:pPr>
          </w:p>
        </w:tc>
      </w:tr>
      <w:tr>
        <w:trPr>
          <w:trHeight w:val="27"/>
        </w:trPr>
        <w:tc>
          <w:tcPr>
            <w:tcW w:w="76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70"/>
        </w:trPr>
        <w:tc>
          <w:tcPr>
            <w:tcW w:w="76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47,548</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50,043</w:t>
            </w:r>
          </w:p>
        </w:tc>
        <w:tc>
          <w:tcPr>
            <w:tcW w:w="100" w:type="dxa"/>
            <w:vAlign w:val="bottom"/>
            <w:tcBorders>
              <w:bottom w:val="single" w:sz="8" w:color="CCEEFF"/>
            </w:tcBorders>
            <w:shd w:val="clear" w:color="auto" w:fill="CCEEFF"/>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239,809</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217,263</w:t>
            </w:r>
          </w:p>
        </w:tc>
        <w:tc>
          <w:tcPr>
            <w:tcW w:w="100" w:type="dxa"/>
            <w:vAlign w:val="bottom"/>
            <w:tcBorders>
              <w:top w:val="single" w:sz="8" w:color="auto"/>
            </w:tcBorders>
          </w:tcPr>
          <w:p>
            <w:pPr>
              <w:spacing w:after="0"/>
              <w:rPr>
                <w:sz w:val="20"/>
                <w:szCs w:val="20"/>
                <w:color w:val="auto"/>
              </w:rPr>
            </w:pPr>
          </w:p>
        </w:tc>
      </w:tr>
      <w:tr>
        <w:trPr>
          <w:trHeight w:val="27"/>
        </w:trPr>
        <w:tc>
          <w:tcPr>
            <w:tcW w:w="100" w:type="dxa"/>
            <w:vAlign w:val="bottom"/>
          </w:tcPr>
          <w:p>
            <w:pPr>
              <w:spacing w:after="0"/>
              <w:rPr>
                <w:sz w:val="2"/>
                <w:szCs w:val="2"/>
                <w:color w:val="auto"/>
              </w:rPr>
            </w:pPr>
          </w:p>
        </w:tc>
        <w:tc>
          <w:tcPr>
            <w:tcW w:w="7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10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 AND OTHER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three-month period ended March 31, 2017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Specialty</w:t>
            </w:r>
          </w:p>
        </w:tc>
        <w:tc>
          <w:tcPr>
            <w:tcW w:w="140" w:type="dxa"/>
            <w:vAlign w:val="bottom"/>
          </w:tcPr>
          <w:p>
            <w:pPr>
              <w:spacing w:after="0"/>
              <w:rPr>
                <w:sz w:val="14"/>
                <w:szCs w:val="14"/>
                <w:color w:val="auto"/>
              </w:rPr>
            </w:pPr>
          </w:p>
        </w:tc>
        <w:tc>
          <w:tcPr>
            <w:tcW w:w="14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Orthopedics and</w:t>
            </w: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2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Surgical</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120" w:type="dxa"/>
            <w:vAlign w:val="bottom"/>
            <w:vMerge w:val="restart"/>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9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7"/>
              </w:rPr>
              <w:t>Solutions</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86"/>
              </w:rPr>
              <w:t>Tissue Technologies</w:t>
            </w: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8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(In thousands)</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at December 31, 2016</w:t>
            </w:r>
          </w:p>
        </w:tc>
        <w:tc>
          <w:tcPr>
            <w:tcW w:w="306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284,358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226,213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510,571</w:t>
            </w:r>
          </w:p>
        </w:tc>
        <w:tc>
          <w:tcPr>
            <w:tcW w:w="0" w:type="dxa"/>
            <w:vAlign w:val="bottom"/>
          </w:tcPr>
          <w:p>
            <w:pPr>
              <w:spacing w:after="0"/>
              <w:rPr>
                <w:sz w:val="1"/>
                <w:szCs w:val="1"/>
                <w:color w:val="auto"/>
              </w:rPr>
            </w:pPr>
          </w:p>
        </w:tc>
      </w:tr>
      <w:tr>
        <w:trPr>
          <w:trHeight w:val="243"/>
        </w:trPr>
        <w:tc>
          <w:tcPr>
            <w:tcW w:w="3980" w:type="dxa"/>
            <w:vAlign w:val="bottom"/>
          </w:tcPr>
          <w:p>
            <w:pPr>
              <w:ind w:left="40"/>
              <w:spacing w:after="0"/>
              <w:rPr>
                <w:sz w:val="20"/>
                <w:szCs w:val="20"/>
                <w:color w:val="auto"/>
              </w:rPr>
            </w:pPr>
            <w:r>
              <w:rPr>
                <w:rFonts w:ascii="Arial" w:cs="Arial" w:eastAsia="Arial" w:hAnsi="Arial"/>
                <w:sz w:val="18"/>
                <w:szCs w:val="18"/>
                <w:color w:val="auto"/>
              </w:rPr>
              <w:t>Derma Sciences acquisition</w:t>
            </w:r>
          </w:p>
        </w:tc>
        <w:tc>
          <w:tcPr>
            <w:tcW w:w="2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8"/>
              <w:spacing w:after="0"/>
              <w:rPr>
                <w:sz w:val="20"/>
                <w:szCs w:val="20"/>
                <w:color w:val="auto"/>
              </w:rPr>
            </w:pPr>
            <w:r>
              <w:rPr>
                <w:rFonts w:ascii="Arial" w:cs="Arial" w:eastAsia="Arial" w:hAnsi="Arial"/>
                <w:sz w:val="18"/>
                <w:szCs w:val="18"/>
                <w:color w:val="auto"/>
              </w:rPr>
              <w:t>66,488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66,488</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76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657</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37"/>
        </w:trPr>
        <w:tc>
          <w:tcPr>
            <w:tcW w:w="3980" w:type="dxa"/>
            <w:vAlign w:val="bottom"/>
          </w:tcPr>
          <w:p>
            <w:pPr>
              <w:ind w:left="40"/>
              <w:spacing w:after="0"/>
              <w:rPr>
                <w:sz w:val="20"/>
                <w:szCs w:val="20"/>
                <w:color w:val="auto"/>
              </w:rPr>
            </w:pPr>
            <w:r>
              <w:rPr>
                <w:rFonts w:ascii="Arial" w:cs="Arial" w:eastAsia="Arial" w:hAnsi="Arial"/>
                <w:sz w:val="18"/>
                <w:szCs w:val="18"/>
                <w:color w:val="auto"/>
              </w:rPr>
              <w:t>Balance, March 31, 2017</w:t>
            </w:r>
          </w:p>
        </w:tc>
        <w:tc>
          <w:tcPr>
            <w:tcW w:w="276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284,871</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293,358</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578,229</w:t>
            </w:r>
          </w:p>
        </w:tc>
        <w:tc>
          <w:tcPr>
            <w:tcW w:w="0" w:type="dxa"/>
            <w:vAlign w:val="bottom"/>
          </w:tcPr>
          <w:p>
            <w:pPr>
              <w:spacing w:after="0"/>
              <w:rPr>
                <w:sz w:val="1"/>
                <w:szCs w:val="1"/>
                <w:color w:val="auto"/>
              </w:rPr>
            </w:pPr>
          </w:p>
        </w:tc>
      </w:tr>
      <w:tr>
        <w:trPr>
          <w:trHeight w:val="27"/>
        </w:trPr>
        <w:tc>
          <w:tcPr>
            <w:tcW w:w="3980" w:type="dxa"/>
            <w:vAlign w:val="bottom"/>
          </w:tcPr>
          <w:p>
            <w:pPr>
              <w:spacing w:after="0"/>
              <w:rPr>
                <w:sz w:val="2"/>
                <w:szCs w:val="2"/>
                <w:color w:val="auto"/>
              </w:rPr>
            </w:pPr>
          </w:p>
        </w:tc>
        <w:tc>
          <w:tcPr>
            <w:tcW w:w="2760" w:type="dxa"/>
            <w:vAlign w:val="bottom"/>
            <w:vMerge w:val="restart"/>
          </w:tcPr>
          <w:p>
            <w:pPr>
              <w:jc w:val="right"/>
              <w:ind w:right="850"/>
              <w:spacing w:after="0"/>
              <w:rPr>
                <w:sz w:val="20"/>
                <w:szCs w:val="20"/>
                <w:color w:val="auto"/>
              </w:rPr>
            </w:pPr>
            <w:r>
              <w:rPr>
                <w:rFonts w:ascii="Arial" w:cs="Arial" w:eastAsia="Arial" w:hAnsi="Arial"/>
                <w:sz w:val="18"/>
                <w:szCs w:val="18"/>
                <w:color w:val="auto"/>
              </w:rPr>
              <w:t>11</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760" w:type="dxa"/>
            <w:vAlign w:val="bottom"/>
            <w:vMerge w:val="continue"/>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3980" w:type="dxa"/>
            <w:vAlign w:val="bottom"/>
          </w:tcPr>
          <w:p>
            <w:pPr>
              <w:spacing w:after="0"/>
              <w:rPr>
                <w:sz w:val="24"/>
                <w:szCs w:val="24"/>
                <w:color w:val="auto"/>
              </w:rPr>
            </w:pPr>
          </w:p>
        </w:tc>
        <w:tc>
          <w:tcPr>
            <w:tcW w:w="27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the Company’s identifiable intangible assets were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5"/>
          </w:tcPr>
          <w:p>
            <w:pPr>
              <w:jc w:val="center"/>
              <w:ind w:right="620"/>
              <w:spacing w:after="0"/>
              <w:rPr>
                <w:sz w:val="20"/>
                <w:szCs w:val="20"/>
                <w:color w:val="auto"/>
              </w:rPr>
            </w:pPr>
            <w:r>
              <w:rPr>
                <w:rFonts w:ascii="Arial" w:cs="Arial" w:eastAsia="Arial" w:hAnsi="Arial"/>
                <w:sz w:val="14"/>
                <w:szCs w:val="14"/>
                <w:b w:val="1"/>
                <w:bCs w:val="1"/>
                <w:color w:val="auto"/>
                <w:w w:val="94"/>
              </w:rPr>
              <w:t>March 31, 2017</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257"/>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257"/>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center"/>
              <w:ind w:right="277"/>
              <w:spacing w:after="0"/>
              <w:rPr>
                <w:sz w:val="20"/>
                <w:szCs w:val="20"/>
                <w:color w:val="auto"/>
              </w:rPr>
            </w:pPr>
            <w:r>
              <w:rPr>
                <w:rFonts w:ascii="Arial" w:cs="Arial" w:eastAsia="Arial" w:hAnsi="Arial"/>
                <w:sz w:val="14"/>
                <w:szCs w:val="14"/>
                <w:b w:val="1"/>
                <w:bCs w:val="1"/>
                <w:color w:val="auto"/>
                <w:w w:val="96"/>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60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277"/>
              <w:spacing w:after="0"/>
              <w:rPr>
                <w:sz w:val="20"/>
                <w:szCs w:val="20"/>
                <w:color w:val="auto"/>
              </w:rPr>
            </w:pPr>
            <w:r>
              <w:rPr>
                <w:rFonts w:ascii="Arial" w:cs="Arial" w:eastAsia="Arial" w:hAnsi="Arial"/>
                <w:sz w:val="18"/>
                <w:szCs w:val="18"/>
                <w:color w:val="auto"/>
                <w:w w:val="86"/>
              </w:rPr>
              <w:t>17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491,698</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(101,953)</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389,745</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277"/>
              <w:spacing w:after="0"/>
              <w:rPr>
                <w:sz w:val="20"/>
                <w:szCs w:val="20"/>
                <w:color w:val="auto"/>
              </w:rPr>
            </w:pPr>
            <w:r>
              <w:rPr>
                <w:rFonts w:ascii="Arial" w:cs="Arial" w:eastAsia="Arial" w:hAnsi="Arial"/>
                <w:sz w:val="18"/>
                <w:szCs w:val="18"/>
                <w:color w:val="auto"/>
                <w:w w:val="86"/>
              </w:rPr>
              <w:t>13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231,257</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(80,002)</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151,255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277"/>
              <w:spacing w:after="0"/>
              <w:rPr>
                <w:sz w:val="20"/>
                <w:szCs w:val="20"/>
                <w:color w:val="auto"/>
              </w:rPr>
            </w:pPr>
            <w:r>
              <w:rPr>
                <w:rFonts w:ascii="Arial" w:cs="Arial" w:eastAsia="Arial" w:hAnsi="Arial"/>
                <w:sz w:val="18"/>
                <w:szCs w:val="18"/>
                <w:color w:val="auto"/>
                <w:w w:val="86"/>
              </w:rPr>
              <w:t>28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rPr>
              <w:t>104,191</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(19,997)</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84,194</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Pr>
          <w:p>
            <w:pPr>
              <w:spacing w:after="0"/>
              <w:rPr>
                <w:sz w:val="21"/>
                <w:szCs w:val="21"/>
                <w:color w:val="auto"/>
              </w:rPr>
            </w:pPr>
          </w:p>
        </w:tc>
        <w:tc>
          <w:tcPr>
            <w:tcW w:w="1600" w:type="dxa"/>
            <w:vAlign w:val="bottom"/>
          </w:tcPr>
          <w:p>
            <w:pPr>
              <w:jc w:val="center"/>
              <w:ind w:right="277"/>
              <w:spacing w:after="0"/>
              <w:rPr>
                <w:sz w:val="20"/>
                <w:szCs w:val="20"/>
                <w:color w:val="auto"/>
              </w:rPr>
            </w:pPr>
            <w:r>
              <w:rPr>
                <w:rFonts w:ascii="Arial" w:cs="Arial" w:eastAsia="Arial" w:hAnsi="Arial"/>
                <w:sz w:val="18"/>
                <w:szCs w:val="18"/>
                <w:color w:val="auto"/>
                <w:w w:val="86"/>
              </w:rPr>
              <w:t>27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34,721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(14,021)</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20,700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277"/>
              <w:spacing w:after="0"/>
              <w:rPr>
                <w:sz w:val="20"/>
                <w:szCs w:val="20"/>
                <w:color w:val="auto"/>
              </w:rPr>
            </w:pPr>
            <w:r>
              <w:rPr>
                <w:rFonts w:ascii="Arial" w:cs="Arial" w:eastAsia="Arial" w:hAnsi="Arial"/>
                <w:sz w:val="18"/>
                <w:szCs w:val="18"/>
                <w:color w:val="auto"/>
                <w:w w:val="88"/>
              </w:rPr>
              <w:t>5 years</w:t>
            </w:r>
          </w:p>
        </w:tc>
        <w:tc>
          <w:tcPr>
            <w:tcW w:w="2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rPr>
              <w:t>11,147</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8,514</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56"/>
              <w:spacing w:after="0"/>
              <w:rPr>
                <w:sz w:val="20"/>
                <w:szCs w:val="20"/>
                <w:color w:val="auto"/>
              </w:rPr>
            </w:pPr>
            <w:r>
              <w:rPr>
                <w:rFonts w:ascii="Arial" w:cs="Arial" w:eastAsia="Arial" w:hAnsi="Arial"/>
                <w:sz w:val="18"/>
                <w:szCs w:val="18"/>
                <w:color w:val="auto"/>
              </w:rPr>
              <w:t>873,014</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(218,606)</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654,408</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1"/>
        </w:trPr>
        <w:tc>
          <w:tcPr>
            <w:tcW w:w="4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5"/>
          </w:tcPr>
          <w:p>
            <w:pPr>
              <w:jc w:val="center"/>
              <w:ind w:right="480"/>
              <w:spacing w:after="0"/>
              <w:rPr>
                <w:sz w:val="20"/>
                <w:szCs w:val="20"/>
                <w:color w:val="auto"/>
              </w:rPr>
            </w:pPr>
            <w:r>
              <w:rPr>
                <w:rFonts w:ascii="Arial" w:cs="Arial" w:eastAsia="Arial" w:hAnsi="Arial"/>
                <w:sz w:val="14"/>
                <w:szCs w:val="14"/>
                <w:b w:val="1"/>
                <w:bCs w:val="1"/>
                <w:color w:val="auto"/>
                <w:w w:val="91"/>
              </w:rPr>
              <w:t>December 31, 2016</w:t>
            </w: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3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60" w:type="dxa"/>
            <w:vAlign w:val="bottom"/>
            <w:gridSpan w:val="2"/>
            <w:vMerge w:val="restart"/>
          </w:tcPr>
          <w:p>
            <w:pPr>
              <w:ind w:left="24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380" w:type="dxa"/>
            <w:vAlign w:val="bottom"/>
          </w:tcPr>
          <w:p>
            <w:pPr>
              <w:spacing w:after="0"/>
              <w:rPr>
                <w:sz w:val="12"/>
                <w:szCs w:val="12"/>
                <w:color w:val="auto"/>
              </w:rPr>
            </w:pPr>
          </w:p>
        </w:tc>
        <w:tc>
          <w:tcPr>
            <w:tcW w:w="1100" w:type="dxa"/>
            <w:vAlign w:val="bottom"/>
            <w:vMerge w:val="restart"/>
          </w:tcPr>
          <w:p>
            <w:pPr>
              <w:jc w:val="right"/>
              <w:ind w:right="533"/>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4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rPr>
              <w:t>Life</w:t>
            </w:r>
          </w:p>
        </w:tc>
        <w:tc>
          <w:tcPr>
            <w:tcW w:w="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Amortization</w:t>
            </w:r>
          </w:p>
        </w:tc>
        <w:tc>
          <w:tcPr>
            <w:tcW w:w="3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40" w:type="dxa"/>
            <w:vAlign w:val="bottom"/>
            <w:gridSpan w:val="5"/>
          </w:tcPr>
          <w:p>
            <w:pPr>
              <w:jc w:val="center"/>
              <w:ind w:right="480"/>
              <w:spacing w:after="0"/>
              <w:rPr>
                <w:sz w:val="20"/>
                <w:szCs w:val="20"/>
                <w:color w:val="auto"/>
              </w:rPr>
            </w:pPr>
            <w:r>
              <w:rPr>
                <w:rFonts w:ascii="Arial" w:cs="Arial" w:eastAsia="Arial" w:hAnsi="Arial"/>
                <w:sz w:val="14"/>
                <w:szCs w:val="14"/>
                <w:b w:val="1"/>
                <w:bCs w:val="1"/>
                <w:color w:val="auto"/>
                <w:w w:val="91"/>
              </w:rPr>
              <w:t>(Dollars in thousands)</w:t>
            </w: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Completed technology</w:t>
            </w:r>
          </w:p>
        </w:tc>
        <w:tc>
          <w:tcPr>
            <w:tcW w:w="12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8"/>
                <w:szCs w:val="18"/>
                <w:color w:val="auto"/>
                <w:w w:val="86"/>
              </w:rPr>
              <w:t>17 years</w:t>
            </w:r>
          </w:p>
        </w:tc>
        <w:tc>
          <w:tcPr>
            <w:tcW w:w="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479,964</w:t>
            </w:r>
          </w:p>
        </w:tc>
        <w:tc>
          <w:tcPr>
            <w:tcW w:w="2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(94,991)</w:t>
            </w:r>
          </w:p>
        </w:tc>
        <w:tc>
          <w:tcPr>
            <w:tcW w:w="2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384,973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20" w:type="dxa"/>
            <w:vAlign w:val="bottom"/>
          </w:tcPr>
          <w:p>
            <w:pPr>
              <w:spacing w:after="0"/>
              <w:rPr>
                <w:sz w:val="21"/>
                <w:szCs w:val="21"/>
                <w:color w:val="auto"/>
              </w:rPr>
            </w:pPr>
          </w:p>
        </w:tc>
        <w:tc>
          <w:tcPr>
            <w:tcW w:w="1600" w:type="dxa"/>
            <w:vAlign w:val="bottom"/>
          </w:tcPr>
          <w:p>
            <w:pPr>
              <w:jc w:val="center"/>
              <w:ind w:right="117"/>
              <w:spacing w:after="0"/>
              <w:rPr>
                <w:sz w:val="20"/>
                <w:szCs w:val="20"/>
                <w:color w:val="auto"/>
              </w:rPr>
            </w:pPr>
            <w:r>
              <w:rPr>
                <w:rFonts w:ascii="Arial" w:cs="Arial" w:eastAsia="Arial" w:hAnsi="Arial"/>
                <w:sz w:val="18"/>
                <w:szCs w:val="18"/>
                <w:color w:val="auto"/>
                <w:w w:val="86"/>
              </w:rPr>
              <w:t>12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152,335</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(77,005)</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75,330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Trademarks/brand names</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center"/>
              <w:ind w:right="117"/>
              <w:spacing w:after="0"/>
              <w:rPr>
                <w:sz w:val="20"/>
                <w:szCs w:val="20"/>
                <w:color w:val="auto"/>
              </w:rPr>
            </w:pPr>
            <w:r>
              <w:rPr>
                <w:rFonts w:ascii="Arial" w:cs="Arial" w:eastAsia="Arial" w:hAnsi="Arial"/>
                <w:sz w:val="18"/>
                <w:szCs w:val="18"/>
                <w:color w:val="auto"/>
                <w:w w:val="86"/>
              </w:rPr>
              <w:t>30 years</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90,507</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(19,158)</w:t>
            </w:r>
          </w:p>
        </w:tc>
        <w:tc>
          <w:tcPr>
            <w:tcW w:w="2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71,349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Supplier relationships</w:t>
            </w:r>
          </w:p>
        </w:tc>
        <w:tc>
          <w:tcPr>
            <w:tcW w:w="120" w:type="dxa"/>
            <w:vAlign w:val="bottom"/>
          </w:tcPr>
          <w:p>
            <w:pPr>
              <w:spacing w:after="0"/>
              <w:rPr>
                <w:sz w:val="21"/>
                <w:szCs w:val="21"/>
                <w:color w:val="auto"/>
              </w:rPr>
            </w:pPr>
          </w:p>
        </w:tc>
        <w:tc>
          <w:tcPr>
            <w:tcW w:w="1600" w:type="dxa"/>
            <w:vAlign w:val="bottom"/>
          </w:tcPr>
          <w:p>
            <w:pPr>
              <w:jc w:val="center"/>
              <w:ind w:right="117"/>
              <w:spacing w:after="0"/>
              <w:rPr>
                <w:sz w:val="20"/>
                <w:szCs w:val="20"/>
                <w:color w:val="auto"/>
              </w:rPr>
            </w:pPr>
            <w:r>
              <w:rPr>
                <w:rFonts w:ascii="Arial" w:cs="Arial" w:eastAsia="Arial" w:hAnsi="Arial"/>
                <w:sz w:val="18"/>
                <w:szCs w:val="18"/>
                <w:color w:val="auto"/>
                <w:w w:val="86"/>
              </w:rPr>
              <w:t>27 years</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34,721</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(13,664)</w:t>
            </w: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21,057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All other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23"/>
                <w:szCs w:val="23"/>
                <w:color w:val="auto"/>
              </w:rPr>
            </w:pPr>
          </w:p>
        </w:tc>
        <w:tc>
          <w:tcPr>
            <w:tcW w:w="1600" w:type="dxa"/>
            <w:vAlign w:val="bottom"/>
            <w:shd w:val="clear" w:color="auto" w:fill="CCEEFF"/>
          </w:tcPr>
          <w:p>
            <w:pPr>
              <w:jc w:val="center"/>
              <w:ind w:right="117"/>
              <w:spacing w:after="0"/>
              <w:rPr>
                <w:sz w:val="20"/>
                <w:szCs w:val="20"/>
                <w:color w:val="auto"/>
              </w:rPr>
            </w:pPr>
            <w:r>
              <w:rPr>
                <w:rFonts w:ascii="Arial" w:cs="Arial" w:eastAsia="Arial" w:hAnsi="Arial"/>
                <w:sz w:val="18"/>
                <w:szCs w:val="18"/>
                <w:color w:val="auto"/>
                <w:w w:val="88"/>
              </w:rPr>
              <w:t>5 years</w:t>
            </w:r>
          </w:p>
        </w:tc>
        <w:tc>
          <w:tcPr>
            <w:tcW w:w="2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10,806</w:t>
            </w:r>
          </w:p>
        </w:tc>
        <w:tc>
          <w:tcPr>
            <w:tcW w:w="2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(2,340)</w:t>
            </w:r>
          </w:p>
        </w:tc>
        <w:tc>
          <w:tcPr>
            <w:tcW w:w="2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8,466</w:t>
            </w: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8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6"/>
              <w:spacing w:after="0"/>
              <w:rPr>
                <w:sz w:val="20"/>
                <w:szCs w:val="20"/>
                <w:color w:val="auto"/>
              </w:rPr>
            </w:pPr>
            <w:r>
              <w:rPr>
                <w:rFonts w:ascii="Arial" w:cs="Arial" w:eastAsia="Arial" w:hAnsi="Arial"/>
                <w:sz w:val="18"/>
                <w:szCs w:val="18"/>
                <w:color w:val="auto"/>
              </w:rPr>
              <w:t>768,333</w:t>
            </w:r>
          </w:p>
        </w:tc>
        <w:tc>
          <w:tcPr>
            <w:tcW w:w="2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(207,158)</w:t>
            </w:r>
          </w:p>
        </w:tc>
        <w:tc>
          <w:tcPr>
            <w:tcW w:w="2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561,175</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hanging="332"/>
        <w:spacing w:after="0" w:line="216" w:lineRule="auto"/>
        <w:tabs>
          <w:tab w:leader="none" w:pos="34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At March 31, 2017 and December 31, 2016, all other included in-process research and development ("IPR&amp;D") of $1.0 million in both periods, which was indefinite-lived.</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quarter-end exchange rates, annual amortization expense (including amounts reported in cost of product revenues, but excluding any possible future amortization associated with acquired in-process research and development) is expected to be approximately $48.1 million in 2017, $48.9 million in 2018, $48.8 million in 2019, $48.7 million in 2020, $47.7 million in 2021 and $44.2 million in 2022. Identifiable intangible assets are initially recorded at fair market value at the time of acquisition using an income or cost approach.</w:t>
      </w: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DEBT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Senior Credit Agreement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31, 2017, the Company entered into an amendment ("March 2017 Amendment") to its fourth amended and restated Senior Credit Facility (the “Fourth Amendment and Restatement”) with a syndicate of lending banks and Bank of America, N.A., as Administrative Agent. The March 2017 Amendment increased the aggregate principal amount from $1.5 billion to $2.2 billion available to the Company through the following facilities:</w:t>
      </w:r>
    </w:p>
    <w:p>
      <w:pPr>
        <w:spacing w:after="0" w:line="3"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$500.0 million Term Loan A facility;</w:t>
      </w:r>
    </w:p>
    <w:p>
      <w:pPr>
        <w:spacing w:after="0" w:line="63" w:lineRule="exact"/>
        <w:rPr>
          <w:rFonts w:ascii="Arial" w:cs="Arial" w:eastAsia="Arial" w:hAnsi="Arial"/>
          <w:sz w:val="18"/>
          <w:szCs w:val="18"/>
          <w:color w:val="auto"/>
        </w:rPr>
      </w:pPr>
    </w:p>
    <w:p>
      <w:pPr>
        <w:jc w:val="both"/>
        <w:ind w:left="660" w:hanging="328"/>
        <w:spacing w:after="0" w:line="305" w:lineRule="auto"/>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a $700.0 million Term Loan A-1, which will be available in a single drawing on a delayed basis at the time of closing of the Asset Purchase Agreement dated February 14, 2017 between the Company and DuPuy Synthes, Inc., a wholly owned subsidiary of Johnson &amp; Johnson to acquire certain assets, and assume certain liabilities of Johnson &amp; Johnson’s Codman neurosurgery business (see Note 1 - </w:t>
      </w:r>
      <w:r>
        <w:rPr>
          <w:rFonts w:ascii="Arial" w:cs="Arial" w:eastAsia="Arial" w:hAnsi="Arial"/>
          <w:sz w:val="16"/>
          <w:szCs w:val="16"/>
          <w:i w:val="1"/>
          <w:iCs w:val="1"/>
          <w:color w:val="auto"/>
        </w:rPr>
        <w:t>Basis of Presentation</w:t>
      </w:r>
      <w:r>
        <w:rPr>
          <w:rFonts w:ascii="Arial" w:cs="Arial" w:eastAsia="Arial" w:hAnsi="Arial"/>
          <w:sz w:val="16"/>
          <w:szCs w:val="16"/>
          <w:color w:val="auto"/>
        </w:rPr>
        <w:t>); and</w:t>
      </w: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$1.0 billion revolving credit facility, which includes a $60.0 million sublimit for the issuance of standby letters of credit and a $60.0 million sublimit for swingline loans.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In connection with the March 2017 Amendment, the Company’s maximum consolidated total leverage ratio in the financial covenants was increased to the following:</w:t>
      </w:r>
    </w:p>
    <w:p>
      <w:pPr>
        <w:spacing w:after="0" w:line="312" w:lineRule="exact"/>
        <w:rPr>
          <w:sz w:val="20"/>
          <w:szCs w:val="20"/>
          <w:color w:val="auto"/>
        </w:rPr>
      </w:pPr>
    </w:p>
    <w:tbl>
      <w:tblPr>
        <w:tblLayout w:type="fixed"/>
        <w:tblInd w:w="1280" w:type="dxa"/>
        <w:tblCellMar>
          <w:top w:w="0" w:type="dxa"/>
          <w:left w:w="0" w:type="dxa"/>
          <w:bottom w:w="0" w:type="dxa"/>
          <w:right w:w="0" w:type="dxa"/>
        </w:tblCellMar>
      </w:tblPr>
      <w:tr>
        <w:trPr>
          <w:trHeight w:val="161"/>
        </w:trPr>
        <w:tc>
          <w:tcPr>
            <w:tcW w:w="63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Fiscal Quarter</w:t>
            </w:r>
          </w:p>
        </w:tc>
        <w:tc>
          <w:tcPr>
            <w:tcW w:w="120" w:type="dxa"/>
            <w:vAlign w:val="bottom"/>
            <w:vMerge w:val="restart"/>
          </w:tcPr>
          <w:p>
            <w:pPr>
              <w:spacing w:after="0"/>
              <w:rPr>
                <w:sz w:val="14"/>
                <w:szCs w:val="14"/>
                <w:color w:val="auto"/>
              </w:rPr>
            </w:pPr>
          </w:p>
        </w:tc>
        <w:tc>
          <w:tcPr>
            <w:tcW w:w="2460" w:type="dxa"/>
            <w:vAlign w:val="bottom"/>
          </w:tcPr>
          <w:p>
            <w:pPr>
              <w:jc w:val="center"/>
              <w:spacing w:after="0"/>
              <w:rPr>
                <w:sz w:val="20"/>
                <w:szCs w:val="20"/>
                <w:color w:val="auto"/>
              </w:rPr>
            </w:pPr>
            <w:r>
              <w:rPr>
                <w:rFonts w:ascii="Arial" w:cs="Arial" w:eastAsia="Arial" w:hAnsi="Arial"/>
                <w:sz w:val="14"/>
                <w:szCs w:val="14"/>
                <w:b w:val="1"/>
                <w:bCs w:val="1"/>
                <w:color w:val="auto"/>
                <w:w w:val="94"/>
              </w:rPr>
              <w:t>Maximum Consolidated Total</w:t>
            </w:r>
          </w:p>
        </w:tc>
        <w:tc>
          <w:tcPr>
            <w:tcW w:w="0" w:type="dxa"/>
            <w:vAlign w:val="bottom"/>
          </w:tcPr>
          <w:p>
            <w:pPr>
              <w:spacing w:after="0"/>
              <w:rPr>
                <w:sz w:val="1"/>
                <w:szCs w:val="1"/>
                <w:color w:val="auto"/>
              </w:rPr>
            </w:pPr>
          </w:p>
        </w:tc>
      </w:tr>
      <w:tr>
        <w:trPr>
          <w:trHeight w:val="192"/>
        </w:trPr>
        <w:tc>
          <w:tcPr>
            <w:tcW w:w="6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2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Leverage Ratio</w:t>
            </w:r>
          </w:p>
        </w:tc>
        <w:tc>
          <w:tcPr>
            <w:tcW w:w="0" w:type="dxa"/>
            <w:vAlign w:val="bottom"/>
          </w:tcPr>
          <w:p>
            <w:pPr>
              <w:spacing w:after="0"/>
              <w:rPr>
                <w:sz w:val="1"/>
                <w:szCs w:val="1"/>
                <w:color w:val="auto"/>
              </w:rPr>
            </w:pPr>
          </w:p>
        </w:tc>
      </w:tr>
      <w:tr>
        <w:trPr>
          <w:trHeight w:val="350"/>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First fiscal quarter ended after the delayed draw date of Term Loan A-1 through</w:t>
            </w:r>
          </w:p>
        </w:tc>
        <w:tc>
          <w:tcPr>
            <w:tcW w:w="2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420" w:type="dxa"/>
            <w:vAlign w:val="bottom"/>
            <w:gridSpan w:val="2"/>
          </w:tcPr>
          <w:p>
            <w:pPr>
              <w:ind w:left="180"/>
              <w:spacing w:after="0"/>
              <w:rPr>
                <w:sz w:val="20"/>
                <w:szCs w:val="20"/>
                <w:color w:val="auto"/>
              </w:rPr>
            </w:pPr>
            <w:r>
              <w:rPr>
                <w:rFonts w:ascii="Arial" w:cs="Arial" w:eastAsia="Arial" w:hAnsi="Arial"/>
                <w:sz w:val="18"/>
                <w:szCs w:val="18"/>
                <w:color w:val="auto"/>
              </w:rPr>
              <w:t>September 30, 2018</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5.50 : 1.00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October 1, 2018 through September 30, 2019</w:t>
            </w:r>
          </w:p>
        </w:tc>
        <w:tc>
          <w:tcPr>
            <w:tcW w:w="2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5.00 : 1.00</w:t>
            </w:r>
          </w:p>
        </w:tc>
        <w:tc>
          <w:tcPr>
            <w:tcW w:w="0" w:type="dxa"/>
            <w:vAlign w:val="bottom"/>
          </w:tcPr>
          <w:p>
            <w:pPr>
              <w:spacing w:after="0"/>
              <w:rPr>
                <w:sz w:val="1"/>
                <w:szCs w:val="1"/>
                <w:color w:val="auto"/>
              </w:rPr>
            </w:pPr>
          </w:p>
        </w:tc>
      </w:tr>
      <w:tr>
        <w:trPr>
          <w:trHeight w:val="243"/>
        </w:trPr>
        <w:tc>
          <w:tcPr>
            <w:tcW w:w="6420" w:type="dxa"/>
            <w:vAlign w:val="bottom"/>
            <w:gridSpan w:val="2"/>
          </w:tcPr>
          <w:p>
            <w:pPr>
              <w:ind w:left="20"/>
              <w:spacing w:after="0"/>
              <w:rPr>
                <w:sz w:val="20"/>
                <w:szCs w:val="20"/>
                <w:color w:val="auto"/>
              </w:rPr>
            </w:pPr>
            <w:r>
              <w:rPr>
                <w:rFonts w:ascii="Arial" w:cs="Arial" w:eastAsia="Arial" w:hAnsi="Arial"/>
                <w:sz w:val="18"/>
                <w:szCs w:val="18"/>
                <w:color w:val="auto"/>
              </w:rPr>
              <w:t>October 1, 2019 through September 30, 2020</w:t>
            </w:r>
          </w:p>
        </w:tc>
        <w:tc>
          <w:tcPr>
            <w:tcW w:w="2460" w:type="dxa"/>
            <w:vAlign w:val="bottom"/>
          </w:tcPr>
          <w:p>
            <w:pPr>
              <w:jc w:val="center"/>
              <w:spacing w:after="0"/>
              <w:rPr>
                <w:sz w:val="20"/>
                <w:szCs w:val="20"/>
                <w:color w:val="auto"/>
              </w:rPr>
            </w:pPr>
            <w:r>
              <w:rPr>
                <w:rFonts w:ascii="Arial" w:cs="Arial" w:eastAsia="Arial" w:hAnsi="Arial"/>
                <w:sz w:val="18"/>
                <w:szCs w:val="18"/>
                <w:color w:val="auto"/>
                <w:w w:val="89"/>
              </w:rPr>
              <w:t>4.50 : 1.00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October 1, 2020 and thereafter</w:t>
            </w:r>
          </w:p>
        </w:tc>
        <w:tc>
          <w:tcPr>
            <w:tcW w:w="2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4.00 : 1.00</w:t>
            </w:r>
          </w:p>
        </w:tc>
        <w:tc>
          <w:tcPr>
            <w:tcW w:w="0" w:type="dxa"/>
            <w:vAlign w:val="bottom"/>
          </w:tcPr>
          <w:p>
            <w:pPr>
              <w:spacing w:after="0"/>
              <w:rPr>
                <w:sz w:val="1"/>
                <w:szCs w:val="1"/>
                <w:color w:val="auto"/>
              </w:rPr>
            </w:pPr>
          </w:p>
        </w:tc>
      </w:tr>
      <w:tr>
        <w:trPr>
          <w:trHeight w:val="27"/>
        </w:trPr>
        <w:tc>
          <w:tcPr>
            <w:tcW w:w="6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was no change in the maturity date, which remains December 7,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Senior Credit Facility bear interest, at the Company’s option, at a rate equal to:</w:t>
      </w:r>
    </w:p>
    <w:p>
      <w:pPr>
        <w:spacing w:after="0" w:line="63" w:lineRule="exact"/>
        <w:rPr>
          <w:sz w:val="20"/>
          <w:szCs w:val="20"/>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Eurodollar Rate (as defined in the amendment and restatement) in effect from time to time plus the applicable rate (ranging from 1.00% to 2.00%), or</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highest of:</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weighted average overnight Federal funds rate, as published by the Federal Reserve Bank of New York, plus 0.50%,</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prime lending rate of Bank of America, N.A., or</w:t>
      </w:r>
    </w:p>
    <w:p>
      <w:pPr>
        <w:spacing w:after="0" w:line="63" w:lineRule="exact"/>
        <w:rPr>
          <w:rFonts w:ascii="Arial" w:cs="Arial" w:eastAsia="Arial" w:hAnsi="Arial"/>
          <w:sz w:val="18"/>
          <w:szCs w:val="18"/>
          <w:color w:val="auto"/>
        </w:rPr>
      </w:pPr>
    </w:p>
    <w:p>
      <w:pPr>
        <w:ind w:left="1300" w:hanging="320"/>
        <w:spacing w:after="0"/>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the one-month Eurodollar Rate plus 1.00%.</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applicable rates are based on the Company’s consolidated total leverage ratio (defined as the ratio of (a) consolidated funded indebtedness less cash in excess of $40.0 million that is not subject to any restriction on the use or investment thereof to (b) consolidated EBITDA) at the time of the applicable borrowing.</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will pay an annual commitment fee ranging from 0.15% to 0.35%, based on the Company’s consolidated total leverage ratio on the daily amount by which the revolving credit facility exceeds the outstanding loans and letters of credit under the credit facility.</w:t>
      </w:r>
    </w:p>
    <w:p>
      <w:pPr>
        <w:spacing w:after="0" w:line="170"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The Senior Credit Facility is collateralized by substantially all of the assets of the Company’s U.S. subsidiaries, excluding intangible assets. The Senior Credit Facility is subject to various financial and negative covenants, and, as of March 31, 2017, the Company was in compliance with all such covenants. The Company capitalized $0.2 million of incremental financing costs in 2017 in connection with the modifications to the Senior Credit Facility.</w:t>
      </w: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At March 31, 2017 and December 31, 2016, there were $355.0 million and $165.0 million outstanding, respectively, under the revolving credit component of the Senior Credit Facility at a weighted average interest rate of 2.4% and 2.2%, respectively. At March 31, 2017 and December 31, 2016, there was $500.0 million outstanding under the Term Loan A component of the Senior Credit Facility at a weighted average interest rate of 2.4% and 2.2%, respectively. At March 31, 2017, there was approximately $1.3 billion available for borrowing under the Senior Credit Facility, including the $700.0 million available under the Term Loan A-1 component.</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 of outstanding borrowings of the Senior Credit Facility's revolving credit facility and Term Loan A components at March 31, 2017 was approximately $319.9 million and $453.5 million, respectively. These fair values were determined by using a discounted cash flow model based on current market interest rates available to the Company. These inputs are corroborated by observable market data for similar liabilities and therefore classified within Level 2 of the fair value hierarchy. Level 2 inputs represent inputs that are observable for the asset or liability, either directly or indirectly and are other than active market observable inputs that reflect unadjusted quoted prices for identical assets or liabilities. The Company considers the balance to be long-term in nature based on its current intent and ability to repay the borrowing outside the next twelve-month period.</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Letters of credit outstanding as of March 31, 2017 and December 31, 2016 totaled $0.5 million. There were no amounts drawn as of March 31, 2017.</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used interest rate derivative instruments to manage earnings and cash flow exposure to changes in interest rates of the Term Loan A component of the Senior Credit Facility. At March 31, 2017 and December 31, 2016, the notional amounts related to the Company’s interest rate swaps were $400.0 million and $150.0 million, respectively.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color w:val="auto"/>
        </w:rPr>
        <w:t>Contractual repayments of the Term Loan A will begin March 31, 2018 and are due as follows:</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5840" w:type="dxa"/>
            <w:vAlign w:val="bottom"/>
            <w:gridSpan w:val="3"/>
          </w:tcPr>
          <w:p>
            <w:pPr>
              <w:jc w:val="right"/>
              <w:ind w:right="4150"/>
              <w:spacing w:after="0"/>
              <w:rPr>
                <w:sz w:val="20"/>
                <w:szCs w:val="20"/>
                <w:color w:val="auto"/>
              </w:rPr>
            </w:pPr>
            <w:r>
              <w:rPr>
                <w:rFonts w:ascii="Arial" w:cs="Arial" w:eastAsia="Arial" w:hAnsi="Arial"/>
                <w:sz w:val="14"/>
                <w:szCs w:val="14"/>
                <w:b w:val="1"/>
                <w:bCs w:val="1"/>
                <w:color w:val="auto"/>
                <w:w w:val="91"/>
              </w:rPr>
              <w:t>Year Ended December 31,</w:t>
            </w:r>
          </w:p>
        </w:tc>
        <w:tc>
          <w:tcPr>
            <w:tcW w:w="1980" w:type="dxa"/>
            <w:vAlign w:val="bottom"/>
            <w:gridSpan w:val="3"/>
          </w:tcPr>
          <w:p>
            <w:pPr>
              <w:jc w:val="center"/>
              <w:ind w:right="210"/>
              <w:spacing w:after="0"/>
              <w:rPr>
                <w:sz w:val="20"/>
                <w:szCs w:val="20"/>
                <w:color w:val="auto"/>
              </w:rPr>
            </w:pPr>
            <w:r>
              <w:rPr>
                <w:rFonts w:ascii="Arial" w:cs="Arial" w:eastAsia="Arial" w:hAnsi="Arial"/>
                <w:sz w:val="14"/>
                <w:szCs w:val="14"/>
                <w:b w:val="1"/>
                <w:bCs w:val="1"/>
                <w:color w:val="auto"/>
                <w:w w:val="95"/>
              </w:rPr>
              <w:t>Principal Repayment</w:t>
            </w:r>
          </w:p>
        </w:tc>
      </w:tr>
      <w:tr>
        <w:trPr>
          <w:trHeight w:val="285"/>
        </w:trPr>
        <w:tc>
          <w:tcPr>
            <w:tcW w:w="3600" w:type="dxa"/>
            <w:vAlign w:val="bottom"/>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(In thousands)</w:t>
            </w:r>
          </w:p>
        </w:tc>
        <w:tc>
          <w:tcPr>
            <w:tcW w:w="480" w:type="dxa"/>
            <w:vAlign w:val="bottom"/>
          </w:tcPr>
          <w:p>
            <w:pPr>
              <w:spacing w:after="0"/>
              <w:rPr>
                <w:sz w:val="24"/>
                <w:szCs w:val="24"/>
                <w:color w:val="auto"/>
              </w:rPr>
            </w:pPr>
          </w:p>
        </w:tc>
      </w:tr>
      <w:tr>
        <w:trPr>
          <w:trHeight w:val="256"/>
        </w:trPr>
        <w:tc>
          <w:tcPr>
            <w:tcW w:w="3600" w:type="dxa"/>
            <w:vAlign w:val="bottom"/>
            <w:tcBorders>
              <w:bottom w:val="single" w:sz="8" w:color="CCEEFF"/>
            </w:tcBorders>
            <w:shd w:val="clear" w:color="auto" w:fill="CCEEFF"/>
          </w:tcPr>
          <w:p>
            <w:pPr>
              <w:jc w:val="right"/>
              <w:ind w:right="3110"/>
              <w:spacing w:after="0"/>
              <w:rPr>
                <w:sz w:val="20"/>
                <w:szCs w:val="20"/>
                <w:color w:val="auto"/>
              </w:rPr>
            </w:pPr>
            <w:r>
              <w:rPr>
                <w:rFonts w:ascii="Arial" w:cs="Arial" w:eastAsia="Arial" w:hAnsi="Arial"/>
                <w:sz w:val="18"/>
                <w:szCs w:val="18"/>
                <w:color w:val="auto"/>
                <w:w w:val="94"/>
              </w:rPr>
              <w:t>2017</w:t>
            </w:r>
          </w:p>
        </w:tc>
        <w:tc>
          <w:tcPr>
            <w:tcW w:w="1600" w:type="dxa"/>
            <w:vAlign w:val="bottom"/>
            <w:tcBorders>
              <w:bottom w:val="single" w:sz="8" w:color="CCEEFF"/>
            </w:tcBorders>
            <w:shd w:val="clear" w:color="auto" w:fill="CCEEFF"/>
          </w:tcPr>
          <w:p>
            <w:pPr>
              <w:spacing w:after="0"/>
              <w:rPr>
                <w:sz w:val="22"/>
                <w:szCs w:val="22"/>
                <w:color w:val="auto"/>
              </w:rPr>
            </w:pPr>
          </w:p>
        </w:tc>
        <w:tc>
          <w:tcPr>
            <w:tcW w:w="39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600" w:type="dxa"/>
            <w:vAlign w:val="bottom"/>
          </w:tcPr>
          <w:p>
            <w:pPr>
              <w:jc w:val="right"/>
              <w:ind w:right="3110"/>
              <w:spacing w:after="0"/>
              <w:rPr>
                <w:sz w:val="20"/>
                <w:szCs w:val="20"/>
                <w:color w:val="auto"/>
              </w:rPr>
            </w:pPr>
            <w:r>
              <w:rPr>
                <w:rFonts w:ascii="Arial" w:cs="Arial" w:eastAsia="Arial" w:hAnsi="Arial"/>
                <w:sz w:val="18"/>
                <w:szCs w:val="18"/>
                <w:color w:val="auto"/>
                <w:w w:val="94"/>
              </w:rPr>
              <w:t>2018</w:t>
            </w: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25,000</w:t>
            </w:r>
          </w:p>
        </w:tc>
      </w:tr>
      <w:tr>
        <w:trPr>
          <w:trHeight w:val="27"/>
        </w:trPr>
        <w:tc>
          <w:tcPr>
            <w:tcW w:w="3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50"/>
        </w:trPr>
        <w:tc>
          <w:tcPr>
            <w:tcW w:w="3600" w:type="dxa"/>
            <w:vAlign w:val="bottom"/>
            <w:tcBorders>
              <w:bottom w:val="single" w:sz="8" w:color="CCEEFF"/>
            </w:tcBorders>
            <w:shd w:val="clear" w:color="auto" w:fill="CCEEFF"/>
          </w:tcPr>
          <w:p>
            <w:pPr>
              <w:jc w:val="right"/>
              <w:ind w:right="3110"/>
              <w:spacing w:after="0"/>
              <w:rPr>
                <w:sz w:val="20"/>
                <w:szCs w:val="20"/>
                <w:color w:val="auto"/>
              </w:rPr>
            </w:pPr>
            <w:r>
              <w:rPr>
                <w:rFonts w:ascii="Arial" w:cs="Arial" w:eastAsia="Arial" w:hAnsi="Arial"/>
                <w:sz w:val="18"/>
                <w:szCs w:val="18"/>
                <w:color w:val="auto"/>
                <w:w w:val="94"/>
              </w:rPr>
              <w:t>2019</w:t>
            </w:r>
          </w:p>
        </w:tc>
        <w:tc>
          <w:tcPr>
            <w:tcW w:w="1600" w:type="dxa"/>
            <w:vAlign w:val="bottom"/>
            <w:tcBorders>
              <w:bottom w:val="single" w:sz="8" w:color="CCEEFF"/>
            </w:tcBorders>
            <w:shd w:val="clear" w:color="auto" w:fill="CCEEFF"/>
          </w:tcPr>
          <w:p>
            <w:pPr>
              <w:spacing w:after="0"/>
              <w:rPr>
                <w:sz w:val="21"/>
                <w:szCs w:val="21"/>
                <w:color w:val="auto"/>
              </w:rPr>
            </w:pPr>
          </w:p>
        </w:tc>
        <w:tc>
          <w:tcPr>
            <w:tcW w:w="39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25,000</w:t>
            </w:r>
          </w:p>
        </w:tc>
      </w:tr>
      <w:tr>
        <w:trPr>
          <w:trHeight w:val="243"/>
        </w:trPr>
        <w:tc>
          <w:tcPr>
            <w:tcW w:w="3600" w:type="dxa"/>
            <w:vAlign w:val="bottom"/>
          </w:tcPr>
          <w:p>
            <w:pPr>
              <w:jc w:val="right"/>
              <w:ind w:right="3110"/>
              <w:spacing w:after="0"/>
              <w:rPr>
                <w:sz w:val="20"/>
                <w:szCs w:val="20"/>
                <w:color w:val="auto"/>
              </w:rPr>
            </w:pPr>
            <w:r>
              <w:rPr>
                <w:rFonts w:ascii="Arial" w:cs="Arial" w:eastAsia="Arial" w:hAnsi="Arial"/>
                <w:sz w:val="18"/>
                <w:szCs w:val="18"/>
                <w:color w:val="auto"/>
                <w:w w:val="94"/>
              </w:rPr>
              <w:t>2020</w:t>
            </w:r>
          </w:p>
        </w:tc>
        <w:tc>
          <w:tcPr>
            <w:tcW w:w="1600" w:type="dxa"/>
            <w:vAlign w:val="bottom"/>
          </w:tcPr>
          <w:p>
            <w:pPr>
              <w:spacing w:after="0"/>
              <w:rPr>
                <w:sz w:val="21"/>
                <w:szCs w:val="21"/>
                <w:color w:val="auto"/>
              </w:rPr>
            </w:pPr>
          </w:p>
        </w:tc>
        <w:tc>
          <w:tcPr>
            <w:tcW w:w="39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980" w:type="dxa"/>
            <w:vAlign w:val="bottom"/>
            <w:gridSpan w:val="3"/>
          </w:tcPr>
          <w:p>
            <w:pPr>
              <w:jc w:val="right"/>
              <w:ind w:right="10"/>
              <w:spacing w:after="0"/>
              <w:rPr>
                <w:sz w:val="20"/>
                <w:szCs w:val="20"/>
                <w:color w:val="auto"/>
              </w:rPr>
            </w:pPr>
            <w:r>
              <w:rPr>
                <w:rFonts w:ascii="Arial" w:cs="Arial" w:eastAsia="Arial" w:hAnsi="Arial"/>
                <w:sz w:val="18"/>
                <w:szCs w:val="18"/>
                <w:color w:val="auto"/>
              </w:rPr>
              <w:t>37,500</w:t>
            </w:r>
          </w:p>
        </w:tc>
      </w:tr>
      <w:tr>
        <w:trPr>
          <w:trHeight w:val="27"/>
        </w:trPr>
        <w:tc>
          <w:tcPr>
            <w:tcW w:w="3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270"/>
        </w:trPr>
        <w:tc>
          <w:tcPr>
            <w:tcW w:w="3600" w:type="dxa"/>
            <w:vAlign w:val="bottom"/>
            <w:tcBorders>
              <w:bottom w:val="single" w:sz="8" w:color="CCEEFF"/>
            </w:tcBorders>
            <w:shd w:val="clear" w:color="auto" w:fill="CCEEFF"/>
          </w:tcPr>
          <w:p>
            <w:pPr>
              <w:jc w:val="right"/>
              <w:ind w:right="3110"/>
              <w:spacing w:after="0"/>
              <w:rPr>
                <w:sz w:val="20"/>
                <w:szCs w:val="20"/>
                <w:color w:val="auto"/>
              </w:rPr>
            </w:pPr>
            <w:r>
              <w:rPr>
                <w:rFonts w:ascii="Arial" w:cs="Arial" w:eastAsia="Arial" w:hAnsi="Arial"/>
                <w:sz w:val="18"/>
                <w:szCs w:val="18"/>
                <w:color w:val="auto"/>
                <w:w w:val="94"/>
              </w:rPr>
              <w:t>2021</w:t>
            </w:r>
          </w:p>
        </w:tc>
        <w:tc>
          <w:tcPr>
            <w:tcW w:w="1600" w:type="dxa"/>
            <w:vAlign w:val="bottom"/>
            <w:tcBorders>
              <w:bottom w:val="single" w:sz="8" w:color="CCEEFF"/>
            </w:tcBorders>
            <w:shd w:val="clear" w:color="auto" w:fill="CCEEFF"/>
          </w:tcPr>
          <w:p>
            <w:pPr>
              <w:spacing w:after="0"/>
              <w:rPr>
                <w:sz w:val="23"/>
                <w:szCs w:val="23"/>
                <w:color w:val="auto"/>
              </w:rPr>
            </w:pPr>
          </w:p>
        </w:tc>
        <w:tc>
          <w:tcPr>
            <w:tcW w:w="394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412,500</w:t>
            </w:r>
          </w:p>
        </w:tc>
      </w:tr>
      <w:tr>
        <w:trPr>
          <w:trHeight w:val="237"/>
        </w:trPr>
        <w:tc>
          <w:tcPr>
            <w:tcW w:w="9140" w:type="dxa"/>
            <w:vAlign w:val="bottom"/>
            <w:gridSpan w:val="3"/>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36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39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r>
      <w:tr>
        <w:trPr>
          <w:trHeight w:val="20"/>
        </w:trPr>
        <w:tc>
          <w:tcPr>
            <w:tcW w:w="36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balance of revolving credit component of the Senior Credit Facility is due on December 7,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Convertible Senior Notes</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15, 2016, the Company extinguished its 1.625% Convertible Senior Notes due in 2016 (the "2016 Convertible Notes") by paying the principal amount of $227.1 million and issued 2.9 million shares of common stock with a fair value of $122.0 million related to excess conversion value. No gain or loss on extinguishment was recognized as a result of the conversion. The Company also received 2.9 million shares of common stock from the exercise of call options with hedge participants with a fair value of $123.1 million at the date of the exercise. The shares of common stock received from the exercise of the call options were held as treasury stock as of December 31, 2016 at a weighted average price of $41.78 for a total of $123.1 million.</w:t>
      </w:r>
    </w:p>
    <w:p>
      <w:pPr>
        <w:spacing w:after="0" w:line="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2016 Convertible Notes were issued on June 15, 2011 with the aggregate principal of $230.0 million and a maturity date of December 15, 2016. The 2016 Convertible Notes bore interest at a rate of 1.625% per annum payable semi-annually in arrears on December 15 and June 15 of each year. The 2016 Convertible Notes were senior, unsecured obligations and were convertible into cash and, if applicable, shares of its common stock based on a conversion rate defined within the note agreement.</w:t>
      </w:r>
    </w:p>
    <w:p>
      <w:pPr>
        <w:spacing w:after="0" w:line="13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connection with the issuance of the 2016 Convertible Notes, the Company entered into call transactions and warrant transactions, primarily with affiliates of the initial purchasers of such notes (the “hedge participants”). The initial strike price of the call transaction was approximately $28.72 per share, subject to customary anti-dilution adjustments. The initial strike price of the warrant transaction was approximately $35.03 per share, subject to customary anti-dilution adjustments. The strike price of the call transactions and warrant transactions has been adjusted similar to the 2016 Convertible Notes as a result of the spin-off of the Company's spine business in July 2015 to $26.42 per share and $32.22 per share, respectively. The warrants will expire on a series of expiration dates from March 2017 to August 2017. For the three months ended March 31, 2017, the hedge participants exercised 1,131,890 warrants and as a result the Company issued 211,713 shares of common stock. The Company has 7,575,310 warrants outstanding as of March 31, 2017.</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Note Interest</w:t>
      </w:r>
    </w:p>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The interest expense components of the Company’s convertible notes are as follows (net of capitalized interest amounts) for the three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March 31, 2016 (in thousands):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Three months ended March</w:t>
            </w:r>
          </w:p>
        </w:tc>
      </w:tr>
      <w:tr>
        <w:trPr>
          <w:trHeight w:val="192"/>
        </w:trPr>
        <w:tc>
          <w:tcPr>
            <w:tcW w:w="96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31, 2016</w:t>
            </w:r>
          </w:p>
        </w:tc>
      </w:tr>
      <w:tr>
        <w:trPr>
          <w:trHeight w:val="25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2016 Notes:</w:t>
            </w:r>
          </w:p>
        </w:tc>
        <w:tc>
          <w:tcPr>
            <w:tcW w:w="3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9600" w:type="dxa"/>
            <w:vAlign w:val="bottom"/>
          </w:tcPr>
          <w:p>
            <w:pPr>
              <w:ind w:left="40"/>
              <w:spacing w:after="0"/>
              <w:rPr>
                <w:sz w:val="20"/>
                <w:szCs w:val="20"/>
                <w:color w:val="auto"/>
              </w:rPr>
            </w:pPr>
            <w:r>
              <w:rPr>
                <w:rFonts w:ascii="Arial" w:cs="Arial" w:eastAsia="Arial" w:hAnsi="Arial"/>
                <w:sz w:val="18"/>
                <w:szCs w:val="18"/>
                <w:color w:val="auto"/>
              </w:rPr>
              <w:t>Amortization of the discount on the liability component (1)</w:t>
            </w:r>
          </w:p>
        </w:tc>
        <w:tc>
          <w:tcPr>
            <w:tcW w:w="380" w:type="dxa"/>
            <w:vAlign w:val="bottom"/>
          </w:tcPr>
          <w:p>
            <w:pPr>
              <w:jc w:val="right"/>
              <w:ind w:right="176"/>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4"/>
              <w:spacing w:after="0"/>
              <w:rPr>
                <w:sz w:val="20"/>
                <w:szCs w:val="20"/>
                <w:color w:val="auto"/>
              </w:rPr>
            </w:pPr>
            <w:r>
              <w:rPr>
                <w:rFonts w:ascii="Arial" w:cs="Arial" w:eastAsia="Arial" w:hAnsi="Arial"/>
                <w:sz w:val="18"/>
                <w:szCs w:val="18"/>
                <w:color w:val="auto"/>
              </w:rPr>
              <w:t>2,064</w:t>
            </w:r>
          </w:p>
        </w:tc>
      </w:tr>
      <w:tr>
        <w:trPr>
          <w:trHeight w:val="27"/>
        </w:trPr>
        <w:tc>
          <w:tcPr>
            <w:tcW w:w="96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interest related to the contractual interest coupon (2)</w:t>
            </w:r>
          </w:p>
        </w:tc>
        <w:tc>
          <w:tcPr>
            <w:tcW w:w="38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887</w:t>
            </w:r>
          </w:p>
        </w:tc>
      </w:tr>
      <w:tr>
        <w:trPr>
          <w:trHeight w:val="237"/>
        </w:trPr>
        <w:tc>
          <w:tcPr>
            <w:tcW w:w="960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2,951</w:t>
            </w:r>
          </w:p>
        </w:tc>
      </w:tr>
      <w:tr>
        <w:trPr>
          <w:trHeight w:val="27"/>
        </w:trPr>
        <w:tc>
          <w:tcPr>
            <w:tcW w:w="96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
        </w:trPr>
        <w:tc>
          <w:tcPr>
            <w:tcW w:w="96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right="20" w:firstLine="8"/>
        <w:spacing w:after="0" w:line="324" w:lineRule="auto"/>
        <w:tabs>
          <w:tab w:leader="none" w:pos="8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amortization of the discount on the liability component of the 2016 Notes is presented net of capitalized interest of $0.1 million for the three months ended March 31, 2016.</w:t>
      </w:r>
    </w:p>
    <w:p>
      <w:pPr>
        <w:spacing w:after="0" w:line="116" w:lineRule="exact"/>
        <w:rPr>
          <w:rFonts w:ascii="Arial" w:cs="Arial" w:eastAsia="Arial" w:hAnsi="Arial"/>
          <w:sz w:val="18"/>
          <w:szCs w:val="18"/>
          <w:color w:val="auto"/>
        </w:rPr>
      </w:pPr>
    </w:p>
    <w:p>
      <w:pPr>
        <w:ind w:firstLine="8"/>
        <w:spacing w:after="0" w:line="324" w:lineRule="auto"/>
        <w:tabs>
          <w:tab w:leader="none" w:pos="858"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cash interest related to the contractual interest coupon on the 2016 Notes is presented net of a minimal amount of capitalized interest for the three months ended March 31, 2016.</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DERIVATIVE INSTRUMENTS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 Hedging</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interest rate risk relates to U.S. dollar denominated variable interest rate borrowings. The Company uses interest rate swap derivative instruments to manage earnings and cash flow exposure resulting from changes in interest rates. These interest rate swaps apply a fixed interest rate on a portion of our expected LIBOR-indexed floating-rate borrowings. The Company held the following interest rate swaps as of March 31, 2017 (amounts in thousands):</w:t>
      </w:r>
    </w:p>
    <w:p>
      <w:pPr>
        <w:spacing w:after="0" w:line="196" w:lineRule="exact"/>
        <w:rPr>
          <w:sz w:val="20"/>
          <w:szCs w:val="20"/>
          <w:color w:val="auto"/>
        </w:rPr>
      </w:pPr>
    </w:p>
    <w:tbl>
      <w:tblPr>
        <w:tblLayout w:type="fixed"/>
        <w:tblInd w:w="1220" w:type="dxa"/>
        <w:tblCellMar>
          <w:top w:w="0" w:type="dxa"/>
          <w:left w:w="0" w:type="dxa"/>
          <w:bottom w:w="0" w:type="dxa"/>
          <w:right w:w="0" w:type="dxa"/>
        </w:tblCellMar>
      </w:tblPr>
      <w:tr>
        <w:trPr>
          <w:trHeight w:val="149"/>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3"/>
                <w:szCs w:val="13"/>
                <w:b w:val="1"/>
                <w:bCs w:val="1"/>
                <w:color w:val="auto"/>
              </w:rPr>
              <w:t>Current</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tcPr>
          <w:p>
            <w:pPr>
              <w:ind w:left="180"/>
              <w:spacing w:after="0"/>
              <w:rPr>
                <w:sz w:val="20"/>
                <w:szCs w:val="20"/>
                <w:color w:val="auto"/>
              </w:rPr>
            </w:pPr>
            <w:r>
              <w:rPr>
                <w:rFonts w:ascii="Arial" w:cs="Arial" w:eastAsia="Arial" w:hAnsi="Arial"/>
                <w:sz w:val="13"/>
                <w:szCs w:val="13"/>
                <w:b w:val="1"/>
                <w:bCs w:val="1"/>
                <w:color w:val="auto"/>
              </w:rPr>
              <w:t>Fixed</w:t>
            </w: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3"/>
                <w:szCs w:val="13"/>
                <w:b w:val="1"/>
                <w:bCs w:val="1"/>
                <w:color w:val="auto"/>
              </w:rPr>
              <w:t>Notional</w:t>
            </w: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8"/>
              </w:rPr>
              <w:t>Termination</w:t>
            </w:r>
          </w:p>
        </w:tc>
        <w:tc>
          <w:tcPr>
            <w:tcW w:w="76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Interest</w:t>
            </w:r>
          </w:p>
        </w:tc>
        <w:tc>
          <w:tcPr>
            <w:tcW w:w="1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gridSpan w:val="2"/>
          </w:tcPr>
          <w:p>
            <w:pPr>
              <w:jc w:val="right"/>
              <w:ind w:right="28"/>
              <w:spacing w:after="0" w:line="135" w:lineRule="exact"/>
              <w:rPr>
                <w:sz w:val="20"/>
                <w:szCs w:val="20"/>
                <w:color w:val="auto"/>
              </w:rPr>
            </w:pPr>
            <w:r>
              <w:rPr>
                <w:rFonts w:ascii="Arial" w:cs="Arial" w:eastAsia="Arial" w:hAnsi="Arial"/>
                <w:sz w:val="13"/>
                <w:szCs w:val="13"/>
                <w:b w:val="1"/>
                <w:bCs w:val="1"/>
                <w:color w:val="auto"/>
                <w:w w:val="93"/>
              </w:rPr>
              <w:t>Estimated</w:t>
            </w:r>
          </w:p>
        </w:tc>
        <w:tc>
          <w:tcPr>
            <w:tcW w:w="0" w:type="dxa"/>
            <w:vAlign w:val="bottom"/>
          </w:tcPr>
          <w:p>
            <w:pPr>
              <w:spacing w:after="0"/>
              <w:rPr>
                <w:sz w:val="1"/>
                <w:szCs w:val="1"/>
                <w:color w:val="auto"/>
              </w:rPr>
            </w:pPr>
          </w:p>
        </w:tc>
      </w:tr>
      <w:tr>
        <w:trPr>
          <w:trHeight w:val="174"/>
        </w:trPr>
        <w:tc>
          <w:tcPr>
            <w:tcW w:w="168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Hedged Item</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tcBorders>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Designation Date</w:t>
            </w:r>
          </w:p>
        </w:tc>
        <w:tc>
          <w:tcPr>
            <w:tcW w:w="10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Effective Date</w:t>
            </w:r>
          </w:p>
        </w:tc>
        <w:tc>
          <w:tcPr>
            <w:tcW w:w="1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2"/>
              </w:rPr>
              <w:t>Date</w:t>
            </w:r>
          </w:p>
        </w:tc>
        <w:tc>
          <w:tcPr>
            <w:tcW w:w="10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Rate</w:t>
            </w:r>
          </w:p>
        </w:tc>
        <w:tc>
          <w:tcPr>
            <w:tcW w:w="100" w:type="dxa"/>
            <w:vAlign w:val="bottom"/>
            <w:tcBorders>
              <w:bottom w:val="single" w:sz="8" w:color="CCEEFF"/>
            </w:tcBorders>
          </w:tcPr>
          <w:p>
            <w:pPr>
              <w:spacing w:after="0"/>
              <w:rPr>
                <w:sz w:val="15"/>
                <w:szCs w:val="15"/>
                <w:color w:val="auto"/>
              </w:rPr>
            </w:pPr>
          </w:p>
        </w:tc>
        <w:tc>
          <w:tcPr>
            <w:tcW w:w="1460" w:type="dxa"/>
            <w:vAlign w:val="bottom"/>
            <w:tcBorders>
              <w:bottom w:val="single" w:sz="8" w:color="auto"/>
            </w:tcBorders>
          </w:tcPr>
          <w:p>
            <w:pPr>
              <w:ind w:left="360"/>
              <w:spacing w:after="0"/>
              <w:rPr>
                <w:sz w:val="20"/>
                <w:szCs w:val="20"/>
                <w:color w:val="auto"/>
              </w:rPr>
            </w:pPr>
            <w:r>
              <w:rPr>
                <w:rFonts w:ascii="Arial" w:cs="Arial" w:eastAsia="Arial" w:hAnsi="Arial"/>
                <w:sz w:val="13"/>
                <w:szCs w:val="13"/>
                <w:b w:val="1"/>
                <w:bCs w:val="1"/>
                <w:color w:val="auto"/>
              </w:rPr>
              <w:t>Floating Rate</w:t>
            </w:r>
          </w:p>
        </w:tc>
        <w:tc>
          <w:tcPr>
            <w:tcW w:w="12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57"/>
        </w:trPr>
        <w:tc>
          <w:tcPr>
            <w:tcW w:w="1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center"/>
              <w:ind w:right="140"/>
              <w:spacing w:after="0" w:line="157" w:lineRule="exact"/>
              <w:rPr>
                <w:sz w:val="20"/>
                <w:szCs w:val="20"/>
                <w:color w:val="auto"/>
              </w:rPr>
            </w:pPr>
            <w:r>
              <w:rPr>
                <w:rFonts w:ascii="Arial" w:cs="Arial" w:eastAsia="Arial" w:hAnsi="Arial"/>
                <w:sz w:val="14"/>
                <w:szCs w:val="14"/>
                <w:color w:val="auto"/>
                <w:w w:val="89"/>
              </w:rPr>
              <w:t>June 30,</w:t>
            </w: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 Loan 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0"/>
              </w:rPr>
              <w:t>June 22, 2016</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December 31, 2016</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1.062%</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3-month BBA LIBOR</w:t>
            </w:r>
          </w:p>
        </w:tc>
        <w:tc>
          <w:tcPr>
            <w:tcW w:w="2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w w:val="76"/>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89"/>
              </w:rPr>
              <w:t>June 30,</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Term Loan A</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6"/>
                <w:szCs w:val="16"/>
                <w:color w:val="auto"/>
              </w:rPr>
            </w:pP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color w:val="auto"/>
                <w:w w:val="90"/>
              </w:rPr>
              <w:t>June 22, 2016</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December 31, 2016</w:t>
            </w: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2019</w:t>
            </w:r>
          </w:p>
        </w:tc>
        <w:tc>
          <w:tcPr>
            <w:tcW w:w="100" w:type="dxa"/>
            <w:vAlign w:val="bottom"/>
          </w:tcPr>
          <w:p>
            <w:pPr>
              <w:spacing w:after="0"/>
              <w:rPr>
                <w:sz w:val="16"/>
                <w:szCs w:val="16"/>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auto"/>
                <w:w w:val="96"/>
              </w:rPr>
              <w:t>1.062%</w:t>
            </w:r>
          </w:p>
        </w:tc>
        <w:tc>
          <w:tcPr>
            <w:tcW w:w="100" w:type="dxa"/>
            <w:vAlign w:val="bottom"/>
          </w:tcPr>
          <w:p>
            <w:pPr>
              <w:spacing w:after="0"/>
              <w:rPr>
                <w:sz w:val="16"/>
                <w:szCs w:val="16"/>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BBA LIBOR</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63"/>
        </w:trPr>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9"/>
              </w:rPr>
              <w:t>June 30,</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 Loan A</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3"/>
              </w:rPr>
              <w:t>July 12, 2016</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December 31, 2016</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2019</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0.825%</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775</w:t>
            </w: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89"/>
              </w:rPr>
              <w:t>June 30,</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Term Loan A</w:t>
            </w:r>
          </w:p>
        </w:tc>
        <w:tc>
          <w:tcPr>
            <w:tcW w:w="14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50,000</w:t>
            </w:r>
          </w:p>
        </w:tc>
        <w:tc>
          <w:tcPr>
            <w:tcW w:w="100" w:type="dxa"/>
            <w:vAlign w:val="bottom"/>
          </w:tcPr>
          <w:p>
            <w:pPr>
              <w:spacing w:after="0"/>
              <w:rPr>
                <w:sz w:val="16"/>
                <w:szCs w:val="16"/>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February 6, 2017</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June 30, 2017</w:t>
            </w:r>
          </w:p>
        </w:tc>
        <w:tc>
          <w:tcPr>
            <w:tcW w:w="720" w:type="dxa"/>
            <w:vAlign w:val="bottom"/>
          </w:tcPr>
          <w:p>
            <w:pPr>
              <w:jc w:val="center"/>
              <w:spacing w:after="0"/>
              <w:rPr>
                <w:sz w:val="20"/>
                <w:szCs w:val="20"/>
                <w:color w:val="auto"/>
              </w:rPr>
            </w:pPr>
            <w:r>
              <w:rPr>
                <w:rFonts w:ascii="Arial" w:cs="Arial" w:eastAsia="Arial" w:hAnsi="Arial"/>
                <w:sz w:val="14"/>
                <w:szCs w:val="14"/>
                <w:color w:val="auto"/>
                <w:w w:val="96"/>
              </w:rPr>
              <w:t>2020</w:t>
            </w:r>
          </w:p>
        </w:tc>
        <w:tc>
          <w:tcPr>
            <w:tcW w:w="100" w:type="dxa"/>
            <w:vAlign w:val="bottom"/>
          </w:tcPr>
          <w:p>
            <w:pPr>
              <w:spacing w:after="0"/>
              <w:rPr>
                <w:sz w:val="16"/>
                <w:szCs w:val="16"/>
                <w:color w:val="auto"/>
              </w:rPr>
            </w:pPr>
          </w:p>
        </w:tc>
        <w:tc>
          <w:tcPr>
            <w:tcW w:w="660" w:type="dxa"/>
            <w:vAlign w:val="bottom"/>
          </w:tcPr>
          <w:p>
            <w:pPr>
              <w:ind w:left="180"/>
              <w:spacing w:after="0"/>
              <w:rPr>
                <w:sz w:val="20"/>
                <w:szCs w:val="20"/>
                <w:color w:val="auto"/>
              </w:rPr>
            </w:pPr>
            <w:r>
              <w:rPr>
                <w:rFonts w:ascii="Arial" w:cs="Arial" w:eastAsia="Arial" w:hAnsi="Arial"/>
                <w:sz w:val="14"/>
                <w:szCs w:val="14"/>
                <w:color w:val="auto"/>
                <w:w w:val="96"/>
              </w:rPr>
              <w:t>1.834%</w:t>
            </w:r>
          </w:p>
        </w:tc>
        <w:tc>
          <w:tcPr>
            <w:tcW w:w="100" w:type="dxa"/>
            <w:vAlign w:val="bottom"/>
          </w:tcPr>
          <w:p>
            <w:pPr>
              <w:spacing w:after="0"/>
              <w:rPr>
                <w:sz w:val="16"/>
                <w:szCs w:val="16"/>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color w:val="auto"/>
              </w:rPr>
              <w:t>3-month USD LIBOR</w:t>
            </w:r>
          </w:p>
        </w:tc>
        <w:tc>
          <w:tcPr>
            <w:tcW w:w="20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163"/>
        </w:trPr>
        <w:tc>
          <w:tcPr>
            <w:tcW w:w="1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89"/>
              </w:rPr>
              <w:t>June 30,</w:t>
            </w:r>
          </w:p>
        </w:tc>
        <w:tc>
          <w:tcPr>
            <w:tcW w:w="6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Term Loan A</w:t>
            </w:r>
          </w:p>
        </w:tc>
        <w:tc>
          <w:tcPr>
            <w:tcW w:w="14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w w:val="91"/>
              </w:rPr>
              <w:t>February 6, 2017</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2"/>
              </w:rPr>
              <w:t>June 30, 2017</w:t>
            </w: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6"/>
              </w:rPr>
              <w:t>2020</w:t>
            </w:r>
          </w:p>
        </w:tc>
        <w:tc>
          <w:tcPr>
            <w:tcW w:w="100" w:type="dxa"/>
            <w:vAlign w:val="bottom"/>
            <w:shd w:val="clear" w:color="auto" w:fill="CCEEFF"/>
          </w:tcPr>
          <w:p>
            <w:pPr>
              <w:spacing w:after="0"/>
              <w:rPr>
                <w:sz w:val="16"/>
                <w:szCs w:val="16"/>
                <w:color w:val="auto"/>
              </w:rPr>
            </w:pPr>
          </w:p>
        </w:tc>
        <w:tc>
          <w:tcPr>
            <w:tcW w:w="66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6"/>
              </w:rPr>
              <w:t>1.652%</w:t>
            </w:r>
          </w:p>
        </w:tc>
        <w:tc>
          <w:tcPr>
            <w:tcW w:w="100" w:type="dxa"/>
            <w:vAlign w:val="bottom"/>
            <w:shd w:val="clear" w:color="auto" w:fill="CCEEFF"/>
          </w:tcPr>
          <w:p>
            <w:pPr>
              <w:spacing w:after="0"/>
              <w:rPr>
                <w:sz w:val="16"/>
                <w:szCs w:val="16"/>
                <w:color w:val="auto"/>
              </w:rPr>
            </w:pPr>
          </w:p>
        </w:tc>
        <w:tc>
          <w:tcPr>
            <w:tcW w:w="15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1-month USD LIBOR</w:t>
            </w:r>
          </w:p>
        </w:tc>
        <w:tc>
          <w:tcPr>
            <w:tcW w:w="20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57"/>
        </w:trPr>
        <w:tc>
          <w:tcPr>
            <w:tcW w:w="1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tcPr>
          <w:p>
            <w:pPr>
              <w:jc w:val="center"/>
              <w:ind w:right="140"/>
              <w:spacing w:after="0" w:line="157" w:lineRule="exact"/>
              <w:rPr>
                <w:sz w:val="20"/>
                <w:szCs w:val="20"/>
                <w:color w:val="auto"/>
              </w:rPr>
            </w:pPr>
            <w:r>
              <w:rPr>
                <w:rFonts w:ascii="Arial" w:cs="Arial" w:eastAsia="Arial" w:hAnsi="Arial"/>
                <w:sz w:val="14"/>
                <w:szCs w:val="14"/>
                <w:color w:val="auto"/>
                <w:w w:val="89"/>
              </w:rPr>
              <w:t>June 30,</w:t>
            </w: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7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Term Loan A</w:t>
            </w: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100,000</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4"/>
              </w:rPr>
              <w:t>March 27, 2017</w:t>
            </w:r>
          </w:p>
        </w:tc>
        <w:tc>
          <w:tcPr>
            <w:tcW w:w="138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2"/>
              </w:rPr>
              <w:t>December 31, 2017</w:t>
            </w:r>
          </w:p>
        </w:tc>
        <w:tc>
          <w:tcPr>
            <w:tcW w:w="72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w w:val="96"/>
              </w:rPr>
              <w:t>2021</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w w:val="96"/>
              </w:rPr>
              <w:t>1.971%</w:t>
            </w:r>
          </w:p>
        </w:tc>
        <w:tc>
          <w:tcPr>
            <w:tcW w:w="100" w:type="dxa"/>
            <w:vAlign w:val="bottom"/>
            <w:tcBorders>
              <w:bottom w:val="single" w:sz="8" w:color="CCEEFF"/>
            </w:tcBorders>
          </w:tcPr>
          <w:p>
            <w:pPr>
              <w:spacing w:after="0"/>
              <w:rPr>
                <w:sz w:val="16"/>
                <w:szCs w:val="16"/>
                <w:color w:val="auto"/>
              </w:rPr>
            </w:pPr>
          </w:p>
        </w:tc>
        <w:tc>
          <w:tcPr>
            <w:tcW w:w="15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1-month USD LIBOR</w:t>
            </w:r>
          </w:p>
        </w:tc>
        <w:tc>
          <w:tcPr>
            <w:tcW w:w="2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3"/>
        </w:trPr>
        <w:tc>
          <w:tcPr>
            <w:tcW w:w="1780" w:type="dxa"/>
            <w:vAlign w:val="bottom"/>
            <w:gridSpan w:val="2"/>
            <w:shd w:val="clear" w:color="auto" w:fill="CCEEFF"/>
          </w:tcPr>
          <w:p>
            <w:pPr>
              <w:ind w:left="20"/>
              <w:spacing w:after="0" w:line="143" w:lineRule="exact"/>
              <w:rPr>
                <w:sz w:val="20"/>
                <w:szCs w:val="20"/>
                <w:color w:val="auto"/>
              </w:rPr>
            </w:pPr>
            <w:r>
              <w:rPr>
                <w:rFonts w:ascii="Arial" w:cs="Arial" w:eastAsia="Arial" w:hAnsi="Arial"/>
                <w:sz w:val="14"/>
                <w:szCs w:val="14"/>
                <w:color w:val="auto"/>
              </w:rPr>
              <w:t>Total interested rate</w:t>
            </w: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80" w:type="dxa"/>
            <w:vAlign w:val="bottom"/>
            <w:gridSpan w:val="2"/>
            <w:shd w:val="clear" w:color="auto" w:fill="CCEEFF"/>
          </w:tcPr>
          <w:p>
            <w:pPr>
              <w:ind w:left="180"/>
              <w:spacing w:after="0" w:line="149" w:lineRule="exact"/>
              <w:rPr>
                <w:sz w:val="20"/>
                <w:szCs w:val="20"/>
                <w:color w:val="auto"/>
              </w:rPr>
            </w:pPr>
            <w:r>
              <w:rPr>
                <w:rFonts w:ascii="Arial" w:cs="Arial" w:eastAsia="Arial" w:hAnsi="Arial"/>
                <w:sz w:val="14"/>
                <w:szCs w:val="14"/>
                <w:color w:val="auto"/>
                <w:w w:val="99"/>
              </w:rPr>
              <w:t>derivatives designated as</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400,000</w:t>
            </w:r>
          </w:p>
        </w:tc>
        <w:tc>
          <w:tcPr>
            <w:tcW w:w="1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53"/>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2,479</w:t>
            </w:r>
          </w:p>
        </w:tc>
        <w:tc>
          <w:tcPr>
            <w:tcW w:w="0" w:type="dxa"/>
            <w:vAlign w:val="bottom"/>
          </w:tcPr>
          <w:p>
            <w:pPr>
              <w:spacing w:after="0"/>
              <w:rPr>
                <w:sz w:val="1"/>
                <w:szCs w:val="1"/>
                <w:color w:val="auto"/>
              </w:rPr>
            </w:pPr>
          </w:p>
        </w:tc>
      </w:tr>
      <w:tr>
        <w:trPr>
          <w:trHeight w:val="181"/>
        </w:trPr>
        <w:tc>
          <w:tcPr>
            <w:tcW w:w="17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cash flow hedge</w:t>
            </w:r>
          </w:p>
        </w:tc>
        <w:tc>
          <w:tcPr>
            <w:tcW w:w="140" w:type="dxa"/>
            <w:vAlign w:val="bottom"/>
            <w:tcBorders>
              <w:bottom w:val="single" w:sz="8" w:color="auto"/>
            </w:tcBorders>
            <w:vMerge w:val="continue"/>
            <w:shd w:val="clear" w:color="auto" w:fill="CCEEFF"/>
          </w:tcPr>
          <w:p>
            <w:pPr>
              <w:spacing w:after="0"/>
              <w:rPr>
                <w:sz w:val="15"/>
                <w:szCs w:val="15"/>
                <w:color w:val="auto"/>
              </w:rPr>
            </w:pPr>
          </w:p>
        </w:tc>
        <w:tc>
          <w:tcPr>
            <w:tcW w:w="72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designated these derivative instruments as cash flow hedges. The Company recorded the effective portion of the change in the fair value of a derivative instrument designated as a cash flow hedge as unrealized gains or losses in accumulated other comprehensive income (“AOCI”), net of tax, until the hedged item affected earnings, at which point the effective portion of any gain or loss was reclassified to earnings. If the hedged cash flow does not occur, or if it becomes probable that it will not occur, the Company will reclassify the amount of any gain or loss on the related cash flow hedge to interest expense at that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Foreign Currency Hedging</w:t>
      </w:r>
    </w:p>
    <w:p>
      <w:pPr>
        <w:spacing w:after="0" w:line="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From time to time the Company enters into foreign currency hedge contracts intended to protect the U.S. dollar value of certain forecasted foreign currency denominated transactions. The Company records the effective portion of any change in the fair value of foreign currency cash flow hedges in AOCI, net of tax, until the hedged item affects earnings. Once the related hedged item affects earnings, the Company reclassifies the effective portion of any related unrealized gain or loss on the foreign currency cash flow hedge to earnings. If the hedged forecasted transaction does not occur, or if it becomes probable that it will not occur, the Company will reclassify the amount of any gain or loss on the related cash flow hedge to earnings at that time.</w:t>
      </w:r>
    </w:p>
    <w:p>
      <w:pPr>
        <w:spacing w:after="0" w:line="15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success of the Company’s hedging program depends, in part, on forecasts of certain activity denominated in Euros. The Company may experience unanticipated currency exchange gains or losses to the extent that there are differences between forecasted and actual activity during periods of currency volatility. In addition, changes in currency exchange rates related to any unhedged transactions may affect its earnings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Counterparty Credit Risk</w:t>
      </w:r>
    </w:p>
    <w:p>
      <w:pPr>
        <w:spacing w:after="0" w:line="9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manages its concentration of counterparty credit risk on its derivative instruments by limiting acceptable counterparties to a group of major financial institutions with investment grade credit ratings, and by actively monitoring their credit ratings and outstanding positions on an ongoing basis. Therefore, the Company considers the credit risk of the counterparties to be low. Furthermore, none of the Company’s derivative transactions is subject to collateral or other security arrangements, and none contain provisions that depend upon the Company’s credit ratings from any credit rating agency.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Derivative Instruments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classified all of its derivative instruments within Level 2 of the fair value hierarchy because observable inputs are available for substantially the full term of the derivative instruments. The fair value of the foreign currency forward exchange contracts related to inventory purchases is determined by comparing the forward rate as of the period end and the settlement rate specified in each contract. The fair value of the interest rate swaps was developed using a market approach based on publicly available market yield curves and the terms of the related swap. The Company performs ongoing assessments of counterparty credit risk.</w:t>
      </w:r>
    </w:p>
    <w:p>
      <w:pPr>
        <w:spacing w:after="0" w:line="13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fair value and presentation for derivatives designated as hedging instruments in the condensed consolidated balance sheets as of March 31, 2017 and December 31, 2016:</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1174"/>
              <w:spacing w:after="0"/>
              <w:rPr>
                <w:sz w:val="20"/>
                <w:szCs w:val="20"/>
                <w:color w:val="auto"/>
              </w:rPr>
            </w:pPr>
            <w:r>
              <w:rPr>
                <w:rFonts w:ascii="Arial" w:cs="Arial" w:eastAsia="Arial" w:hAnsi="Arial"/>
                <w:sz w:val="14"/>
                <w:szCs w:val="14"/>
                <w:b w:val="1"/>
                <w:bCs w:val="1"/>
                <w:color w:val="auto"/>
              </w:rPr>
              <w:t>Fair Value as of</w:t>
            </w:r>
          </w:p>
        </w:tc>
      </w:tr>
      <w:tr>
        <w:trPr>
          <w:trHeight w:val="264"/>
        </w:trPr>
        <w:tc>
          <w:tcPr>
            <w:tcW w:w="7880" w:type="dxa"/>
            <w:vAlign w:val="bottom"/>
            <w:gridSpan w:val="2"/>
          </w:tcPr>
          <w:p>
            <w:pPr>
              <w:ind w:left="40"/>
              <w:spacing w:after="0"/>
              <w:rPr>
                <w:sz w:val="20"/>
                <w:szCs w:val="20"/>
                <w:color w:val="auto"/>
              </w:rPr>
            </w:pPr>
            <w:r>
              <w:rPr>
                <w:rFonts w:ascii="Arial" w:cs="Arial" w:eastAsia="Arial" w:hAnsi="Arial"/>
                <w:sz w:val="14"/>
                <w:szCs w:val="14"/>
                <w:b w:val="1"/>
                <w:bCs w:val="1"/>
                <w:color w:val="auto"/>
              </w:rPr>
              <w:t xml:space="preserve">Location on Balance Sheet </w:t>
            </w:r>
            <w:r>
              <w:rPr>
                <w:rFonts w:ascii="Arial" w:cs="Arial" w:eastAsia="Arial" w:hAnsi="Arial"/>
                <w:sz w:val="8"/>
                <w:szCs w:val="8"/>
                <w:b w:val="1"/>
                <w:bCs w:val="1"/>
                <w:color w:val="auto"/>
              </w:rPr>
              <w:t>(1)</w:t>
            </w:r>
            <w:r>
              <w:rPr>
                <w:rFonts w:ascii="Arial" w:cs="Arial" w:eastAsia="Arial" w:hAnsi="Arial"/>
                <w:sz w:val="14"/>
                <w:szCs w:val="14"/>
                <w:b w:val="1"/>
                <w:bCs w:val="1"/>
                <w:color w:val="auto"/>
              </w:rPr>
              <w:t>:</w:t>
            </w:r>
          </w:p>
        </w:tc>
        <w:tc>
          <w:tcPr>
            <w:tcW w:w="240" w:type="dxa"/>
            <w:vAlign w:val="bottom"/>
          </w:tcPr>
          <w:p>
            <w:pPr>
              <w:spacing w:after="0"/>
              <w:rPr>
                <w:sz w:val="22"/>
                <w:szCs w:val="22"/>
                <w:color w:val="auto"/>
              </w:rPr>
            </w:pPr>
          </w:p>
        </w:tc>
        <w:tc>
          <w:tcPr>
            <w:tcW w:w="158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 2017</w:t>
            </w:r>
          </w:p>
        </w:tc>
        <w:tc>
          <w:tcPr>
            <w:tcW w:w="180" w:type="dxa"/>
            <w:vAlign w:val="bottom"/>
          </w:tcPr>
          <w:p>
            <w:pPr>
              <w:spacing w:after="0"/>
              <w:rPr>
                <w:sz w:val="22"/>
                <w:szCs w:val="22"/>
                <w:color w:val="auto"/>
              </w:rPr>
            </w:pPr>
          </w:p>
        </w:tc>
        <w:tc>
          <w:tcPr>
            <w:tcW w:w="152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December 31, 2016</w:t>
            </w:r>
          </w:p>
        </w:tc>
      </w:tr>
      <w:tr>
        <w:trPr>
          <w:trHeight w:val="250"/>
        </w:trPr>
        <w:tc>
          <w:tcPr>
            <w:tcW w:w="77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280" w:type="dxa"/>
            <w:vAlign w:val="bottom"/>
            <w:tcBorders>
              <w:top w:val="single" w:sz="8" w:color="auto"/>
            </w:tcBorders>
            <w:gridSpan w:val="4"/>
          </w:tcPr>
          <w:p>
            <w:pPr>
              <w:jc w:val="right"/>
              <w:ind w:right="1214"/>
              <w:spacing w:after="0"/>
              <w:rPr>
                <w:sz w:val="20"/>
                <w:szCs w:val="20"/>
                <w:color w:val="auto"/>
              </w:rPr>
            </w:pPr>
            <w:r>
              <w:rPr>
                <w:rFonts w:ascii="Arial" w:cs="Arial" w:eastAsia="Arial" w:hAnsi="Arial"/>
                <w:sz w:val="14"/>
                <w:szCs w:val="14"/>
                <w:b w:val="1"/>
                <w:bCs w:val="1"/>
                <w:color w:val="auto"/>
              </w:rPr>
              <w:t>(In thousands)</w:t>
            </w:r>
          </w:p>
        </w:tc>
      </w:tr>
      <w:tr>
        <w:trPr>
          <w:trHeight w:val="256"/>
        </w:trPr>
        <w:tc>
          <w:tcPr>
            <w:tcW w:w="7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designated as hedges — Assets:</w:t>
            </w:r>
          </w:p>
        </w:tc>
        <w:tc>
          <w:tcPr>
            <w:tcW w:w="2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spacing w:after="0"/>
              <w:rPr>
                <w:sz w:val="22"/>
                <w:szCs w:val="22"/>
                <w:color w:val="auto"/>
              </w:rPr>
            </w:pPr>
          </w:p>
        </w:tc>
      </w:tr>
      <w:tr>
        <w:trPr>
          <w:trHeight w:val="270"/>
        </w:trPr>
        <w:tc>
          <w:tcPr>
            <w:tcW w:w="78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Interest rate swap — Prepaid expenses and other current assets </w:t>
            </w:r>
            <w:r>
              <w:rPr>
                <w:rFonts w:ascii="Arial" w:cs="Arial" w:eastAsia="Arial" w:hAnsi="Arial"/>
                <w:sz w:val="25"/>
                <w:szCs w:val="25"/>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642</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242</w:t>
            </w:r>
          </w:p>
        </w:tc>
      </w:tr>
      <w:tr>
        <w:trPr>
          <w:trHeight w:val="270"/>
        </w:trPr>
        <w:tc>
          <w:tcPr>
            <w:tcW w:w="78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 — Other assets </w:t>
            </w:r>
            <w:r>
              <w:rPr>
                <w:rFonts w:ascii="Arial" w:cs="Arial" w:eastAsia="Arial" w:hAnsi="Arial"/>
                <w:sz w:val="25"/>
                <w:szCs w:val="25"/>
                <w:color w:val="auto"/>
                <w:vertAlign w:val="superscript"/>
              </w:rPr>
              <w:t>(2)</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2,020</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5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1,629</w:t>
            </w:r>
          </w:p>
        </w:tc>
      </w:tr>
      <w:tr>
        <w:trPr>
          <w:trHeight w:val="237"/>
        </w:trPr>
        <w:tc>
          <w:tcPr>
            <w:tcW w:w="7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8"/>
              <w:spacing w:after="0"/>
              <w:rPr>
                <w:sz w:val="20"/>
                <w:szCs w:val="20"/>
                <w:color w:val="auto"/>
              </w:rPr>
            </w:pPr>
            <w:r>
              <w:rPr>
                <w:rFonts w:ascii="Arial" w:cs="Arial" w:eastAsia="Arial" w:hAnsi="Arial"/>
                <w:sz w:val="18"/>
                <w:szCs w:val="18"/>
                <w:color w:val="auto"/>
              </w:rPr>
              <w:t>2,662</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4"/>
              <w:spacing w:after="0"/>
              <w:rPr>
                <w:sz w:val="20"/>
                <w:szCs w:val="20"/>
                <w:color w:val="auto"/>
              </w:rPr>
            </w:pPr>
            <w:r>
              <w:rPr>
                <w:rFonts w:ascii="Arial" w:cs="Arial" w:eastAsia="Arial" w:hAnsi="Arial"/>
                <w:sz w:val="18"/>
                <w:szCs w:val="18"/>
                <w:color w:val="auto"/>
              </w:rPr>
              <w:t>1,871</w:t>
            </w:r>
          </w:p>
        </w:tc>
      </w:tr>
      <w:tr>
        <w:trPr>
          <w:trHeight w:val="67"/>
        </w:trPr>
        <w:tc>
          <w:tcPr>
            <w:tcW w:w="7760" w:type="dxa"/>
            <w:vAlign w:val="bottom"/>
            <w:tcBorders>
              <w:bottom w:val="single" w:sz="8" w:color="CCEEFF"/>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520" w:type="dxa"/>
            <w:vAlign w:val="bottom"/>
            <w:tcBorders>
              <w:bottom w:val="single" w:sz="8" w:color="auto"/>
            </w:tcBorders>
          </w:tcPr>
          <w:p>
            <w:pPr>
              <w:spacing w:after="0"/>
              <w:rPr>
                <w:sz w:val="5"/>
                <w:szCs w:val="5"/>
                <w:color w:val="auto"/>
              </w:rPr>
            </w:pPr>
          </w:p>
        </w:tc>
      </w:tr>
      <w:tr>
        <w:trPr>
          <w:trHeight w:val="231"/>
        </w:trPr>
        <w:tc>
          <w:tcPr>
            <w:tcW w:w="7880" w:type="dxa"/>
            <w:vAlign w:val="bottom"/>
            <w:tcBorders>
              <w:bottom w:val="single" w:sz="8" w:color="CCEEFF"/>
            </w:tcBorders>
            <w:gridSpan w:val="2"/>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Derivatives designated as hedges — Liabilities:</w:t>
            </w:r>
          </w:p>
        </w:tc>
        <w:tc>
          <w:tcPr>
            <w:tcW w:w="24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70"/>
        </w:trPr>
        <w:tc>
          <w:tcPr>
            <w:tcW w:w="78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Interest rate swap — Accrued expenses and other current liabilities </w:t>
            </w:r>
            <w:r>
              <w:rPr>
                <w:rFonts w:ascii="Arial" w:cs="Arial" w:eastAsia="Arial" w:hAnsi="Arial"/>
                <w:sz w:val="25"/>
                <w:szCs w:val="25"/>
                <w:color w:val="auto"/>
                <w:vertAlign w:val="superscript"/>
              </w:rPr>
              <w:t>(2)</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3"/>
                <w:szCs w:val="23"/>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r>
      <w:tr>
        <w:trPr>
          <w:trHeight w:val="20"/>
        </w:trPr>
        <w:tc>
          <w:tcPr>
            <w:tcW w:w="7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22"/>
          <w:szCs w:val="22"/>
          <w:color w:val="auto"/>
          <w:vertAlign w:val="superscript"/>
        </w:rPr>
      </w:pPr>
      <w:r>
        <w:rPr>
          <w:rFonts w:ascii="Arial" w:cs="Arial" w:eastAsia="Arial" w:hAnsi="Arial"/>
          <w:sz w:val="16"/>
          <w:szCs w:val="16"/>
          <w:color w:val="auto"/>
        </w:rPr>
        <w:t>The Company classifies derivative assets and liabilities as non-current based on the cash flows expected to be incurred within the following 12 months.</w:t>
      </w:r>
    </w:p>
    <w:p>
      <w:pPr>
        <w:spacing w:after="0" w:line="1" w:lineRule="exact"/>
        <w:rPr>
          <w:rFonts w:ascii="Arial" w:cs="Arial" w:eastAsia="Arial" w:hAnsi="Arial"/>
          <w:sz w:val="22"/>
          <w:szCs w:val="22"/>
          <w:color w:val="auto"/>
          <w:vertAlign w:val="superscript"/>
        </w:rPr>
      </w:pPr>
    </w:p>
    <w:p>
      <w:pPr>
        <w:ind w:left="340" w:hanging="332"/>
        <w:spacing w:after="0" w:line="208" w:lineRule="auto"/>
        <w:tabs>
          <w:tab w:leader="none" w:pos="34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At March 31, 2017 and December 31, 2016, the notional amounts related to the Company’s interest rate swaps were $400.0 million and $150.0 million, respectively. There is no expected reduction in this notional amount in the next twelve months.</w:t>
      </w:r>
    </w:p>
    <w:p>
      <w:pPr>
        <w:spacing w:after="0" w:line="6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presents the effect of derivative instruments designated as cash flow hedges on the accompanying condensed consolidated statement of operations during the three months ended March 31, 2017:</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03"/>
              <w:spacing w:after="0"/>
              <w:rPr>
                <w:sz w:val="20"/>
                <w:szCs w:val="20"/>
                <w:color w:val="auto"/>
              </w:rPr>
            </w:pPr>
            <w:r>
              <w:rPr>
                <w:rFonts w:ascii="Arial" w:cs="Arial" w:eastAsia="Arial" w:hAnsi="Arial"/>
                <w:sz w:val="14"/>
                <w:szCs w:val="14"/>
                <w:b w:val="1"/>
                <w:bCs w:val="1"/>
                <w:color w:val="auto"/>
                <w:w w:val="94"/>
              </w:rPr>
              <w:t>Amount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Amount of Loss</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5"/>
              </w:rPr>
              <w:t>Balance in AOCI</w:t>
            </w:r>
          </w:p>
        </w:tc>
        <w:tc>
          <w:tcPr>
            <w:tcW w:w="200" w:type="dxa"/>
            <w:vAlign w:val="bottom"/>
          </w:tcPr>
          <w:p>
            <w:pPr>
              <w:spacing w:after="0"/>
              <w:rPr>
                <w:sz w:val="12"/>
                <w:szCs w:val="12"/>
                <w:color w:val="auto"/>
              </w:rPr>
            </w:pPr>
          </w:p>
        </w:tc>
        <w:tc>
          <w:tcPr>
            <w:tcW w:w="14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Gain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Reclassified from</w:t>
            </w:r>
          </w:p>
        </w:tc>
        <w:tc>
          <w:tcPr>
            <w:tcW w:w="3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580" w:type="dxa"/>
            <w:vAlign w:val="bottom"/>
            <w:vMerge w:val="restart"/>
          </w:tcPr>
          <w:p>
            <w:pPr>
              <w:jc w:val="center"/>
              <w:ind w:left="44"/>
              <w:spacing w:after="0"/>
              <w:rPr>
                <w:sz w:val="20"/>
                <w:szCs w:val="20"/>
                <w:color w:val="auto"/>
              </w:rPr>
            </w:pPr>
            <w:r>
              <w:rPr>
                <w:rFonts w:ascii="Arial" w:cs="Arial" w:eastAsia="Arial" w:hAnsi="Arial"/>
                <w:sz w:val="14"/>
                <w:szCs w:val="14"/>
                <w:b w:val="1"/>
                <w:bCs w:val="1"/>
                <w:color w:val="auto"/>
                <w:w w:val="93"/>
              </w:rPr>
              <w:t>Location in</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tcPr>
          <w:p>
            <w:pPr>
              <w:jc w:val="center"/>
              <w:ind w:right="103"/>
              <w:spacing w:after="0" w:line="149" w:lineRule="exact"/>
              <w:rPr>
                <w:sz w:val="20"/>
                <w:szCs w:val="20"/>
                <w:color w:val="auto"/>
              </w:rPr>
            </w:pPr>
            <w:r>
              <w:rPr>
                <w:rFonts w:ascii="Arial" w:cs="Arial" w:eastAsia="Arial" w:hAnsi="Arial"/>
                <w:sz w:val="14"/>
                <w:szCs w:val="14"/>
                <w:b w:val="1"/>
                <w:bCs w:val="1"/>
                <w:color w:val="auto"/>
                <w:w w:val="90"/>
              </w:rPr>
              <w:t>Recognized in</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AOCI into</w:t>
            </w: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9"/>
              </w:rPr>
              <w:t>Balance in AOCI</w:t>
            </w:r>
          </w:p>
        </w:tc>
        <w:tc>
          <w:tcPr>
            <w:tcW w:w="15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200" w:type="dxa"/>
            <w:vAlign w:val="bottom"/>
          </w:tcPr>
          <w:p>
            <w:pPr>
              <w:spacing w:after="0"/>
              <w:rPr>
                <w:sz w:val="12"/>
                <w:szCs w:val="12"/>
                <w:color w:val="auto"/>
              </w:rPr>
            </w:pPr>
          </w:p>
        </w:tc>
        <w:tc>
          <w:tcPr>
            <w:tcW w:w="1400" w:type="dxa"/>
            <w:vAlign w:val="bottom"/>
          </w:tcPr>
          <w:p>
            <w:pPr>
              <w:jc w:val="center"/>
              <w:ind w:right="123"/>
              <w:spacing w:after="0" w:line="149" w:lineRule="exact"/>
              <w:rPr>
                <w:sz w:val="20"/>
                <w:szCs w:val="20"/>
                <w:color w:val="auto"/>
              </w:rPr>
            </w:pPr>
            <w:r>
              <w:rPr>
                <w:rFonts w:ascii="Arial" w:cs="Arial" w:eastAsia="Arial" w:hAnsi="Arial"/>
                <w:sz w:val="14"/>
                <w:szCs w:val="14"/>
                <w:b w:val="1"/>
                <w:bCs w:val="1"/>
                <w:color w:val="auto"/>
              </w:rPr>
              <w:t>AOCI-</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Earnings-Effective</w:t>
            </w:r>
          </w:p>
        </w:tc>
        <w:tc>
          <w:tcPr>
            <w:tcW w:w="1140" w:type="dxa"/>
            <w:vAlign w:val="bottom"/>
            <w:gridSpan w:val="2"/>
            <w:vMerge w:val="continue"/>
          </w:tcPr>
          <w:p>
            <w:pPr>
              <w:spacing w:after="0"/>
              <w:rPr>
                <w:sz w:val="12"/>
                <w:szCs w:val="12"/>
                <w:color w:val="auto"/>
              </w:rPr>
            </w:pPr>
          </w:p>
        </w:tc>
        <w:tc>
          <w:tcPr>
            <w:tcW w:w="1580" w:type="dxa"/>
            <w:vAlign w:val="bottom"/>
          </w:tcPr>
          <w:p>
            <w:pPr>
              <w:jc w:val="center"/>
              <w:ind w:left="24"/>
              <w:spacing w:after="0" w:line="149" w:lineRule="exact"/>
              <w:rPr>
                <w:sz w:val="20"/>
                <w:szCs w:val="20"/>
                <w:color w:val="auto"/>
              </w:rPr>
            </w:pPr>
            <w:r>
              <w:rPr>
                <w:rFonts w:ascii="Arial" w:cs="Arial" w:eastAsia="Arial" w:hAnsi="Arial"/>
                <w:sz w:val="14"/>
                <w:szCs w:val="14"/>
                <w:b w:val="1"/>
                <w:bCs w:val="1"/>
                <w:color w:val="auto"/>
                <w:w w:val="90"/>
              </w:rPr>
              <w:t>Statements of</w:t>
            </w:r>
          </w:p>
        </w:tc>
        <w:tc>
          <w:tcPr>
            <w:tcW w:w="0" w:type="dxa"/>
            <w:vAlign w:val="bottom"/>
          </w:tcPr>
          <w:p>
            <w:pPr>
              <w:spacing w:after="0"/>
              <w:rPr>
                <w:sz w:val="1"/>
                <w:szCs w:val="1"/>
                <w:color w:val="auto"/>
              </w:rPr>
            </w:pPr>
          </w:p>
        </w:tc>
      </w:tr>
      <w:tr>
        <w:trPr>
          <w:trHeight w:val="192"/>
        </w:trPr>
        <w:tc>
          <w:tcPr>
            <w:tcW w:w="36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8"/>
              </w:rPr>
              <w:t>Quarter</w:t>
            </w: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3"/>
              </w:rPr>
              <w:t>Effective Portion</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Portion</w:t>
            </w:r>
          </w:p>
        </w:tc>
        <w:tc>
          <w:tcPr>
            <w:tcW w:w="11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End of Quarter</w:t>
            </w:r>
          </w:p>
        </w:tc>
        <w:tc>
          <w:tcPr>
            <w:tcW w:w="1580" w:type="dxa"/>
            <w:vAlign w:val="bottom"/>
            <w:tcBorders>
              <w:bottom w:val="single" w:sz="8" w:color="auto"/>
            </w:tcBorders>
          </w:tcPr>
          <w:p>
            <w:pPr>
              <w:jc w:val="center"/>
              <w:ind w:left="24"/>
              <w:spacing w:after="0"/>
              <w:rPr>
                <w:sz w:val="20"/>
                <w:szCs w:val="20"/>
                <w:color w:val="auto"/>
              </w:rPr>
            </w:pPr>
            <w:r>
              <w:rPr>
                <w:rFonts w:ascii="Arial" w:cs="Arial" w:eastAsia="Arial" w:hAnsi="Arial"/>
                <w:sz w:val="14"/>
                <w:szCs w:val="14"/>
                <w:b w:val="1"/>
                <w:bCs w:val="1"/>
                <w:color w:val="auto"/>
                <w:w w:val="91"/>
              </w:rPr>
              <w:t>Operations</w:t>
            </w:r>
          </w:p>
        </w:tc>
        <w:tc>
          <w:tcPr>
            <w:tcW w:w="0" w:type="dxa"/>
            <w:vAlign w:val="bottom"/>
          </w:tcPr>
          <w:p>
            <w:pPr>
              <w:spacing w:after="0"/>
              <w:rPr>
                <w:sz w:val="1"/>
                <w:szCs w:val="1"/>
                <w:color w:val="auto"/>
              </w:rPr>
            </w:pPr>
          </w:p>
        </w:tc>
      </w:tr>
      <w:tr>
        <w:trPr>
          <w:trHeight w:val="196"/>
        </w:trPr>
        <w:tc>
          <w:tcPr>
            <w:tcW w:w="3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gridSpan w:val="4"/>
          </w:tcPr>
          <w:p>
            <w:pPr>
              <w:ind w:left="100"/>
              <w:spacing w:after="0"/>
              <w:rPr>
                <w:sz w:val="20"/>
                <w:szCs w:val="20"/>
                <w:color w:val="auto"/>
              </w:rPr>
            </w:pPr>
            <w:r>
              <w:rPr>
                <w:rFonts w:ascii="Arial" w:cs="Arial" w:eastAsia="Arial" w:hAnsi="Arial"/>
                <w:sz w:val="14"/>
                <w:szCs w:val="14"/>
                <w:b w:val="1"/>
                <w:bCs w:val="1"/>
                <w:color w:val="auto"/>
              </w:rPr>
              <w:t>(In thousands)</w:t>
            </w: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36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Three Months Ended March 31, 2017</w:t>
            </w:r>
          </w:p>
        </w:tc>
        <w:tc>
          <w:tcPr>
            <w:tcW w:w="22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Interest rate swap</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ind w:right="41"/>
              <w:spacing w:after="0"/>
              <w:rPr>
                <w:sz w:val="20"/>
                <w:szCs w:val="20"/>
                <w:color w:val="auto"/>
              </w:rPr>
            </w:pPr>
            <w:r>
              <w:rPr>
                <w:rFonts w:ascii="Arial" w:cs="Arial" w:eastAsia="Arial" w:hAnsi="Arial"/>
                <w:sz w:val="18"/>
                <w:szCs w:val="18"/>
                <w:color w:val="auto"/>
              </w:rPr>
              <w:t>1,871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43"/>
              <w:spacing w:after="0"/>
              <w:rPr>
                <w:sz w:val="20"/>
                <w:szCs w:val="20"/>
                <w:color w:val="auto"/>
              </w:rPr>
            </w:pPr>
            <w:r>
              <w:rPr>
                <w:rFonts w:ascii="Arial" w:cs="Arial" w:eastAsia="Arial" w:hAnsi="Arial"/>
                <w:sz w:val="18"/>
                <w:szCs w:val="18"/>
                <w:color w:val="auto"/>
              </w:rPr>
              <w:t>586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380" w:type="dxa"/>
            <w:vAlign w:val="bottom"/>
          </w:tcPr>
          <w:p>
            <w:pPr>
              <w:ind w:left="4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2,479</w:t>
            </w:r>
          </w:p>
        </w:tc>
        <w:tc>
          <w:tcPr>
            <w:tcW w:w="1580" w:type="dxa"/>
            <w:vAlign w:val="bottom"/>
          </w:tcPr>
          <w:p>
            <w:pPr>
              <w:ind w:left="14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3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1,871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8"/>
                <w:szCs w:val="18"/>
                <w:color w:val="auto"/>
              </w:rPr>
              <w:t>586</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2,479</w:t>
            </w:r>
          </w:p>
        </w:tc>
        <w:tc>
          <w:tcPr>
            <w:tcW w:w="15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outstanding derivative instruments during three months ended March 31, 2016.</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recognized no gains or losses resulting from ineffectiveness of cash flow hedges during the three months ended March 31, 2017 and 2016.</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1"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STOCK-BASED COMPENSATION</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2017, the Company had stock options, restricted stock awards, performance stock units, contract stock awards and restricted stock unit awards outstanding under two plans, the 2001 Equity Incentive Plan (the “2001 Plan”) and the 2003 Equity Incentive Plan (the “2003 Plan,” and collectively, the “Plans”).</w:t>
      </w:r>
    </w:p>
    <w:p>
      <w:pPr>
        <w:spacing w:after="0" w:line="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Stock options issued under the Plans become exercisable over specified periods, generally within four years from the date of grant for officers and employees, and within a year from date of grant for directors and generally expire eight years from the grant date for employees, and from eight to ten years for directors and certain executive officers. Restricted stock issued under the Plans vests over specified periods, generally three years after the date of grant. The vesting of performance stock issued under the Plans is subject to service and performance conditions.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March 31, 2017, there were approximately $6.1 million of total unrecognized compensation costs related to unvested stock options. These costs are expected to be recognized over a weighted-average period of approximately three years. There were 186,853 stock options granted during the three months ended March 31, 2017.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Awards of Restricted Stock, Performance Stock and Contract Stock</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Performance stock, restricted stock and contract stock awards generally have requisite service periods of three years. Performance stock units are subject to graded vesting conditions, and the Company expenses their fair value over the requisite service period. The Company expenses the fair value of restricted stock and contract stock awards on a straight-line basis over the vesting period or requisite service period, whichever is shorter. As of March 31, 2017, there were approximately $27.3 million of total unrecognized compensation costs related to these unvested awards. The Company expects to recognize these costs over a weighted-average period of approximately two years. The Company granted 263,154 restricted stock awards and 133,333 performance shares during the three months ended March 31, 2017.</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 formal policy related to the repurchase of shares for the purpose of satisfying stock-based compensation obligations.</w:t>
      </w:r>
    </w:p>
    <w:p>
      <w:pPr>
        <w:spacing w:after="0" w:line="17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also maintains an Employee Stock Purchase Plan (the “ESPP”), which provides eligible employees with the opportunity to acquire shares of common stock at periodic intervals by means of accumulated payroll deductions. The ESPP is a non-compensatory plan based on its terms.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TREASURY STOCK</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25, 2016, the Board of Directors terminated its October 2014 authorization for the repurchase of its outstanding common stock and authorized management to repurchase up to $150.0 million of its outstanding common stock through December 2018. Shares may be repurchased either in the open market or in privately negotiated transactions. As of March 31, 2017 there remained $150.0 million available for repurchase under this authorization.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part of the conversion of the 2016 Convertible Notes, the Company received 2.9 million shares of common stock from the exercise of call options with hedge participants. The shares of common stock received from exercise of the call options are held as treasury stock as of March 31, 2017 and December 31, 2016 at a weighted average of $41.78 per share for a total of $123.1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cash treasury stock repurchases during the three months ended March 31, 2017 and 2016.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summary of the Company’s effective tax rate:</w:t>
      </w:r>
    </w:p>
    <w:p>
      <w:pPr>
        <w:spacing w:after="0" w:line="163" w:lineRule="exact"/>
        <w:rPr>
          <w:sz w:val="20"/>
          <w:szCs w:val="20"/>
          <w:color w:val="auto"/>
        </w:rPr>
      </w:pPr>
    </w:p>
    <w:p>
      <w:pPr>
        <w:jc w:val="center"/>
        <w:ind w:left="866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23495</wp:posOffset>
            </wp:positionV>
            <wp:extent cx="1775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03" w:lineRule="exact"/>
        <w:rPr>
          <w:sz w:val="20"/>
          <w:szCs w:val="20"/>
          <w:color w:val="auto"/>
        </w:rPr>
      </w:pPr>
    </w:p>
    <w:p>
      <w:pPr>
        <w:ind w:left="9160"/>
        <w:spacing w:after="0"/>
        <w:tabs>
          <w:tab w:leader="none" w:pos="1060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5476240</wp:posOffset>
            </wp:positionH>
            <wp:positionV relativeFrom="paragraph">
              <wp:posOffset>23495</wp:posOffset>
            </wp:positionV>
            <wp:extent cx="1775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775460" cy="8890"/>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Reported tax rate</w:t>
            </w:r>
          </w:p>
        </w:tc>
        <w:tc>
          <w:tcPr>
            <w:tcW w:w="512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(34.8)%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21"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rates for the three months ended March 31, 2017 and 2016 were (34.8)% and 10.5%, respectively. For the three months ended March 31, 2017, the primary drivers of the lower tax rate are lower income before income taxes compared to the same period in 2016, and $0.9 million additional excess tax benefits from stock-based compensation. The tax rate for the three months ended March 31, 2016 included a benefit of $0.3 million related to the release of uncertain tax positions</w:t>
      </w:r>
      <w:r>
        <w:rPr>
          <w:rFonts w:ascii="Arial" w:cs="Arial" w:eastAsia="Arial" w:hAnsi="Arial"/>
          <w:sz w:val="18"/>
          <w:szCs w:val="18"/>
          <w:i w:val="1"/>
          <w:iCs w:val="1"/>
          <w:color w:val="auto"/>
        </w:rPr>
        <w: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11.1%, resulting largely from excess tax benefits from stock-based compensation, Federal research credit benefits and the jurisdictional mix of income before tax in U.S.-based operations relative to foreign operations. This estimate could be revised in the future as additional information is presented to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NET INCOME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income per share was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ind w:right="92"/>
              <w:spacing w:after="0"/>
              <w:rPr>
                <w:sz w:val="20"/>
                <w:szCs w:val="20"/>
                <w:color w:val="auto"/>
              </w:rPr>
            </w:pPr>
            <w:r>
              <w:rPr>
                <w:rFonts w:ascii="Arial" w:cs="Arial" w:eastAsia="Arial" w:hAnsi="Arial"/>
                <w:sz w:val="14"/>
                <w:szCs w:val="14"/>
                <w:b w:val="1"/>
                <w:bCs w:val="1"/>
                <w:color w:val="auto"/>
                <w:w w:val="94"/>
              </w:rPr>
              <w:t>Three Months Ended March 31,</w:t>
            </w:r>
          </w:p>
        </w:tc>
      </w:tr>
      <w:tr>
        <w:trPr>
          <w:trHeight w:val="264"/>
        </w:trPr>
        <w:tc>
          <w:tcPr>
            <w:tcW w:w="4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r>
      <w:tr>
        <w:trPr>
          <w:trHeight w:val="31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40" w:type="dxa"/>
            <w:vAlign w:val="bottom"/>
            <w:gridSpan w:val="4"/>
          </w:tcPr>
          <w:p>
            <w:pPr>
              <w:jc w:val="center"/>
              <w:ind w:right="92"/>
              <w:spacing w:after="0"/>
              <w:rPr>
                <w:sz w:val="20"/>
                <w:szCs w:val="20"/>
                <w:color w:val="auto"/>
              </w:rPr>
            </w:pPr>
            <w:r>
              <w:rPr>
                <w:rFonts w:ascii="Arial" w:cs="Arial" w:eastAsia="Arial" w:hAnsi="Arial"/>
                <w:sz w:val="14"/>
                <w:szCs w:val="14"/>
                <w:b w:val="1"/>
                <w:bCs w:val="1"/>
                <w:color w:val="auto"/>
                <w:w w:val="91"/>
              </w:rPr>
              <w:t>(In thousands, except per share</w:t>
            </w:r>
          </w:p>
        </w:tc>
      </w:tr>
      <w:tr>
        <w:trPr>
          <w:trHeight w:val="186"/>
        </w:trPr>
        <w:tc>
          <w:tcPr>
            <w:tcW w:w="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80" w:type="dxa"/>
            <w:vAlign w:val="bottom"/>
            <w:gridSpan w:val="3"/>
          </w:tcPr>
          <w:p>
            <w:pPr>
              <w:jc w:val="center"/>
              <w:ind w:left="595"/>
              <w:spacing w:after="0"/>
              <w:rPr>
                <w:sz w:val="20"/>
                <w:szCs w:val="20"/>
                <w:color w:val="auto"/>
              </w:rPr>
            </w:pPr>
            <w:r>
              <w:rPr>
                <w:rFonts w:ascii="Arial" w:cs="Arial" w:eastAsia="Arial" w:hAnsi="Arial"/>
                <w:sz w:val="14"/>
                <w:szCs w:val="14"/>
                <w:b w:val="1"/>
                <w:bCs w:val="1"/>
                <w:color w:val="auto"/>
                <w:w w:val="88"/>
              </w:rPr>
              <w:t>amounts)</w:t>
            </w:r>
          </w:p>
        </w:tc>
        <w:tc>
          <w:tcPr>
            <w:tcW w:w="860" w:type="dxa"/>
            <w:vAlign w:val="bottom"/>
          </w:tcPr>
          <w:p>
            <w:pPr>
              <w:spacing w:after="0"/>
              <w:rPr>
                <w:sz w:val="16"/>
                <w:szCs w:val="16"/>
                <w:color w:val="auto"/>
              </w:rPr>
            </w:pPr>
          </w:p>
        </w:tc>
      </w:tr>
      <w:tr>
        <w:trPr>
          <w:trHeight w:val="215"/>
        </w:trPr>
        <w:tc>
          <w:tcPr>
            <w:tcW w:w="8560" w:type="dxa"/>
            <w:vAlign w:val="bottom"/>
            <w:gridSpan w:val="4"/>
          </w:tcPr>
          <w:p>
            <w:pPr>
              <w:ind w:left="40"/>
              <w:spacing w:after="0"/>
              <w:rPr>
                <w:sz w:val="20"/>
                <w:szCs w:val="20"/>
                <w:color w:val="auto"/>
              </w:rPr>
            </w:pPr>
            <w:r>
              <w:rPr>
                <w:rFonts w:ascii="Arial" w:cs="Arial" w:eastAsia="Arial" w:hAnsi="Arial"/>
                <w:sz w:val="18"/>
                <w:szCs w:val="18"/>
                <w:b w:val="1"/>
                <w:bCs w:val="1"/>
                <w:color w:val="auto"/>
              </w:rPr>
              <w:t>Basic net income per share:</w:t>
            </w: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8"/>
        </w:trPr>
        <w:tc>
          <w:tcPr>
            <w:tcW w:w="40" w:type="dxa"/>
            <w:vAlign w:val="bottom"/>
          </w:tcPr>
          <w:p>
            <w:pPr>
              <w:spacing w:after="0"/>
              <w:rPr>
                <w:sz w:val="4"/>
                <w:szCs w:val="4"/>
                <w:color w:val="auto"/>
              </w:rPr>
            </w:pPr>
          </w:p>
        </w:tc>
        <w:tc>
          <w:tcPr>
            <w:tcW w:w="212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6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860" w:type="dxa"/>
            <w:vAlign w:val="bottom"/>
          </w:tcPr>
          <w:p>
            <w:pPr>
              <w:spacing w:after="0"/>
              <w:rPr>
                <w:sz w:val="4"/>
                <w:szCs w:val="4"/>
                <w:color w:val="auto"/>
              </w:rPr>
            </w:pPr>
          </w:p>
        </w:tc>
      </w:tr>
      <w:tr>
        <w:trPr>
          <w:trHeight w:val="250"/>
        </w:trPr>
        <w:tc>
          <w:tcPr>
            <w:tcW w:w="8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13,419</w:t>
            </w:r>
          </w:p>
        </w:tc>
      </w:tr>
      <w:tr>
        <w:trPr>
          <w:trHeight w:val="24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2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74,765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73,934</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Basic net income per common share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r>
      <w:tr>
        <w:trPr>
          <w:trHeight w:val="338"/>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3"/>
        </w:trPr>
        <w:tc>
          <w:tcPr>
            <w:tcW w:w="85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Diluted net income per share:</w:t>
            </w:r>
          </w:p>
        </w:tc>
        <w:tc>
          <w:tcPr>
            <w:tcW w:w="2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212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624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r>
      <w:tr>
        <w:trPr>
          <w:trHeight w:val="24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Net income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6,394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13,419</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0" w:type="dxa"/>
            <w:vAlign w:val="bottom"/>
            <w:shd w:val="clear" w:color="auto" w:fill="CCEEFF"/>
          </w:tcPr>
          <w:p>
            <w:pPr>
              <w:spacing w:after="0"/>
              <w:rPr>
                <w:sz w:val="21"/>
                <w:szCs w:val="21"/>
                <w:color w:val="auto"/>
              </w:rPr>
            </w:pPr>
          </w:p>
        </w:tc>
        <w:tc>
          <w:tcPr>
            <w:tcW w:w="2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r>
      <w:tr>
        <w:trPr>
          <w:trHeight w:val="243"/>
        </w:trPr>
        <w:tc>
          <w:tcPr>
            <w:tcW w:w="8560" w:type="dxa"/>
            <w:vAlign w:val="bottom"/>
            <w:gridSpan w:val="4"/>
          </w:tcPr>
          <w:p>
            <w:pPr>
              <w:ind w:left="40"/>
              <w:spacing w:after="0"/>
              <w:rPr>
                <w:sz w:val="20"/>
                <w:szCs w:val="20"/>
                <w:color w:val="auto"/>
              </w:rPr>
            </w:pPr>
            <w:r>
              <w:rPr>
                <w:rFonts w:ascii="Arial" w:cs="Arial" w:eastAsia="Arial" w:hAnsi="Arial"/>
                <w:sz w:val="18"/>
                <w:szCs w:val="18"/>
                <w:color w:val="auto"/>
              </w:rPr>
              <w:t>Weighted average common shares outstanding — Basic</w:t>
            </w:r>
          </w:p>
        </w:tc>
        <w:tc>
          <w:tcPr>
            <w:tcW w:w="2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74,765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73,934</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Effect of dilutive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r>
      <w:tr>
        <w:trPr>
          <w:trHeight w:val="243"/>
        </w:trPr>
        <w:tc>
          <w:tcPr>
            <w:tcW w:w="40" w:type="dxa"/>
            <w:vAlign w:val="bottom"/>
          </w:tcPr>
          <w:p>
            <w:pPr>
              <w:spacing w:after="0"/>
              <w:rPr>
                <w:sz w:val="21"/>
                <w:szCs w:val="21"/>
                <w:color w:val="auto"/>
              </w:rPr>
            </w:pPr>
          </w:p>
        </w:tc>
        <w:tc>
          <w:tcPr>
            <w:tcW w:w="8520" w:type="dxa"/>
            <w:vAlign w:val="bottom"/>
            <w:gridSpan w:val="3"/>
          </w:tcPr>
          <w:p>
            <w:pPr>
              <w:ind w:left="140"/>
              <w:spacing w:after="0"/>
              <w:rPr>
                <w:sz w:val="20"/>
                <w:szCs w:val="20"/>
                <w:color w:val="auto"/>
              </w:rPr>
            </w:pPr>
            <w:r>
              <w:rPr>
                <w:rFonts w:ascii="Arial" w:cs="Arial" w:eastAsia="Arial" w:hAnsi="Arial"/>
                <w:sz w:val="18"/>
                <w:szCs w:val="18"/>
                <w:color w:val="auto"/>
              </w:rPr>
              <w:t>2016 Convertible notes</w:t>
            </w:r>
          </w:p>
        </w:tc>
        <w:tc>
          <w:tcPr>
            <w:tcW w:w="20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1,306</w:t>
            </w:r>
          </w:p>
        </w:tc>
      </w:tr>
      <w:tr>
        <w:trPr>
          <w:trHeight w:val="27"/>
        </w:trPr>
        <w:tc>
          <w:tcPr>
            <w:tcW w:w="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5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Warrants</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2,139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43"/>
        </w:trPr>
        <w:tc>
          <w:tcPr>
            <w:tcW w:w="40" w:type="dxa"/>
            <w:vAlign w:val="bottom"/>
          </w:tcPr>
          <w:p>
            <w:pPr>
              <w:spacing w:after="0"/>
              <w:rPr>
                <w:sz w:val="21"/>
                <w:szCs w:val="21"/>
                <w:color w:val="auto"/>
              </w:rPr>
            </w:pPr>
          </w:p>
        </w:tc>
        <w:tc>
          <w:tcPr>
            <w:tcW w:w="8520" w:type="dxa"/>
            <w:vAlign w:val="bottom"/>
            <w:gridSpan w:val="3"/>
          </w:tcPr>
          <w:p>
            <w:pPr>
              <w:ind w:left="140"/>
              <w:spacing w:after="0"/>
              <w:rPr>
                <w:sz w:val="20"/>
                <w:szCs w:val="20"/>
                <w:color w:val="auto"/>
              </w:rPr>
            </w:pPr>
            <w:r>
              <w:rPr>
                <w:rFonts w:ascii="Arial" w:cs="Arial" w:eastAsia="Arial" w:hAnsi="Arial"/>
                <w:sz w:val="18"/>
                <w:szCs w:val="18"/>
                <w:color w:val="auto"/>
              </w:rPr>
              <w:t>Stock options and restricted stock</w:t>
            </w:r>
          </w:p>
        </w:tc>
        <w:tc>
          <w:tcPr>
            <w:tcW w:w="200" w:type="dxa"/>
            <w:vAlign w:val="bottom"/>
          </w:tcPr>
          <w:p>
            <w:pPr>
              <w:spacing w:after="0"/>
              <w:rPr>
                <w:sz w:val="21"/>
                <w:szCs w:val="21"/>
                <w:color w:val="auto"/>
              </w:rPr>
            </w:pP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1,490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1,226</w:t>
            </w:r>
          </w:p>
        </w:tc>
      </w:tr>
      <w:tr>
        <w:trPr>
          <w:trHeight w:val="27"/>
        </w:trPr>
        <w:tc>
          <w:tcPr>
            <w:tcW w:w="4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62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856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Weighted average common shares for diluted 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78,394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76,466</w:t>
            </w:r>
          </w:p>
        </w:tc>
      </w:tr>
      <w:tr>
        <w:trPr>
          <w:trHeight w:val="324"/>
        </w:trPr>
        <w:tc>
          <w:tcPr>
            <w:tcW w:w="4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43"/>
        </w:trPr>
        <w:tc>
          <w:tcPr>
            <w:tcW w:w="856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rPr>
              <w:t>Diluted net income per common share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0.08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0.18</w:t>
            </w:r>
          </w:p>
        </w:tc>
      </w:tr>
      <w:tr>
        <w:trPr>
          <w:trHeight w:val="27"/>
        </w:trPr>
        <w:tc>
          <w:tcPr>
            <w:tcW w:w="4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6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Shares of common stock of approximately 0.2 million and 0.6 million at March 31, 2017 and 2016, respectively, that are issuable through the exercise of dilutive securities were not included in the computation of diluted net income per share because their effect would have been antidilutive.</w:t>
      </w:r>
    </w:p>
    <w:p>
      <w:pPr>
        <w:spacing w:after="0" w:line="14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For the three months ended March 31, 2017 the potential excess conversion value on warrants was included in the Company's dilutive share calculation because the average stock price for the three months ended March 31, 2017 exceeded the conversion price. For the three months ended March 31, 2016, the potential excess conversion value on warrants was excluded in the Company's dilutive share calculation because the effect was anti-dilutive.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the three months ended March 31, 2016 the potential excess conversion value on the 2016 Notes were included in the Company's dilutive share calculation because the average stock price for the three months ended March 31, 2016 exceeded the conversion price.</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Restricted and performance units that entitle the holders to approximately 0.5 million shares of common stock are included in the basic and diluted weighted average shares outstanding calculation because no further consideration is due related to the issuance of the underlying common shares.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1"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4" w:lineRule="exact"/>
        <w:rPr>
          <w:sz w:val="20"/>
          <w:szCs w:val="20"/>
          <w:color w:val="auto"/>
        </w:rPr>
      </w:pPr>
    </w:p>
    <w:p>
      <w:pPr>
        <w:ind w:right="8560" w:firstLine="8"/>
        <w:spacing w:after="0" w:line="453" w:lineRule="auto"/>
        <w:tabs>
          <w:tab w:leader="none" w:pos="260"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COMPREHENSIVE INCOME </w:t>
      </w:r>
      <w:r>
        <w:rPr>
          <w:rFonts w:ascii="Arial" w:cs="Arial" w:eastAsia="Arial" w:hAnsi="Arial"/>
          <w:sz w:val="16"/>
          <w:szCs w:val="16"/>
          <w:color w:val="auto"/>
        </w:rPr>
        <w:t>Comprehensive income was as follows: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3"/>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190"/>
        </w:trPr>
        <w:tc>
          <w:tcPr>
            <w:tcW w:w="8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6"/>
                <w:szCs w:val="16"/>
                <w:color w:val="auto"/>
              </w:rPr>
            </w:pPr>
          </w:p>
        </w:tc>
      </w:tr>
      <w:tr>
        <w:trPr>
          <w:trHeight w:val="255"/>
        </w:trPr>
        <w:tc>
          <w:tcPr>
            <w:tcW w:w="880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6,394</w:t>
            </w:r>
          </w:p>
        </w:tc>
        <w:tc>
          <w:tcPr>
            <w:tcW w:w="100" w:type="dxa"/>
            <w:vAlign w:val="bottom"/>
          </w:tcPr>
          <w:p>
            <w:pPr>
              <w:spacing w:after="0"/>
              <w:rPr>
                <w:sz w:val="22"/>
                <w:szCs w:val="22"/>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13,419</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4,064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11,244</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Change in unrealized gain on derivatives, net of tax</w:t>
            </w:r>
          </w:p>
        </w:tc>
        <w:tc>
          <w:tcPr>
            <w:tcW w:w="220" w:type="dxa"/>
            <w:vAlign w:val="bottom"/>
          </w:tcPr>
          <w:p>
            <w:pPr>
              <w:spacing w:after="0"/>
              <w:rPr>
                <w:sz w:val="21"/>
                <w:szCs w:val="21"/>
                <w:color w:val="auto"/>
              </w:rPr>
            </w:pPr>
          </w:p>
        </w:tc>
        <w:tc>
          <w:tcPr>
            <w:tcW w:w="1040" w:type="dxa"/>
            <w:vAlign w:val="bottom"/>
          </w:tcPr>
          <w:p>
            <w:pPr>
              <w:jc w:val="right"/>
              <w:ind w:right="36"/>
              <w:spacing w:after="0"/>
              <w:rPr>
                <w:sz w:val="20"/>
                <w:szCs w:val="20"/>
                <w:color w:val="auto"/>
              </w:rPr>
            </w:pPr>
            <w:r>
              <w:rPr>
                <w:rFonts w:ascii="Arial" w:cs="Arial" w:eastAsia="Arial" w:hAnsi="Arial"/>
                <w:sz w:val="18"/>
                <w:szCs w:val="18"/>
                <w:color w:val="auto"/>
              </w:rPr>
              <w:t>347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gain on short-term investments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Pension liability adjustment, net of tax</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88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12,095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24,656</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Changes in Accumulated Other Comprehensive Income by component between December 31, 2016 and March 31, 2017 are presented in the table below, net of tax:</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Gain on Cash Flow</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Defined Benefit</w:t>
            </w:r>
          </w:p>
        </w:tc>
        <w:tc>
          <w:tcPr>
            <w:tcW w:w="220" w:type="dxa"/>
            <w:vAlign w:val="bottom"/>
          </w:tcPr>
          <w:p>
            <w:pPr>
              <w:spacing w:after="0"/>
              <w:rPr>
                <w:sz w:val="14"/>
                <w:szCs w:val="14"/>
                <w:color w:val="auto"/>
              </w:rPr>
            </w:pPr>
          </w:p>
        </w:tc>
        <w:tc>
          <w:tcPr>
            <w:tcW w:w="10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Gain on Short-</w:t>
            </w:r>
          </w:p>
        </w:tc>
        <w:tc>
          <w:tcPr>
            <w:tcW w:w="260" w:type="dxa"/>
            <w:vAlign w:val="bottom"/>
          </w:tcPr>
          <w:p>
            <w:pPr>
              <w:spacing w:after="0"/>
              <w:rPr>
                <w:sz w:val="14"/>
                <w:szCs w:val="14"/>
                <w:color w:val="auto"/>
              </w:rPr>
            </w:pPr>
          </w:p>
        </w:tc>
        <w:tc>
          <w:tcPr>
            <w:tcW w:w="88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6"/>
              </w:rPr>
              <w:t>Hedges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0"/>
              </w:rPr>
              <w:t>Pension Items</w:t>
            </w:r>
          </w:p>
        </w:tc>
        <w:tc>
          <w:tcPr>
            <w:tcW w:w="12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6"/>
              </w:rPr>
              <w:t>Currency Items</w:t>
            </w: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4"/>
              </w:rPr>
              <w:t>term Investment</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9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3"/>
          </w:tcPr>
          <w:p>
            <w:pPr>
              <w:ind w:left="6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w:t>
            </w:r>
          </w:p>
        </w:tc>
        <w:tc>
          <w:tcPr>
            <w:tcW w:w="2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(57,154)</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Other comprehensive (loss) income</w:t>
            </w:r>
          </w:p>
        </w:tc>
        <w:tc>
          <w:tcPr>
            <w:tcW w:w="28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color w:val="auto"/>
              </w:rPr>
              <w:t>347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4,064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1,292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5,701</w:t>
            </w:r>
          </w:p>
        </w:tc>
        <w:tc>
          <w:tcPr>
            <w:tcW w:w="0" w:type="dxa"/>
            <w:vAlign w:val="bottom"/>
          </w:tcPr>
          <w:p>
            <w:pPr>
              <w:spacing w:after="0"/>
              <w:rPr>
                <w:sz w:val="1"/>
                <w:szCs w:val="1"/>
                <w:color w:val="auto"/>
              </w:rPr>
            </w:pPr>
          </w:p>
        </w:tc>
      </w:tr>
      <w:tr>
        <w:trPr>
          <w:trHeight w:val="27"/>
        </w:trPr>
        <w:tc>
          <w:tcPr>
            <w:tcW w:w="49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w:t>
            </w:r>
          </w:p>
        </w:tc>
        <w:tc>
          <w:tcPr>
            <w:tcW w:w="28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1,418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(54,125)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(51,453)</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SEGMENT AND GEOGRAPHIC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internally manages two global reportable segments and reports the results of its businesses to its chief operating decision maker. The two reportable segments and their activities are described below.</w:t>
      </w:r>
    </w:p>
    <w:p>
      <w:pPr>
        <w:spacing w:after="0" w:line="224" w:lineRule="exact"/>
        <w:rPr>
          <w:sz w:val="20"/>
          <w:szCs w:val="20"/>
          <w:color w:val="auto"/>
        </w:rPr>
      </w:pPr>
    </w:p>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Specialty Surgical Solutions segment includes (i) the Neurosurgery business, which sells a full line of products for neurosurgery and neuro critical care such as tissue ablation equipment, dural repair products, cerebral spinal fluid management devices, intracranial monitoring equipment, and cranial stabilization equipment and (ii) the Instruments business, which sells more than 60,000 instrument patterns and surgical and lighting products to hospitals, surgery centers, and dental, podiatry, and veterinary offices.</w:t>
      </w:r>
    </w:p>
    <w:p>
      <w:pPr>
        <w:spacing w:after="0" w:line="24"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Orthopedics and Tissue Technologies segment includes such offerings as skin and wound repair, bone and joint fixation implants in the upper and lower extremities, bone grafts and nerve and tendon repair.</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Corporate and other category includes (i) various legal, finance, information systems, executive, and human resource functions, (ii) brand management, and (iii) share-based compensation costs.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operating results of the various reportable segments as presented are not comparable to one another because (i) certain operating segments are more dependent than others on corporate functions for unallocated general and administrative and/or operational manufacturing functions, and (ii) the Company does not allocate certain manufacturing costs and general and administrative costs to the operating segment results. Net sales and profit by reportable segment for the three months ended March 31, 2017 and 2016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4"/>
                <w:szCs w:val="14"/>
                <w:b w:val="1"/>
                <w:bCs w:val="1"/>
                <w:color w:val="auto"/>
                <w:w w:val="99"/>
              </w:rPr>
              <w:t>Three Months Ended March 31,</w:t>
            </w:r>
          </w:p>
        </w:tc>
      </w:tr>
      <w:tr>
        <w:trPr>
          <w:trHeight w:val="264"/>
        </w:trPr>
        <w:tc>
          <w:tcPr>
            <w:tcW w:w="87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8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1"/>
                <w:szCs w:val="21"/>
                <w:color w:val="auto"/>
              </w:rPr>
            </w:pPr>
          </w:p>
        </w:tc>
      </w:tr>
      <w:tr>
        <w:trPr>
          <w:trHeight w:val="256"/>
        </w:trPr>
        <w:tc>
          <w:tcPr>
            <w:tcW w:w="8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20" w:type="dxa"/>
            <w:vAlign w:val="bottom"/>
            <w:tcBorders>
              <w:bottom w:val="single" w:sz="8" w:color="BFE4FF"/>
            </w:tcBorders>
            <w:shd w:val="clear" w:color="auto" w:fill="BFE4FF"/>
          </w:tcPr>
          <w:p>
            <w:pPr>
              <w:spacing w:after="0"/>
              <w:rPr>
                <w:sz w:val="22"/>
                <w:szCs w:val="22"/>
                <w:color w:val="auto"/>
              </w:rPr>
            </w:pPr>
          </w:p>
        </w:tc>
        <w:tc>
          <w:tcPr>
            <w:tcW w:w="1020" w:type="dxa"/>
            <w:vAlign w:val="bottom"/>
            <w:tcBorders>
              <w:bottom w:val="single" w:sz="8" w:color="BFE4FF"/>
            </w:tcBorders>
            <w:shd w:val="clear" w:color="auto" w:fill="BFE4FF"/>
          </w:tcPr>
          <w:p>
            <w:pPr>
              <w:spacing w:after="0"/>
              <w:rPr>
                <w:sz w:val="22"/>
                <w:szCs w:val="22"/>
                <w:color w:val="auto"/>
              </w:rPr>
            </w:pPr>
          </w:p>
        </w:tc>
        <w:tc>
          <w:tcPr>
            <w:tcW w:w="12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spacing w:after="0"/>
              <w:rPr>
                <w:sz w:val="22"/>
                <w:szCs w:val="22"/>
                <w:color w:val="auto"/>
              </w:rPr>
            </w:pPr>
          </w:p>
        </w:tc>
        <w:tc>
          <w:tcPr>
            <w:tcW w:w="800" w:type="dxa"/>
            <w:vAlign w:val="bottom"/>
            <w:tcBorders>
              <w:bottom w:val="single" w:sz="8" w:color="BFE4FF"/>
            </w:tcBorders>
            <w:shd w:val="clear" w:color="auto" w:fill="BFE4FF"/>
          </w:tcPr>
          <w:p>
            <w:pPr>
              <w:spacing w:after="0"/>
              <w:rPr>
                <w:sz w:val="22"/>
                <w:szCs w:val="22"/>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156,290</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151,175</w:t>
            </w:r>
          </w:p>
        </w:tc>
      </w:tr>
      <w:tr>
        <w:trPr>
          <w:trHeight w:val="27"/>
        </w:trPr>
        <w:tc>
          <w:tcPr>
            <w:tcW w:w="8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7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2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102,346</w:t>
            </w:r>
          </w:p>
        </w:tc>
        <w:tc>
          <w:tcPr>
            <w:tcW w:w="12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8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85,595</w:t>
            </w:r>
          </w:p>
        </w:tc>
      </w:tr>
      <w:tr>
        <w:trPr>
          <w:trHeight w:val="237"/>
        </w:trPr>
        <w:tc>
          <w:tcPr>
            <w:tcW w:w="870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258,636</w:t>
            </w:r>
          </w:p>
        </w:tc>
        <w:tc>
          <w:tcPr>
            <w:tcW w:w="12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236,770</w:t>
            </w:r>
          </w:p>
        </w:tc>
      </w:tr>
      <w:tr>
        <w:trPr>
          <w:trHeight w:val="67"/>
        </w:trPr>
        <w:tc>
          <w:tcPr>
            <w:tcW w:w="8700" w:type="dxa"/>
            <w:vAlign w:val="bottom"/>
            <w:tcBorders>
              <w:bottom w:val="single" w:sz="8" w:color="BFE4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120" w:type="dxa"/>
            <w:vAlign w:val="bottom"/>
            <w:tcBorders>
              <w:bottom w:val="single" w:sz="8" w:color="BFE4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r>
      <w:tr>
        <w:trPr>
          <w:trHeight w:val="231"/>
        </w:trPr>
        <w:tc>
          <w:tcPr>
            <w:tcW w:w="8700" w:type="dxa"/>
            <w:vAlign w:val="bottom"/>
            <w:tcBorders>
              <w:bottom w:val="single" w:sz="8" w:color="BFE4FF"/>
            </w:tcBorders>
            <w:shd w:val="clear" w:color="auto" w:fill="BFE4FF"/>
          </w:tcPr>
          <w:p>
            <w:pPr>
              <w:ind w:left="40"/>
              <w:spacing w:after="0" w:line="196" w:lineRule="exact"/>
              <w:rPr>
                <w:sz w:val="20"/>
                <w:szCs w:val="20"/>
                <w:color w:val="auto"/>
              </w:rPr>
            </w:pPr>
            <w:r>
              <w:rPr>
                <w:rFonts w:ascii="Arial" w:cs="Arial" w:eastAsia="Arial" w:hAnsi="Arial"/>
                <w:sz w:val="18"/>
                <w:szCs w:val="18"/>
                <w:b w:val="1"/>
                <w:bCs w:val="1"/>
                <w:i w:val="1"/>
                <w:iCs w:val="1"/>
                <w:color w:val="auto"/>
              </w:rPr>
              <w:t>Segment Profit</w:t>
            </w:r>
          </w:p>
        </w:tc>
        <w:tc>
          <w:tcPr>
            <w:tcW w:w="220" w:type="dxa"/>
            <w:vAlign w:val="bottom"/>
            <w:tcBorders>
              <w:bottom w:val="single" w:sz="8" w:color="BFE4FF"/>
            </w:tcBorders>
            <w:shd w:val="clear" w:color="auto" w:fill="BFE4FF"/>
          </w:tcPr>
          <w:p>
            <w:pPr>
              <w:spacing w:after="0"/>
              <w:rPr>
                <w:sz w:val="20"/>
                <w:szCs w:val="20"/>
                <w:color w:val="auto"/>
              </w:rPr>
            </w:pPr>
          </w:p>
        </w:tc>
        <w:tc>
          <w:tcPr>
            <w:tcW w:w="1020" w:type="dxa"/>
            <w:vAlign w:val="bottom"/>
            <w:tcBorders>
              <w:bottom w:val="single" w:sz="8" w:color="BFE4FF"/>
            </w:tcBorders>
            <w:shd w:val="clear" w:color="auto" w:fill="BFE4FF"/>
          </w:tcPr>
          <w:p>
            <w:pPr>
              <w:spacing w:after="0"/>
              <w:rPr>
                <w:sz w:val="20"/>
                <w:szCs w:val="20"/>
                <w:color w:val="auto"/>
              </w:rPr>
            </w:pPr>
          </w:p>
        </w:tc>
        <w:tc>
          <w:tcPr>
            <w:tcW w:w="120" w:type="dxa"/>
            <w:vAlign w:val="bottom"/>
            <w:tcBorders>
              <w:bottom w:val="single" w:sz="8" w:color="BFE4FF"/>
            </w:tcBorders>
            <w:shd w:val="clear" w:color="auto" w:fill="BFE4FF"/>
          </w:tcPr>
          <w:p>
            <w:pPr>
              <w:spacing w:after="0"/>
              <w:rPr>
                <w:sz w:val="20"/>
                <w:szCs w:val="20"/>
                <w:color w:val="auto"/>
              </w:rPr>
            </w:pPr>
          </w:p>
        </w:tc>
        <w:tc>
          <w:tcPr>
            <w:tcW w:w="440" w:type="dxa"/>
            <w:vAlign w:val="bottom"/>
            <w:tcBorders>
              <w:bottom w:val="single" w:sz="8" w:color="BFE4FF"/>
            </w:tcBorders>
            <w:shd w:val="clear" w:color="auto" w:fill="BFE4FF"/>
          </w:tcPr>
          <w:p>
            <w:pPr>
              <w:spacing w:after="0"/>
              <w:rPr>
                <w:sz w:val="20"/>
                <w:szCs w:val="20"/>
                <w:color w:val="auto"/>
              </w:rPr>
            </w:pPr>
          </w:p>
        </w:tc>
        <w:tc>
          <w:tcPr>
            <w:tcW w:w="800" w:type="dxa"/>
            <w:vAlign w:val="bottom"/>
            <w:tcBorders>
              <w:bottom w:val="single" w:sz="8" w:color="BFE4FF"/>
            </w:tcBorders>
            <w:shd w:val="clear" w:color="auto" w:fill="BFE4FF"/>
          </w:tcPr>
          <w:p>
            <w:pPr>
              <w:spacing w:after="0"/>
              <w:rPr>
                <w:sz w:val="20"/>
                <w:szCs w:val="20"/>
                <w:color w:val="auto"/>
              </w:rPr>
            </w:pPr>
          </w:p>
        </w:tc>
      </w:tr>
      <w:tr>
        <w:trPr>
          <w:trHeight w:val="243"/>
        </w:trPr>
        <w:tc>
          <w:tcPr>
            <w:tcW w:w="8700" w:type="dxa"/>
            <w:vAlign w:val="bottom"/>
          </w:tcPr>
          <w:p>
            <w:pPr>
              <w:ind w:left="380"/>
              <w:spacing w:after="0"/>
              <w:rPr>
                <w:sz w:val="20"/>
                <w:szCs w:val="20"/>
                <w:color w:val="auto"/>
              </w:rPr>
            </w:pPr>
            <w:r>
              <w:rPr>
                <w:rFonts w:ascii="Arial" w:cs="Arial" w:eastAsia="Arial" w:hAnsi="Arial"/>
                <w:sz w:val="18"/>
                <w:szCs w:val="18"/>
                <w:color w:val="auto"/>
              </w:rPr>
              <w:t>Specialty Surgical Solutions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62,703</w:t>
            </w:r>
          </w:p>
        </w:tc>
        <w:tc>
          <w:tcPr>
            <w:tcW w:w="12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57,581</w:t>
            </w:r>
          </w:p>
        </w:tc>
      </w:tr>
      <w:tr>
        <w:trPr>
          <w:trHeight w:val="27"/>
        </w:trPr>
        <w:tc>
          <w:tcPr>
            <w:tcW w:w="8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8700" w:type="dxa"/>
            <w:vAlign w:val="bottom"/>
            <w:tcBorders>
              <w:bottom w:val="single" w:sz="8" w:color="BFE4FF"/>
            </w:tcBorders>
            <w:shd w:val="clear" w:color="auto" w:fill="BFE4FF"/>
          </w:tcPr>
          <w:p>
            <w:pPr>
              <w:ind w:left="380"/>
              <w:spacing w:after="0"/>
              <w:rPr>
                <w:sz w:val="20"/>
                <w:szCs w:val="20"/>
                <w:color w:val="auto"/>
              </w:rPr>
            </w:pPr>
            <w:r>
              <w:rPr>
                <w:rFonts w:ascii="Arial" w:cs="Arial" w:eastAsia="Arial" w:hAnsi="Arial"/>
                <w:sz w:val="18"/>
                <w:szCs w:val="18"/>
                <w:color w:val="auto"/>
              </w:rPr>
              <w:t>Orthopedics and Tissue Technologies</w:t>
            </w:r>
          </w:p>
        </w:tc>
        <w:tc>
          <w:tcPr>
            <w:tcW w:w="220" w:type="dxa"/>
            <w:vAlign w:val="bottom"/>
            <w:tcBorders>
              <w:bottom w:val="single" w:sz="8" w:color="BFE4FF"/>
            </w:tcBorders>
            <w:shd w:val="clear" w:color="auto" w:fill="BFE4FF"/>
          </w:tcPr>
          <w:p>
            <w:pPr>
              <w:spacing w:after="0"/>
              <w:rPr>
                <w:sz w:val="23"/>
                <w:szCs w:val="23"/>
                <w:color w:val="auto"/>
              </w:rPr>
            </w:pPr>
          </w:p>
        </w:tc>
        <w:tc>
          <w:tcPr>
            <w:tcW w:w="10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27,079</w:t>
            </w:r>
          </w:p>
        </w:tc>
        <w:tc>
          <w:tcPr>
            <w:tcW w:w="120" w:type="dxa"/>
            <w:vAlign w:val="bottom"/>
            <w:tcBorders>
              <w:bottom w:val="single" w:sz="8" w:color="BFE4FF"/>
            </w:tcBorders>
            <w:shd w:val="clear" w:color="auto" w:fill="BFE4FF"/>
          </w:tcPr>
          <w:p>
            <w:pPr>
              <w:spacing w:after="0"/>
              <w:rPr>
                <w:sz w:val="23"/>
                <w:szCs w:val="23"/>
                <w:color w:val="auto"/>
              </w:rPr>
            </w:pPr>
          </w:p>
        </w:tc>
        <w:tc>
          <w:tcPr>
            <w:tcW w:w="440" w:type="dxa"/>
            <w:vAlign w:val="bottom"/>
            <w:tcBorders>
              <w:bottom w:val="single" w:sz="8" w:color="BFE4FF"/>
            </w:tcBorders>
            <w:shd w:val="clear" w:color="auto" w:fill="BFE4FF"/>
          </w:tcPr>
          <w:p>
            <w:pPr>
              <w:spacing w:after="0"/>
              <w:rPr>
                <w:sz w:val="23"/>
                <w:szCs w:val="23"/>
                <w:color w:val="auto"/>
              </w:rPr>
            </w:pPr>
          </w:p>
        </w:tc>
        <w:tc>
          <w:tcPr>
            <w:tcW w:w="8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20,275</w:t>
            </w:r>
          </w:p>
        </w:tc>
      </w:tr>
      <w:tr>
        <w:trPr>
          <w:trHeight w:val="237"/>
        </w:trPr>
        <w:tc>
          <w:tcPr>
            <w:tcW w:w="8700" w:type="dxa"/>
            <w:vAlign w:val="bottom"/>
          </w:tcPr>
          <w:p>
            <w:pPr>
              <w:ind w:left="380"/>
              <w:spacing w:after="0"/>
              <w:rPr>
                <w:sz w:val="20"/>
                <w:szCs w:val="20"/>
                <w:color w:val="auto"/>
              </w:rPr>
            </w:pPr>
            <w:r>
              <w:rPr>
                <w:rFonts w:ascii="Arial" w:cs="Arial" w:eastAsia="Arial" w:hAnsi="Arial"/>
                <w:sz w:val="18"/>
                <w:szCs w:val="18"/>
                <w:color w:val="auto"/>
              </w:rPr>
              <w:t>Segment profit</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89,782</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77,856</w:t>
            </w:r>
          </w:p>
        </w:tc>
      </w:tr>
      <w:tr>
        <w:trPr>
          <w:trHeight w:val="27"/>
        </w:trPr>
        <w:tc>
          <w:tcPr>
            <w:tcW w:w="87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8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BFE4FF"/>
            </w:tcBorders>
            <w:shd w:val="clear" w:color="auto" w:fill="BFE4FF"/>
          </w:tcPr>
          <w:p>
            <w:pPr>
              <w:spacing w:after="0"/>
              <w:rPr>
                <w:sz w:val="21"/>
                <w:szCs w:val="21"/>
                <w:color w:val="auto"/>
              </w:rPr>
            </w:pPr>
          </w:p>
        </w:tc>
        <w:tc>
          <w:tcPr>
            <w:tcW w:w="10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(4,101)</w:t>
            </w:r>
          </w:p>
        </w:tc>
        <w:tc>
          <w:tcPr>
            <w:tcW w:w="120" w:type="dxa"/>
            <w:vAlign w:val="bottom"/>
            <w:tcBorders>
              <w:bottom w:val="single" w:sz="8" w:color="BFE4FF"/>
            </w:tcBorders>
            <w:shd w:val="clear" w:color="auto" w:fill="BFE4FF"/>
          </w:tcPr>
          <w:p>
            <w:pPr>
              <w:spacing w:after="0"/>
              <w:rPr>
                <w:sz w:val="21"/>
                <w:szCs w:val="21"/>
                <w:color w:val="auto"/>
              </w:rPr>
            </w:pPr>
          </w:p>
        </w:tc>
        <w:tc>
          <w:tcPr>
            <w:tcW w:w="440" w:type="dxa"/>
            <w:vAlign w:val="bottom"/>
            <w:tcBorders>
              <w:bottom w:val="single" w:sz="8" w:color="BFE4FF"/>
            </w:tcBorders>
            <w:shd w:val="clear" w:color="auto" w:fill="BFE4FF"/>
          </w:tcPr>
          <w:p>
            <w:pPr>
              <w:spacing w:after="0"/>
              <w:rPr>
                <w:sz w:val="21"/>
                <w:szCs w:val="21"/>
                <w:color w:val="auto"/>
              </w:rPr>
            </w:pPr>
          </w:p>
        </w:tc>
        <w:tc>
          <w:tcPr>
            <w:tcW w:w="8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(3,471)</w:t>
            </w: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(75,722)</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(52,285)</w:t>
            </w:r>
          </w:p>
        </w:tc>
      </w:tr>
      <w:tr>
        <w:trPr>
          <w:trHeight w:val="27"/>
        </w:trPr>
        <w:tc>
          <w:tcPr>
            <w:tcW w:w="8700" w:type="dxa"/>
            <w:vAlign w:val="bottom"/>
            <w:tcBorders>
              <w:bottom w:val="single" w:sz="8" w:color="BFE4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870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Operating income</w:t>
            </w:r>
          </w:p>
        </w:tc>
        <w:tc>
          <w:tcPr>
            <w:tcW w:w="220" w:type="dxa"/>
            <w:vAlign w:val="bottom"/>
            <w:tcBorders>
              <w:bottom w:val="single" w:sz="8" w:color="BFE4FF"/>
            </w:tcBorders>
            <w:shd w:val="clear" w:color="auto" w:fill="BFE4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BFE4FF"/>
            </w:tcBorders>
            <w:shd w:val="clear" w:color="auto" w:fill="BFE4FF"/>
          </w:tcPr>
          <w:p>
            <w:pPr>
              <w:jc w:val="right"/>
              <w:ind w:right="14"/>
              <w:spacing w:after="0"/>
              <w:rPr>
                <w:sz w:val="20"/>
                <w:szCs w:val="20"/>
                <w:color w:val="auto"/>
              </w:rPr>
            </w:pPr>
            <w:r>
              <w:rPr>
                <w:rFonts w:ascii="Arial" w:cs="Arial" w:eastAsia="Arial" w:hAnsi="Arial"/>
                <w:sz w:val="18"/>
                <w:szCs w:val="18"/>
                <w:color w:val="auto"/>
              </w:rPr>
              <w:t>9,959</w:t>
            </w:r>
          </w:p>
        </w:tc>
        <w:tc>
          <w:tcPr>
            <w:tcW w:w="120" w:type="dxa"/>
            <w:vAlign w:val="bottom"/>
            <w:tcBorders>
              <w:bottom w:val="single" w:sz="8" w:color="BFE4FF"/>
            </w:tcBorders>
            <w:shd w:val="clear" w:color="auto" w:fill="BFE4FF"/>
          </w:tcPr>
          <w:p>
            <w:pPr>
              <w:spacing w:after="0"/>
              <w:rPr>
                <w:sz w:val="22"/>
                <w:szCs w:val="22"/>
                <w:color w:val="auto"/>
              </w:rPr>
            </w:pPr>
          </w:p>
        </w:tc>
        <w:tc>
          <w:tcPr>
            <w:tcW w:w="440" w:type="dxa"/>
            <w:vAlign w:val="bottom"/>
            <w:tcBorders>
              <w:bottom w:val="single" w:sz="8" w:color="BFE4FF"/>
            </w:tcBorders>
            <w:shd w:val="clear" w:color="auto" w:fill="BFE4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BFE4FF"/>
            </w:tcBorders>
            <w:shd w:val="clear" w:color="auto" w:fill="BFE4FF"/>
          </w:tcPr>
          <w:p>
            <w:pPr>
              <w:jc w:val="right"/>
              <w:ind w:right="12"/>
              <w:spacing w:after="0"/>
              <w:rPr>
                <w:sz w:val="20"/>
                <w:szCs w:val="20"/>
                <w:color w:val="auto"/>
              </w:rPr>
            </w:pPr>
            <w:r>
              <w:rPr>
                <w:rFonts w:ascii="Arial" w:cs="Arial" w:eastAsia="Arial" w:hAnsi="Arial"/>
                <w:sz w:val="18"/>
                <w:szCs w:val="18"/>
                <w:color w:val="auto"/>
              </w:rPr>
              <w:t>22,100</w:t>
            </w:r>
          </w:p>
        </w:tc>
      </w:tr>
      <w:tr>
        <w:trPr>
          <w:trHeight w:val="20"/>
        </w:trPr>
        <w:tc>
          <w:tcPr>
            <w:tcW w:w="8700" w:type="dxa"/>
            <w:vAlign w:val="bottom"/>
            <w:tcBorders>
              <w:top w:val="single" w:sz="8" w:color="BFE4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BFE4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attributes revenues to geographic areas based on the location of the customer. Total revenue by major geographic area consisted of the following: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194"/>
              <w:spacing w:after="0"/>
              <w:rPr>
                <w:sz w:val="20"/>
                <w:szCs w:val="20"/>
                <w:color w:val="auto"/>
              </w:rPr>
            </w:pPr>
            <w:r>
              <w:rPr>
                <w:rFonts w:ascii="Arial" w:cs="Arial" w:eastAsia="Arial" w:hAnsi="Arial"/>
                <w:sz w:val="14"/>
                <w:szCs w:val="14"/>
                <w:b w:val="1"/>
                <w:bCs w:val="1"/>
                <w:color w:val="auto"/>
                <w:w w:val="98"/>
              </w:rPr>
              <w:t>Three Months Ended March 31,</w:t>
            </w:r>
          </w:p>
        </w:tc>
      </w:tr>
      <w:tr>
        <w:trPr>
          <w:trHeight w:val="264"/>
        </w:trPr>
        <w:tc>
          <w:tcPr>
            <w:tcW w:w="85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w w:val="96"/>
              </w:rPr>
              <w:t>2016</w:t>
            </w:r>
          </w:p>
        </w:tc>
      </w:tr>
      <w:tr>
        <w:trPr>
          <w:trHeight w:val="196"/>
        </w:trPr>
        <w:tc>
          <w:tcPr>
            <w:tcW w:w="8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7"/>
                <w:szCs w:val="17"/>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201,096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181,232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020" w:type="dxa"/>
            <w:vAlign w:val="bottom"/>
          </w:tcPr>
          <w:p>
            <w:pPr>
              <w:jc w:val="right"/>
              <w:ind w:right="38"/>
              <w:spacing w:after="0"/>
              <w:rPr>
                <w:sz w:val="20"/>
                <w:szCs w:val="20"/>
                <w:color w:val="auto"/>
              </w:rPr>
            </w:pPr>
            <w:r>
              <w:rPr>
                <w:rFonts w:ascii="Arial" w:cs="Arial" w:eastAsia="Arial" w:hAnsi="Arial"/>
                <w:sz w:val="18"/>
                <w:szCs w:val="18"/>
                <w:color w:val="auto"/>
              </w:rPr>
              <w:t>28,816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29,442</w:t>
            </w: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28,724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26,096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258,636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236,770</w:t>
            </w: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COMMITMENTS AND CONTINGENCIES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consideration for certain technology, manufacturing, distribution, and selling rights and licenses granted to the Company, the Company has agreed to pay royalties on sales of certain products that it sells. The royalty payments that the Company made under these agreements were not significant for any of the periods presented.</w:t>
      </w:r>
    </w:p>
    <w:p>
      <w:pPr>
        <w:spacing w:after="0" w:line="4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11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3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manufactures for BSC) not covered by insurance. As of April 26, 2017, no indemnification payments were received nor owed in relation to the lawsuits for the initial indemnification time period, which covers the first fifteen months after closing.</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Contingent Consideration</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increased the fair value of contingent consideration during the three-month period ended March 31, 2017 to reflect the change in estimate and the time value of money during the period. A reconciliation of the opening balances to the closing balances of these Level 3 measurements is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Contingent Considerations</w:t>
            </w:r>
          </w:p>
        </w:tc>
        <w:tc>
          <w:tcPr>
            <w:tcW w:w="120" w:type="dxa"/>
            <w:vAlign w:val="bottom"/>
          </w:tcPr>
          <w:p>
            <w:pPr>
              <w:spacing w:after="0"/>
              <w:rPr>
                <w:sz w:val="14"/>
                <w:szCs w:val="14"/>
                <w:color w:val="auto"/>
              </w:rPr>
            </w:pPr>
          </w:p>
        </w:tc>
        <w:tc>
          <w:tcPr>
            <w:tcW w:w="2260" w:type="dxa"/>
            <w:vAlign w:val="bottom"/>
            <w:gridSpan w:val="4"/>
          </w:tcPr>
          <w:p>
            <w:pPr>
              <w:jc w:val="center"/>
              <w:ind w:right="13"/>
              <w:spacing w:after="0"/>
              <w:rPr>
                <w:sz w:val="20"/>
                <w:szCs w:val="20"/>
                <w:color w:val="auto"/>
              </w:rPr>
            </w:pPr>
            <w:r>
              <w:rPr>
                <w:rFonts w:ascii="Arial" w:cs="Arial" w:eastAsia="Arial" w:hAnsi="Arial"/>
                <w:sz w:val="14"/>
                <w:szCs w:val="14"/>
                <w:b w:val="1"/>
                <w:bCs w:val="1"/>
                <w:color w:val="auto"/>
                <w:w w:val="94"/>
              </w:rPr>
              <w:t>Contingent Consideration Liability</w:t>
            </w:r>
          </w:p>
        </w:tc>
        <w:tc>
          <w:tcPr>
            <w:tcW w:w="100" w:type="dxa"/>
            <w:vAlign w:val="bottom"/>
          </w:tcPr>
          <w:p>
            <w:pPr>
              <w:spacing w:after="0"/>
              <w:rPr>
                <w:sz w:val="14"/>
                <w:szCs w:val="14"/>
                <w:color w:val="auto"/>
              </w:rPr>
            </w:pPr>
          </w:p>
        </w:tc>
        <w:tc>
          <w:tcPr>
            <w:tcW w:w="2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w:t>
            </w:r>
          </w:p>
        </w:tc>
        <w:tc>
          <w:tcPr>
            <w:tcW w:w="0" w:type="dxa"/>
            <w:vAlign w:val="bottom"/>
          </w:tcPr>
          <w:p>
            <w:pPr>
              <w:spacing w:after="0"/>
              <w:rPr>
                <w:sz w:val="1"/>
                <w:szCs w:val="1"/>
                <w:color w:val="auto"/>
              </w:rPr>
            </w:pPr>
          </w:p>
        </w:tc>
      </w:tr>
      <w:tr>
        <w:trPr>
          <w:trHeight w:val="149"/>
        </w:trPr>
        <w:tc>
          <w:tcPr>
            <w:tcW w:w="4580" w:type="dxa"/>
            <w:vAlign w:val="bottom"/>
          </w:tcPr>
          <w:p>
            <w:pPr>
              <w:spacing w:after="0"/>
              <w:rPr>
                <w:sz w:val="12"/>
                <w:szCs w:val="12"/>
                <w:color w:val="auto"/>
              </w:rPr>
            </w:pPr>
          </w:p>
        </w:tc>
        <w:tc>
          <w:tcPr>
            <w:tcW w:w="2300" w:type="dxa"/>
            <w:vAlign w:val="bottom"/>
            <w:gridSpan w:val="6"/>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Liabilities Related to Acquisition</w:t>
            </w:r>
          </w:p>
        </w:tc>
        <w:tc>
          <w:tcPr>
            <w:tcW w:w="2380" w:type="dxa"/>
            <w:vAlign w:val="bottom"/>
            <w:gridSpan w:val="5"/>
          </w:tcPr>
          <w:p>
            <w:pPr>
              <w:jc w:val="center"/>
              <w:spacing w:after="0" w:line="149" w:lineRule="exact"/>
              <w:rPr>
                <w:sz w:val="20"/>
                <w:szCs w:val="20"/>
                <w:color w:val="auto"/>
              </w:rPr>
            </w:pPr>
            <w:r>
              <w:rPr>
                <w:rFonts w:ascii="Arial" w:cs="Arial" w:eastAsia="Arial" w:hAnsi="Arial"/>
                <w:sz w:val="14"/>
                <w:szCs w:val="14"/>
                <w:b w:val="1"/>
                <w:bCs w:val="1"/>
                <w:color w:val="auto"/>
                <w:w w:val="93"/>
              </w:rPr>
              <w:t>Related to Acquisition of Confluent</w:t>
            </w:r>
          </w:p>
        </w:tc>
        <w:tc>
          <w:tcPr>
            <w:tcW w:w="100" w:type="dxa"/>
            <w:vAlign w:val="bottom"/>
          </w:tcPr>
          <w:p>
            <w:pPr>
              <w:spacing w:after="0"/>
              <w:rPr>
                <w:sz w:val="12"/>
                <w:szCs w:val="12"/>
                <w:color w:val="auto"/>
              </w:rPr>
            </w:pPr>
          </w:p>
        </w:tc>
        <w:tc>
          <w:tcPr>
            <w:tcW w:w="2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5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center"/>
              <w:ind w:right="33"/>
              <w:spacing w:after="0"/>
              <w:rPr>
                <w:sz w:val="20"/>
                <w:szCs w:val="20"/>
                <w:color w:val="auto"/>
              </w:rPr>
            </w:pPr>
            <w:r>
              <w:rPr>
                <w:rFonts w:ascii="Arial" w:cs="Arial" w:eastAsia="Arial" w:hAnsi="Arial"/>
                <w:sz w:val="14"/>
                <w:szCs w:val="14"/>
                <w:b w:val="1"/>
                <w:bCs w:val="1"/>
                <w:color w:val="auto"/>
                <w:w w:val="89"/>
              </w:rPr>
              <w:t>of Derma Sciences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4"/>
              </w:rPr>
              <w:t>Surgical, Inc.</w:t>
            </w:r>
          </w:p>
        </w:tc>
        <w:tc>
          <w:tcPr>
            <w:tcW w:w="100" w:type="dxa"/>
            <w:vAlign w:val="bottom"/>
            <w:tcBorders>
              <w:bottom w:val="single" w:sz="8" w:color="CCEEFF"/>
            </w:tcBorders>
          </w:tcPr>
          <w:p>
            <w:pPr>
              <w:spacing w:after="0"/>
              <w:rPr>
                <w:sz w:val="16"/>
                <w:szCs w:val="16"/>
                <w:color w:val="auto"/>
              </w:rPr>
            </w:pPr>
          </w:p>
        </w:tc>
        <w:tc>
          <w:tcPr>
            <w:tcW w:w="20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Statements</w:t>
            </w:r>
          </w:p>
        </w:tc>
        <w:tc>
          <w:tcPr>
            <w:tcW w:w="0" w:type="dxa"/>
            <w:vAlign w:val="bottom"/>
          </w:tcPr>
          <w:p>
            <w:pPr>
              <w:spacing w:after="0"/>
              <w:rPr>
                <w:sz w:val="1"/>
                <w:szCs w:val="1"/>
                <w:color w:val="auto"/>
              </w:rPr>
            </w:pPr>
          </w:p>
        </w:tc>
      </w:tr>
      <w:tr>
        <w:trPr>
          <w:trHeight w:val="264"/>
        </w:trPr>
        <w:tc>
          <w:tcPr>
            <w:tcW w:w="458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97"/>
              <w:spacing w:after="0"/>
              <w:rPr>
                <w:sz w:val="20"/>
                <w:szCs w:val="20"/>
                <w:color w:val="auto"/>
              </w:rPr>
            </w:pPr>
            <w:r>
              <w:rPr>
                <w:rFonts w:ascii="Arial" w:cs="Arial" w:eastAsia="Arial" w:hAnsi="Arial"/>
                <w:sz w:val="14"/>
                <w:szCs w:val="14"/>
                <w:b w:val="1"/>
                <w:bCs w:val="1"/>
                <w:color w:val="auto"/>
                <w:w w:val="97"/>
              </w:rPr>
              <w:t>Short-term</w:t>
            </w:r>
          </w:p>
        </w:tc>
        <w:tc>
          <w:tcPr>
            <w:tcW w:w="10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ind w:right="93"/>
              <w:spacing w:after="0"/>
              <w:rPr>
                <w:sz w:val="20"/>
                <w:szCs w:val="20"/>
                <w:color w:val="auto"/>
              </w:rPr>
            </w:pPr>
            <w:r>
              <w:rPr>
                <w:rFonts w:ascii="Arial" w:cs="Arial" w:eastAsia="Arial" w:hAnsi="Arial"/>
                <w:sz w:val="14"/>
                <w:szCs w:val="14"/>
                <w:b w:val="1"/>
                <w:bCs w:val="1"/>
                <w:color w:val="auto"/>
                <w:w w:val="98"/>
              </w:rPr>
              <w:t>Long-term</w:t>
            </w:r>
          </w:p>
        </w:tc>
        <w:tc>
          <w:tcPr>
            <w:tcW w:w="100" w:type="dxa"/>
            <w:vAlign w:val="bottom"/>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37"/>
              <w:spacing w:after="0"/>
              <w:rPr>
                <w:sz w:val="20"/>
                <w:szCs w:val="20"/>
                <w:color w:val="auto"/>
              </w:rPr>
            </w:pPr>
            <w:r>
              <w:rPr>
                <w:rFonts w:ascii="Arial" w:cs="Arial" w:eastAsia="Arial" w:hAnsi="Arial"/>
                <w:sz w:val="14"/>
                <w:szCs w:val="14"/>
                <w:b w:val="1"/>
                <w:bCs w:val="1"/>
                <w:color w:val="auto"/>
              </w:rPr>
              <w:t>Short-term</w:t>
            </w:r>
          </w:p>
        </w:tc>
        <w:tc>
          <w:tcPr>
            <w:tcW w:w="100" w:type="dxa"/>
            <w:vAlign w:val="bottom"/>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4"/>
                <w:szCs w:val="14"/>
                <w:b w:val="1"/>
                <w:bCs w:val="1"/>
                <w:color w:val="auto"/>
              </w:rPr>
              <w:t>Long-term</w:t>
            </w:r>
          </w:p>
        </w:tc>
        <w:tc>
          <w:tcPr>
            <w:tcW w:w="100" w:type="dxa"/>
            <w:vAlign w:val="bottom"/>
            <w:shd w:val="clear" w:color="auto" w:fill="CCEEFF"/>
          </w:tcPr>
          <w:p>
            <w:pPr>
              <w:spacing w:after="0"/>
              <w:rPr>
                <w:sz w:val="22"/>
                <w:szCs w:val="22"/>
                <w:color w:val="auto"/>
              </w:rPr>
            </w:pPr>
          </w:p>
        </w:tc>
        <w:tc>
          <w:tcPr>
            <w:tcW w:w="2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Balance as of January 1, 2017</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22,036</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Additions from acquisition of Derma Sciences</w:t>
            </w: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32,848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Transfers from long-term to current portion</w:t>
            </w:r>
          </w:p>
        </w:tc>
        <w:tc>
          <w:tcPr>
            <w:tcW w:w="160" w:type="dxa"/>
            <w:vAlign w:val="bottom"/>
          </w:tcPr>
          <w:p>
            <w:pPr>
              <w:spacing w:after="0"/>
              <w:rPr>
                <w:sz w:val="21"/>
                <w:szCs w:val="21"/>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21"/>
                <w:szCs w:val="21"/>
                <w:color w:val="auto"/>
              </w:rPr>
            </w:pP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6"/>
              </w:rPr>
              <w:t>Loss from increase in fair value of contingent consideration</w:t>
            </w:r>
          </w:p>
        </w:tc>
        <w:tc>
          <w:tcPr>
            <w:tcW w:w="1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57"/>
        </w:trPr>
        <w:tc>
          <w:tcPr>
            <w:tcW w:w="45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2"/>
                <w:szCs w:val="22"/>
                <w:color w:val="auto"/>
              </w:rPr>
            </w:pPr>
          </w:p>
        </w:tc>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color w:val="auto"/>
              </w:rPr>
              <w:t>Balance as of March 31, 2017</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32,848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3,549</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17,958</w:t>
            </w:r>
          </w:p>
        </w:tc>
        <w:tc>
          <w:tcPr>
            <w:tcW w:w="1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fair values of contingent consideration related to the acquisition of Confluent Surgical, Inc. were estimated using a discounted cash flow model using discount rate of 2.20%.</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 assesses these assumptions on an ongoing basis as additional information affecting the assumptions is obtained. The contingent consideration balance was included in short-term portion of contingent consideration and other liabilities at March 31, 2017 and in other liabilities at December 31, 2016.</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Supply Agreement Liability and Above Market Supply Agreement Liability</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determined the fair value of its supply agreement liability and above market supply agreement liability with Covidien Group S.a.r.l during the three-month period ended March 31, 2017 to reflect the payments, change in estimate and the time value of money during the period. A reconciliation of the opening balances to the closing balances of these Level 3 measurements is as follows (in thousands):</w:t>
      </w: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4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2"/>
              </w:rPr>
              <w:t>Supply Agreement</w:t>
            </w: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Above Market</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Above Market</w:t>
            </w:r>
          </w:p>
        </w:tc>
        <w:tc>
          <w:tcPr>
            <w:tcW w:w="10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Supply Agreement</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Supply Agreement</w:t>
            </w:r>
          </w:p>
        </w:tc>
        <w:tc>
          <w:tcPr>
            <w:tcW w:w="10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7"/>
              </w:rPr>
              <w:t>Liability - Short-</w:t>
            </w:r>
          </w:p>
        </w:tc>
        <w:tc>
          <w:tcPr>
            <w:tcW w:w="136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7"/>
              </w:rPr>
              <w:t>Liability - Short-</w:t>
            </w: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Liability - Long-</w:t>
            </w:r>
          </w:p>
        </w:tc>
        <w:tc>
          <w:tcPr>
            <w:tcW w:w="100" w:type="dxa"/>
            <w:vAlign w:val="bottom"/>
          </w:tcPr>
          <w:p>
            <w:pPr>
              <w:spacing w:after="0"/>
              <w:rPr>
                <w:sz w:val="12"/>
                <w:szCs w:val="12"/>
                <w:color w:val="auto"/>
              </w:rPr>
            </w:pPr>
          </w:p>
        </w:tc>
        <w:tc>
          <w:tcPr>
            <w:tcW w:w="2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Location in Financial Statements</w:t>
            </w:r>
          </w:p>
        </w:tc>
        <w:tc>
          <w:tcPr>
            <w:tcW w:w="0" w:type="dxa"/>
            <w:vAlign w:val="bottom"/>
          </w:tcPr>
          <w:p>
            <w:pPr>
              <w:spacing w:after="0"/>
              <w:rPr>
                <w:sz w:val="1"/>
                <w:szCs w:val="1"/>
                <w:color w:val="auto"/>
              </w:rPr>
            </w:pPr>
          </w:p>
        </w:tc>
      </w:tr>
      <w:tr>
        <w:trPr>
          <w:trHeight w:val="192"/>
        </w:trPr>
        <w:tc>
          <w:tcPr>
            <w:tcW w:w="48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98"/>
              </w:rPr>
              <w:t>term</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2"/>
              </w:rPr>
              <w:t>term</w:t>
            </w:r>
          </w:p>
        </w:tc>
        <w:tc>
          <w:tcPr>
            <w:tcW w:w="1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jc w:val="center"/>
              <w:ind w:left="440"/>
              <w:spacing w:after="0"/>
              <w:rPr>
                <w:sz w:val="20"/>
                <w:szCs w:val="20"/>
                <w:color w:val="auto"/>
              </w:rPr>
            </w:pPr>
            <w:r>
              <w:rPr>
                <w:rFonts w:ascii="Arial" w:cs="Arial" w:eastAsia="Arial" w:hAnsi="Arial"/>
                <w:sz w:val="14"/>
                <w:szCs w:val="14"/>
                <w:b w:val="1"/>
                <w:bCs w:val="1"/>
                <w:color w:val="auto"/>
                <w:w w:val="92"/>
              </w:rPr>
              <w:t>term</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64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2,648</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Payments</w:t>
            </w: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1"/>
                <w:szCs w:val="21"/>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8"/>
                <w:szCs w:val="18"/>
                <w:color w:val="auto"/>
              </w:rPr>
              <w:t>(155)</w:t>
            </w:r>
          </w:p>
        </w:tc>
        <w:tc>
          <w:tcPr>
            <w:tcW w:w="2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gridSpan w:val="3"/>
          </w:tcPr>
          <w:p>
            <w:pPr>
              <w:spacing w:after="0"/>
              <w:rPr>
                <w:sz w:val="2"/>
                <w:szCs w:val="2"/>
                <w:color w:val="auto"/>
              </w:rPr>
            </w:pPr>
          </w:p>
        </w:tc>
        <w:tc>
          <w:tcPr>
            <w:tcW w:w="2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 from long-term to current portion</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1,752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(1,752)</w:t>
            </w:r>
          </w:p>
        </w:tc>
        <w:tc>
          <w:tcPr>
            <w:tcW w:w="2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Selling, general and</w:t>
            </w:r>
          </w:p>
        </w:tc>
        <w:tc>
          <w:tcPr>
            <w:tcW w:w="0" w:type="dxa"/>
            <w:vAlign w:val="bottom"/>
          </w:tcPr>
          <w:p>
            <w:pPr>
              <w:spacing w:after="0"/>
              <w:rPr>
                <w:sz w:val="1"/>
                <w:szCs w:val="1"/>
                <w:color w:val="auto"/>
              </w:rPr>
            </w:pPr>
          </w:p>
        </w:tc>
      </w:tr>
      <w:tr>
        <w:trPr>
          <w:trHeight w:val="230"/>
        </w:trPr>
        <w:tc>
          <w:tcPr>
            <w:tcW w:w="4800" w:type="dxa"/>
            <w:vAlign w:val="bottom"/>
          </w:tcPr>
          <w:p>
            <w:pPr>
              <w:ind w:left="40"/>
              <w:spacing w:after="0"/>
              <w:rPr>
                <w:sz w:val="20"/>
                <w:szCs w:val="20"/>
                <w:color w:val="auto"/>
              </w:rPr>
            </w:pPr>
            <w:r>
              <w:rPr>
                <w:rFonts w:ascii="Arial" w:cs="Arial" w:eastAsia="Arial" w:hAnsi="Arial"/>
                <w:sz w:val="18"/>
                <w:szCs w:val="18"/>
                <w:color w:val="auto"/>
              </w:rPr>
              <w:t>Loss from increase in fair value</w:t>
            </w:r>
          </w:p>
        </w:tc>
        <w:tc>
          <w:tcPr>
            <w:tcW w:w="12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20"/>
                <w:szCs w:val="20"/>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2400" w:type="dxa"/>
            <w:vAlign w:val="bottom"/>
          </w:tcPr>
          <w:p>
            <w:pPr>
              <w:ind w:left="40"/>
              <w:spacing w:after="0"/>
              <w:rPr>
                <w:sz w:val="20"/>
                <w:szCs w:val="20"/>
                <w:color w:val="auto"/>
              </w:rPr>
            </w:pPr>
            <w:r>
              <w:rPr>
                <w:rFonts w:ascii="Arial" w:cs="Arial" w:eastAsia="Arial" w:hAnsi="Arial"/>
                <w:sz w:val="18"/>
                <w:szCs w:val="18"/>
                <w:color w:val="auto"/>
              </w:rPr>
              <w:t>administrative</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March 31, 2017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1,752</w:t>
            </w:r>
          </w:p>
        </w:tc>
        <w:tc>
          <w:tcPr>
            <w:tcW w:w="12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64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800</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values of supply agreement liability and above market supply agreement liability were estimated using a discounted cash flow model using discount rate of 12.0%. The Company assesses these assumptions on an ongoing basis as additional information impacting the assumptions is obtained. The supply agreement liability-current was included in accrued expenses and other current liabilities and the supply agreement-long term and above market supply agreement liability were included in other liabilities at March 31, 2017 and December 31, 2016.</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transfers between level 1, 2 or 3 during the three months ended March 31, 2017 and 2016. If the Company's estimate regarding the fair value of its contingent consideration liabilities, supply agreement liability and above market supply agreement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INTEGRA LIFESCIENCES HOLDINGS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(UNAUDITED) (continued)</w:t>
      </w: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liability are inaccurate, a future adjustment to these estimated fair values may be required. Additionally, these estimated fair values could change significantly.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 xml:space="preserve">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previously disclosed and described in </w:t>
      </w:r>
      <w:r>
        <w:rPr>
          <w:rFonts w:ascii="Arial" w:cs="Arial" w:eastAsia="Arial" w:hAnsi="Arial"/>
          <w:sz w:val="16"/>
          <w:szCs w:val="16"/>
          <w:i w:val="1"/>
          <w:iCs w:val="1"/>
          <w:color w:val="auto"/>
        </w:rPr>
        <w:t>Note 2 -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Acquisition</w:t>
      </w:r>
      <w:r>
        <w:rPr>
          <w:rFonts w:ascii="Arial" w:cs="Arial" w:eastAsia="Arial" w:hAnsi="Arial"/>
          <w:sz w:val="16"/>
          <w:szCs w:val="16"/>
          <w:color w:val="auto"/>
        </w:rPr>
        <w:t>, to the Company's consolidated financial statements for the three months ended March 31, 2017, Integra assumed this contingent liability in</w:t>
      </w:r>
      <w:r>
        <w:rPr>
          <w:rFonts w:ascii="Arial" w:cs="Arial" w:eastAsia="Arial" w:hAnsi="Arial"/>
          <w:sz w:val="16"/>
          <w:szCs w:val="16"/>
          <w:i w:val="1"/>
          <w:iCs w:val="1"/>
          <w:color w:val="auto"/>
        </w:rPr>
        <w:t xml:space="preserve"> </w:t>
      </w:r>
      <w:r>
        <w:rPr>
          <w:rFonts w:ascii="Arial" w:cs="Arial" w:eastAsia="Arial" w:hAnsi="Arial"/>
          <w:sz w:val="16"/>
          <w:szCs w:val="16"/>
          <w:color w:val="auto"/>
        </w:rPr>
        <w:t>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 and the likelihood of loss is remote.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4, 2017, the Company entered into a Membership Interest Purchase Agreement (the "Purchase Agreement"), by and among the Company, MCF I LP THX Medical System LLC Holdings, Inc., Terragraphix, Inc. and TGX Medical Systems, LLC (collectively, "TGX Medical"). Pursuant to the Purchase Agreement, the Company purchased all issued and outstanding membership interests in TGX Medical for $5.3 million, subject to adjustment based on actual working capital as defined in the Purchase Agreement at the date of closing.</w:t>
      </w:r>
    </w:p>
    <w:p>
      <w:pPr>
        <w:spacing w:after="0" w:line="13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TGX Medical designs, develops and markets software solutions that track instruments from the operating room through sterilization to storage, ensuring they have been properly cleaned, assembled and maintained. TGX Medical’s customers are located in the U.S. and Canada.</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2016 included in our Annual Report on Form 10-K.</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made statements in this report which constitute forward-looking statements within the meaning of Section 27A of the Securities Act of 1933 and Section 21E of the Securities Exchange Act of 1934 (the “Exchange Act”).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under the heading “Risk Factors” in our Annual Report on Form 10-K for the year ended December 31, 2016 and under the heading "Risk Factors" in this report. We undertake no obligation to publicly update or revise any forward-looking statements, whether as a result of new information, future events or otherwise.</w:t>
      </w:r>
    </w:p>
    <w:p>
      <w:pPr>
        <w:spacing w:after="0" w:line="13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can identify these forward-looking statements by forward-looking words such as “believe,” “may,” “could,” “will,” “estimate,” “continue,” “anticipate,” “intend,” “seek,” “plan,” “expect,” “should,” “would” and similar expressions in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Integra is a worldwide leader in medical technology focused on limiting uncertainty for surgeons so that they can concentrate on providing the best patient care. Integra provides customers with clinically relevant, innovative and cost-effective products that improve the quality of life for patients. We focus on cranial procedures, small bone and joint reconstruction, the repair and reconstruction of soft tissue, and instruments for surgery.</w:t>
      </w:r>
    </w:p>
    <w:p>
      <w:pPr>
        <w:spacing w:after="0" w:line="3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manufacture and sell our products in two reportable business segments — Specialty Surgical Solutions and Orthopedics and Tissue Technologies. Our Specialty Surgical Solutions products offer specialty surgical implants and instrumentation for a broad range of specialties. This product category includes products and solutions for dural repair, precision tools and instruments, tissue ablation, and neuro critical care including market-leading product portfolios used in neurosurgery operating suites and critical care units. Our Orthopedics and Tissue Technologies products offer a unique combination of differentiated regenerative technology products for soft tissue repair and tissue regeneration products, alongside small bone fixation and joint replacement hardware products for both upper extremities and lower extremities. This product category also includes private-label sales of a broad set of our regenerative medicine technologies.</w:t>
      </w:r>
    </w:p>
    <w:p>
      <w:pPr>
        <w:spacing w:after="0" w:line="13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manufacture many of our products in plants located in the United States, Puerto Rico, France, Germany, Ireland, Canada, China and Mexico. We also source most of our handheld surgical instruments and specialty metal and pyrocarbon implants, and dural sealant products through specialized third-party vendors.</w:t>
      </w:r>
    </w:p>
    <w:p>
      <w:pPr>
        <w:sectPr>
          <w:pgSz w:w="11900" w:h="16838" w:orient="portrait"/>
          <w:cols w:equalWidth="0" w:num="1">
            <w:col w:w="11420"/>
          </w:cols>
          <w:pgMar w:left="240" w:top="12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several sales channels in the United States. Specialty Surgical Solutions products are sold through a combination of directly employed sales representatives, distributors and wholesalers, depending on the customer call point. Orthopedics and Tissue Technologies products are sold through directly employed sales representatives and specialty distributors focused on their respective surgical specialties. We sell in the international markets through a combination of direct sales organizations and distributors.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We also market certain products through strategic partners in the United States.</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objective is to become a multi-billion dollar diversified global medical technology company that helps patients by limiting uncertainty for medical professionals and is a high-quality investment for shareholders. We will achieve these goals by delivering on our Brand Promises to our customers so they can concentrate on providing the best care for their patients and by becoming a company recognized as a leader by our customers worldwide in specialty surgical applications, regenerative technologies and extremities orthopedics. Our strategy is built around three pillars - execute, optimize, and accelerate growth. These three pillars support our strategic initiatives to deliver on our commitments through improved planning and communication, optimizing our infrastructure, and growing by introducing new products to the market through internal development, geographic expansion, and strategic acquisitions.</w:t>
      </w:r>
    </w:p>
    <w:p>
      <w:pPr>
        <w:spacing w:after="0" w:line="11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aim to achieve growth in our revenues while maintaining strong financial results. While we pay attention to any meaningful trend in our financial results, we pay particular attention to measurements that are indicative of long-term profitable growth. These measurements include (1) revenue growth (including organic growth and through acquisitions), (2) gross margins on total revenues, (3) operating margins (which we aim to continually expand as we leverage our existing infrastructure), (4) earnings before interest, taxes, depreciation, and amortization, and (5) earnings per diluted share of common stock.</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particularly effective in the following aspects of our business:</w:t>
      </w:r>
    </w:p>
    <w:p>
      <w:pPr>
        <w:spacing w:after="0" w:line="252" w:lineRule="exact"/>
        <w:rPr>
          <w:sz w:val="20"/>
          <w:szCs w:val="20"/>
          <w:color w:val="auto"/>
        </w:rPr>
      </w:pPr>
    </w:p>
    <w:p>
      <w:pPr>
        <w:ind w:left="620" w:hanging="315"/>
        <w:spacing w:after="0" w:line="277"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Regenerative Technology Platform</w:t>
      </w:r>
      <w:r>
        <w:rPr>
          <w:rFonts w:ascii="Arial" w:cs="Arial" w:eastAsia="Arial" w:hAnsi="Arial"/>
          <w:sz w:val="18"/>
          <w:szCs w:val="18"/>
          <w:color w:val="auto"/>
        </w:rPr>
        <w:t>. We have developed numerous product lines through our proprietary collagen and polyethylene glycol</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that are sold through all of our sales channels.</w:t>
      </w:r>
    </w:p>
    <w:p>
      <w:pPr>
        <w:spacing w:after="0" w:line="116" w:lineRule="exact"/>
        <w:rPr>
          <w:rFonts w:ascii="Arial" w:cs="Arial" w:eastAsia="Arial" w:hAnsi="Arial"/>
          <w:sz w:val="18"/>
          <w:szCs w:val="18"/>
          <w:color w:val="auto"/>
        </w:rPr>
      </w:pPr>
    </w:p>
    <w:p>
      <w:pPr>
        <w:jc w:val="both"/>
        <w:ind w:left="620" w:hanging="315"/>
        <w:spacing w:after="0" w:line="273" w:lineRule="auto"/>
        <w:tabs>
          <w:tab w:leader="none" w:pos="6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Diversification and Platform Synergies</w:t>
      </w:r>
      <w:r>
        <w:rPr>
          <w:rFonts w:ascii="Arial" w:cs="Arial" w:eastAsia="Arial" w:hAnsi="Arial"/>
          <w:sz w:val="17"/>
          <w:szCs w:val="17"/>
          <w:color w:val="auto"/>
        </w:rPr>
        <w:t>. The selling platforms of Specialty Surgical Solutions and Orthopedics and Tissue Technologies each</w:t>
      </w:r>
      <w:r>
        <w:rPr>
          <w:rFonts w:ascii="Arial" w:cs="Arial" w:eastAsia="Arial" w:hAnsi="Arial"/>
          <w:sz w:val="17"/>
          <w:szCs w:val="17"/>
          <w:i w:val="1"/>
          <w:iCs w:val="1"/>
          <w:color w:val="auto"/>
        </w:rPr>
        <w:t xml:space="preserve"> </w:t>
      </w:r>
      <w:r>
        <w:rPr>
          <w:rFonts w:ascii="Arial" w:cs="Arial" w:eastAsia="Arial" w:hAnsi="Arial"/>
          <w:sz w:val="17"/>
          <w:szCs w:val="17"/>
          <w:color w:val="auto"/>
        </w:rPr>
        <w:t>contribute a different strength to our core business. Specialty Surgical Solutions provides us with a strong presence in the hospital, with market-leading products and comprehensive solutions for surgical specialties, such as neurosurgery, as well as a strong capacity to generate cash flows. Orthopedics and Tissue Technologies enables us to grow our top line by continuing to introduce new, differentiated products in fast-growing markets, such as small joint replacement and advanced wound care, as well as to increase gross margins. We have unique synergies between these platforms, such as our regenerative technology, instrument sourcing capabilities, and enterprise contract management.</w:t>
      </w:r>
    </w:p>
    <w:p>
      <w:pPr>
        <w:spacing w:after="0" w:line="124" w:lineRule="exact"/>
        <w:rPr>
          <w:rFonts w:ascii="Arial" w:cs="Arial" w:eastAsia="Arial" w:hAnsi="Arial"/>
          <w:sz w:val="17"/>
          <w:szCs w:val="17"/>
          <w:color w:val="auto"/>
        </w:rPr>
      </w:pPr>
    </w:p>
    <w:p>
      <w:pPr>
        <w:jc w:val="both"/>
        <w:ind w:left="620" w:hanging="315"/>
        <w:spacing w:after="0" w:line="293" w:lineRule="auto"/>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i w:val="1"/>
          <w:iCs w:val="1"/>
          <w:color w:val="auto"/>
        </w:rPr>
        <w:t>Specialized Sales Footprint</w:t>
      </w:r>
      <w:r>
        <w:rPr>
          <w:rFonts w:ascii="Arial" w:cs="Arial" w:eastAsia="Arial" w:hAnsi="Arial"/>
          <w:sz w:val="16"/>
          <w:szCs w:val="16"/>
          <w:color w:val="auto"/>
        </w:rPr>
        <w:t>. Our medical technology investment and manufacturing strategy provide us with a specialized set of customer call-points</w:t>
      </w:r>
      <w:r>
        <w:rPr>
          <w:rFonts w:ascii="Arial" w:cs="Arial" w:eastAsia="Arial" w:hAnsi="Arial"/>
          <w:sz w:val="16"/>
          <w:szCs w:val="16"/>
          <w:i w:val="1"/>
          <w:iCs w:val="1"/>
          <w:color w:val="auto"/>
        </w:rPr>
        <w:t xml:space="preserve"> </w:t>
      </w:r>
      <w:r>
        <w:rPr>
          <w:rFonts w:ascii="Arial" w:cs="Arial" w:eastAsia="Arial" w:hAnsi="Arial"/>
          <w:sz w:val="16"/>
          <w:szCs w:val="16"/>
          <w:color w:val="auto"/>
        </w:rPr>
        <w:t>and synergies. We have market-leading products across our portfolio providing both scale and depth in solutions for a broad set of clinical needs across many departments in healthcare systems. We also have clinical expertise across all of our channels in the United States, and an opportunity to expand and leverage this expertise in markets worldwide. In response to our customers’ needs for clinical and technical solutions across multiple departments and clinical areas, we have developed and deployed our Enterprise Selling initiative to bring unique clinical solutions to the most difficult healthcare issues in our key accounts across multiple clinical sites and multi-hospital integrated delivery networks.</w:t>
      </w:r>
    </w:p>
    <w:p>
      <w:pPr>
        <w:spacing w:after="0" w:line="110" w:lineRule="exact"/>
        <w:rPr>
          <w:rFonts w:ascii="Arial" w:cs="Arial" w:eastAsia="Arial" w:hAnsi="Arial"/>
          <w:sz w:val="16"/>
          <w:szCs w:val="16"/>
          <w:color w:val="auto"/>
        </w:rPr>
      </w:pPr>
    </w:p>
    <w:p>
      <w:pPr>
        <w:jc w:val="both"/>
        <w:ind w:left="620" w:hanging="315"/>
        <w:spacing w:after="0" w:line="264" w:lineRule="auto"/>
        <w:tabs>
          <w:tab w:leader="none" w:pos="620"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Ability to Change and Adapt</w:t>
      </w:r>
      <w:r>
        <w:rPr>
          <w:rFonts w:ascii="Arial" w:cs="Arial" w:eastAsia="Arial" w:hAnsi="Arial"/>
          <w:sz w:val="18"/>
          <w:szCs w:val="18"/>
          <w:color w:val="auto"/>
        </w:rPr>
        <w:t>. Our corporate culture is what enables us to adapt and evolve. We have demonstrated that we can quickly and profitably</w:t>
      </w:r>
      <w:r>
        <w:rPr>
          <w:rFonts w:ascii="Arial" w:cs="Arial" w:eastAsia="Arial" w:hAnsi="Arial"/>
          <w:sz w:val="18"/>
          <w:szCs w:val="18"/>
          <w:i w:val="1"/>
          <w:iCs w:val="1"/>
          <w:color w:val="auto"/>
        </w:rPr>
        <w:t xml:space="preserve"> </w:t>
      </w:r>
      <w:r>
        <w:rPr>
          <w:rFonts w:ascii="Arial" w:cs="Arial" w:eastAsia="Arial" w:hAnsi="Arial"/>
          <w:sz w:val="18"/>
          <w:szCs w:val="18"/>
          <w:color w:val="auto"/>
        </w:rPr>
        <w:t>integrate new products and businesses. This core strength has made it possible for us to grow over the years, and is key to our ability to grow into a multi-billion dollar company.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5"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13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February 24, 2017, the Company executed the Agreement and Plan of Merger (the "Merger Agreement") under which the Company acquired all of the outstanding shares of Derma Sciences, Inc., a Delaware corporation ("Derma Sciences") for an aggregate purchase price of approximately $210.8 million including payment of certain of Derma Science's closing expenses and settlement of stock-based compensation plans of $4.8 million and $4.3 million, respectively. The purchase price consisted of a cash payment to the former shareholders of Derma Sciences of approximately $201.7 million upon the closing of the transaction.</w:t>
      </w:r>
    </w:p>
    <w:p>
      <w:pPr>
        <w:spacing w:after="0" w:line="13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Derma Sciences is a tissue regeneration company focused on advance wound and burn care that offers products to help manage chronic and hard-to-heal wounds, especially those resulting from diabetes and poor vascular functioning.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Johnson &amp; Johnson's Codman Neurosurgery Business</w:t>
      </w:r>
    </w:p>
    <w:p>
      <w:pPr>
        <w:spacing w:after="0" w:line="13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February 14, 2017, we entered into a binding offer letter (the “Offer Letter”) with DePuy Synthes, Inc., a Delaware corporation (“DePuy Synthes”) and wholly-owned subsidiary of Johnson &amp; Johnson, pursuant to which the we made a binding offer (the “Binding Offer”) to acquire certain assets, and assume certain liabilities, of Johnson &amp; Johnson’s Codman neurosurgery business (the “Codman Neurosurgery Transaction”). The assets and liabilities subject to the proposed Codman Neurosurgery Transaction relate to the research, development, manufacturing, marketing, distribution and sale of certain products used in connection with neurosurgery procedures (the “Codman Neurosurgery Business”). The purchase price for the Codman Neurosurgery Transaction is $1.0 billion, subject to adjustments set forth in the Purchase Agreement (as defined below) relating to the book value of inventory transferred to us at the closing of the Codman Neurosurgery Transaction, the book value of certain inventory retained by DePuy Synthes and the amount of certain prepaid taxes (as so adjusted, the “Purchase Price”).</w:t>
      </w:r>
    </w:p>
    <w:p>
      <w:pPr>
        <w:spacing w:after="0" w:line="1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Binding Offer expires on the earlier of (i) May 15, 2017 and (ii) the second business day after each of the employees’ representative bodies of DePuy Synthes and its affiliates in certain jurisdictions have concluded certain statutory information or consultation processes in connection with the Codman Neurosurgery Transaction (the “Specified Consultation Processes”). The Binding Offer can be extended by either party in certain circumstances to no later than August 14, 2017. Upon completion of the Specified Consultation Processes, we expect that DePuy Synthes will accept the Binding Offer by countersigning the asset purchase agreement attached to the Offer Letter (the “Purchase Agreement”). The Offer Letter provides that, until the Binding Offer is accepted or the Offer Letter is terminated, DePuy Synthes is prohibited from soliciting proposals from, negotiating or discussing with, or entering into an agreement with, third parties with respect to an alternative transaction relating to 25% or more of the assets of the Codman Neurosurgery Business. If DePuy Synthes does not accept the Binding Offer prior to its expiration, the Offer Letter requires DePuy Synthes to pay us $10.5 million as reimbursement for our expenses. The Offer Letter requires DePuy Synthes to pay a termination fee of $41.8 million if (i) we terminates the Offer Letter as a result of DePuy Synthes’ breach of its exclusivity obligations or (ii) any person has made an alternative proposal prior to the termination of the Binding Offer, DePuy Synthes fails to accept the Binding Offer and DePuy Synthes enters into a definitive agreement with respect to any alternative proposal within twelve months after the termination of the Offer Letter.</w:t>
      </w:r>
    </w:p>
    <w:p>
      <w:pPr>
        <w:spacing w:after="0" w:line="12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obtained sufficient capacity from our Senior Credit Facility to pay the purchase price and fees and expenses to be incurred in connection with the Transaction.</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and Product Development Activities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After finalizing our multi-center clinical trial evaluating the safety and effectiveness of the INTEGRA Dermal Regeneration Template for the treatment of diabetic foot ulcers ("DFU") in 2015, we filed this data with the FDA and received PMA approval on January 7, 2016. The Company started commercializing the resulting DFU product, Omnigraft, late in 2016. Additionally, we finalized patient follow-up in a Post-Approval Study for our DuraSeal Exact Spine Sealant System, and submitted the study results on-time to the FDA in October 2016. The study showed the continued safety and effectiveness of this approved medical device, and we expect that this study will satisfy the post-approval commitment related to this product. We continue to invest in additional clinical studies to support market access and promotion of existing products, and to pursue new product indications, such as breast reconstruction. From a product development perspective, we are also investing in next generation nerve product, and longer term research programs to evaluate combination products.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FDA Untitled Letter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22, 2015, the FDA issued an Untitled Letter (the "Untitled Letter") alleging that BioD LLC's ("BioD") morselized amniotic membrane based products do not meet the criteria for regulation as human cellular tissue-based products (“HCT/Ps”) solely under Section 361 of the Public Health Service Act and that, as a result, BioD would need a biologics license to lawfully market those morselized products (BioD is a wholly owned subsidiary of Derma Sciences). Since the issuance of the Untitled Letter, BioD and now the Company has been in discussions with the FDA to communicate its disagreement with the FDA’s assertion that certain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products are more than minimally manipulated. To date, the FDA has not changed its position that certain of the acquired morselized products are not eligible for marketing solely under Section 361 of the Public Health Service Act, but discussions are continuing.</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December 22, 2014, the FDA issued for comment “Draft Guidance for Industry and FDA Staff: Minimal Manipulation of Human Cells, Tissues, and Cellular and Tissue-Based Products.” On October 28, 2015, the FDA issued for comment, "Draft Guidance for Industry and FDA Staff: Homologous Use of Human Cells, Tissues, and Cellular and Tissue-Based Products." The FDA held a public hearing on September 12 and 13, 2016 to obtain input on the Homologous Use draft guidance and the Minimal Manipulation draft guidance, as well as other recently issued guidance documents on HCT/Ps.</w:t>
      </w:r>
    </w:p>
    <w:p>
      <w:pPr>
        <w:spacing w:after="0" w:line="17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FDA does allow us to continue to market its morselized products without a 510(k) or biologics license either prior to or after finalization of the draft guidance documents, it may impose conditions on marketing, such as labeling restrictions and compliance with cGMP. Compliance with these conditions would require significant additional time and cost investments from us. It is also possible that the FDA will not allow us to market any form of a morselized product without a biologics license even prior to finalization of the draft guidance documents and could even require us to recall its morselized products. We continue to market these products. The Company continues to monitor the FDA's position on these products. Any potential action of the FDA could have a financial impact regarding the sales of BioD’s morselized amniotic tissue based products.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income for the three months ended March 31, 2017 was $6.4 million, or $0.08 per diluted share, as compared to $13.4 million or $0.18 per diluted share for the three months ended March 31, 2016.</w:t>
      </w:r>
    </w:p>
    <w:p>
      <w:pPr>
        <w:spacing w:after="0" w:line="1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income for the three months ended March 31, 2017 decreased from the same period last year primarily as a result of higher acquisition-related expenses of $14.3 million offset by growth in both of our Orthopedics and Tissue Technologies and Specialty Surgical Solutions segments. The results reflect strong growth in our dural repair and regenerative technology franchises.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color w:val="auto"/>
        </w:rPr>
        <w:t>Income before taxes includes the following special charges: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6"/>
          </w:tcPr>
          <w:p>
            <w:pPr>
              <w:jc w:val="center"/>
              <w:ind w:right="18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2016</w:t>
            </w: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4"/>
          </w:tcPr>
          <w:p>
            <w:pPr>
              <w:jc w:val="center"/>
              <w:ind w:left="536"/>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Global ERP implementation charges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2,427</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3,324</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Structural optimization charges</w:t>
            </w: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1,586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1,709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Certain employee severance charges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Discontinued product lines charges</w:t>
            </w: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Acquisition-related charges</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20,317</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Convertible debt non-cash interest</w:t>
            </w:r>
          </w:p>
        </w:tc>
        <w:tc>
          <w:tcPr>
            <w:tcW w:w="220" w:type="dxa"/>
            <w:vAlign w:val="bottom"/>
          </w:tcPr>
          <w:p>
            <w:pPr>
              <w:spacing w:after="0"/>
              <w:rPr>
                <w:sz w:val="21"/>
                <w:szCs w:val="21"/>
                <w:color w:val="auto"/>
              </w:rPr>
            </w:pPr>
          </w:p>
        </w:tc>
        <w:tc>
          <w:tcPr>
            <w:tcW w:w="11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2,064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25,480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13,788</w:t>
            </w:r>
          </w:p>
        </w:tc>
        <w:tc>
          <w:tcPr>
            <w:tcW w:w="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The items reported above are reflected in the condensed consolidated statements of operations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80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8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5"/>
              </w:rPr>
              <w:t>Three Months Ended March 31,</w:t>
            </w:r>
          </w:p>
        </w:tc>
        <w:tc>
          <w:tcPr>
            <w:tcW w:w="0" w:type="dxa"/>
            <w:vAlign w:val="bottom"/>
          </w:tcPr>
          <w:p>
            <w:pPr>
              <w:spacing w:after="0"/>
              <w:rPr>
                <w:sz w:val="1"/>
                <w:szCs w:val="1"/>
                <w:color w:val="auto"/>
              </w:rPr>
            </w:pPr>
          </w:p>
        </w:tc>
      </w:tr>
      <w:tr>
        <w:trPr>
          <w:trHeight w:val="264"/>
        </w:trPr>
        <w:tc>
          <w:tcPr>
            <w:tcW w:w="87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2017</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44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8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4"/>
          </w:tcPr>
          <w:p>
            <w:pPr>
              <w:jc w:val="center"/>
              <w:ind w:left="496"/>
              <w:spacing w:after="0"/>
              <w:rPr>
                <w:sz w:val="20"/>
                <w:szCs w:val="20"/>
                <w:color w:val="auto"/>
              </w:rPr>
            </w:pPr>
            <w:r>
              <w:rPr>
                <w:rFonts w:ascii="Arial" w:cs="Arial" w:eastAsia="Arial" w:hAnsi="Arial"/>
                <w:sz w:val="14"/>
                <w:szCs w:val="14"/>
                <w:b w:val="1"/>
                <w:bCs w:val="1"/>
                <w:color w:val="auto"/>
                <w:w w:val="91"/>
              </w:rPr>
              <w:t>(In thousands)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2,566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4,848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880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1"/>
                <w:szCs w:val="21"/>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22,914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6,876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2,064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780" w:type="dxa"/>
            <w:vAlign w:val="bottom"/>
          </w:tcPr>
          <w:p>
            <w:pPr>
              <w:ind w:left="120"/>
              <w:spacing w:after="0"/>
              <w:rPr>
                <w:sz w:val="20"/>
                <w:szCs w:val="20"/>
                <w:color w:val="auto"/>
              </w:rPr>
            </w:pPr>
            <w:r>
              <w:rPr>
                <w:rFonts w:ascii="Arial" w:cs="Arial" w:eastAsia="Arial" w:hAnsi="Arial"/>
                <w:sz w:val="18"/>
                <w:szCs w:val="18"/>
                <w:color w:val="auto"/>
              </w:rPr>
              <w:t>Total from continuing operations</w:t>
            </w:r>
          </w:p>
        </w:tc>
        <w:tc>
          <w:tcPr>
            <w:tcW w:w="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25,480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13,788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7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7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typically define special charges as items for which the amounts and/or timing of such expenses may vary significantly from period to period, depending upon our acquisition, integration and restructuring activities, and for which the amounts are non-cash in nature, or for which the amounts are not expected to recur at the same magnitude. We believe that given our ongoing strategy of seeking acquisitions, our continuing focus on rationalizing our existing manufacturing and distribution infrastructure and our continuing review of various product lines in relation to our current business strategy, some of the special charges discussed above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could recur with similar materiality in the future. In 2010, we began investing significant resources in the global implementation of a single enterprise resource planning ("ERP") system. We began capitalizing certain costs for the project starting in 2011 and continued to do so during 2017. We expect the additional capital and integration expenses associated with our current ERP system to decrease in 2017 as the project is substantially complete. However, we expect additional capital and integration expenses in 2017 associated with the integration of Derma Sciences.</w:t>
      </w:r>
    </w:p>
    <w:p>
      <w:pPr>
        <w:spacing w:after="0" w:line="11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that the separate identification of these special charges provides important supplemental information to investors regarding financial and business trends relating to our financial condition and results of operations. Investors may find this information useful in assessing comparability of our operating performance from period to period, assessing the business model objectives that management has established, and comparing our performance against other companies in our industry. We provide this information to investors so that they can analyze our operating results in the same way that management does and to use this information in their assessment of our core business and valuation of Integra.</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Update on Remediation Activities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an outstanding FDA warning letter related to TEI, acquired by Integra on July 17, 2015. TEI received a Warning Letter from the FDA dated May 29, 2015 for promoting the product SurgiMend for breast surgery applications that were not cleared in the 510(k) process and do not have a PMA approval for the indication. The FDA requested that TEI immediately cease all activities that resulted in misbranding or adulteration of the product in commercial distribution. The FDA also required TEI to cease all violations regarding promotion of the product for an indication that was not cleared or approved. TEI responded to the FDA with a corrective action plan and took action to address the issues prior to the completion of the acquisition. We will continue to monitor this activity and address all corrective actions submitted to the FDA. The FDA might not accept our corrective action plan or it might choose to scrutinize other promotional claims on products and require additional corrective actions. We do not expect to incur material operating expenses to complete the corrective action plan.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remediation expenses incurred in the three months ended March 31, 2017.</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 on Product Revenues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revenues and gross margin on product revenues were as follows: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273"/>
              <w:spacing w:after="0"/>
              <w:rPr>
                <w:sz w:val="20"/>
                <w:szCs w:val="20"/>
                <w:color w:val="auto"/>
              </w:rPr>
            </w:pPr>
            <w:r>
              <w:rPr>
                <w:rFonts w:ascii="Arial" w:cs="Arial" w:eastAsia="Arial" w:hAnsi="Arial"/>
                <w:sz w:val="14"/>
                <w:szCs w:val="14"/>
                <w:b w:val="1"/>
                <w:bCs w:val="1"/>
                <w:color w:val="auto"/>
              </w:rPr>
              <w:t>Three Months Ended March 31,</w:t>
            </w:r>
          </w:p>
        </w:tc>
      </w:tr>
      <w:tr>
        <w:trPr>
          <w:trHeight w:val="263"/>
        </w:trPr>
        <w:tc>
          <w:tcPr>
            <w:tcW w:w="85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2016</w:t>
            </w:r>
          </w:p>
        </w:tc>
      </w:tr>
      <w:tr>
        <w:trPr>
          <w:trHeight w:val="251"/>
        </w:trPr>
        <w:tc>
          <w:tcPr>
            <w:tcW w:w="85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Segment Net Sales</w:t>
            </w:r>
          </w:p>
        </w:tc>
        <w:tc>
          <w:tcPr>
            <w:tcW w:w="260" w:type="dxa"/>
            <w:vAlign w:val="bottom"/>
          </w:tcPr>
          <w:p>
            <w:pPr>
              <w:spacing w:after="0"/>
              <w:rPr>
                <w:sz w:val="21"/>
                <w:szCs w:val="21"/>
                <w:color w:val="auto"/>
              </w:rPr>
            </w:pPr>
          </w:p>
        </w:tc>
        <w:tc>
          <w:tcPr>
            <w:tcW w:w="2480" w:type="dxa"/>
            <w:vAlign w:val="bottom"/>
            <w:gridSpan w:val="4"/>
          </w:tcPr>
          <w:p>
            <w:pPr>
              <w:jc w:val="right"/>
              <w:ind w:right="593"/>
              <w:spacing w:after="0"/>
              <w:rPr>
                <w:sz w:val="20"/>
                <w:szCs w:val="20"/>
                <w:color w:val="auto"/>
              </w:rPr>
            </w:pPr>
            <w:r>
              <w:rPr>
                <w:rFonts w:ascii="Arial" w:cs="Arial" w:eastAsia="Arial" w:hAnsi="Arial"/>
                <w:sz w:val="14"/>
                <w:szCs w:val="14"/>
                <w:b w:val="1"/>
                <w:bCs w:val="1"/>
                <w:color w:val="auto"/>
              </w:rPr>
              <w:t>(Dollars in thousands)</w:t>
            </w:r>
          </w:p>
        </w:tc>
      </w:tr>
      <w:tr>
        <w:trPr>
          <w:trHeight w:val="256"/>
        </w:trPr>
        <w:tc>
          <w:tcPr>
            <w:tcW w:w="8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Specialty Surgical Solutions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156,290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151,175</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Orthopedics &amp; Tissue Technologies</w:t>
            </w:r>
          </w:p>
        </w:tc>
        <w:tc>
          <w:tcPr>
            <w:tcW w:w="260" w:type="dxa"/>
            <w:vAlign w:val="bottom"/>
          </w:tcPr>
          <w:p>
            <w:pPr>
              <w:spacing w:after="0"/>
              <w:rPr>
                <w:sz w:val="21"/>
                <w:szCs w:val="21"/>
                <w:color w:val="auto"/>
              </w:rPr>
            </w:pP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102,346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85,595</w:t>
            </w:r>
          </w:p>
        </w:tc>
      </w:tr>
      <w:tr>
        <w:trPr>
          <w:trHeight w:val="27"/>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w:t>
            </w:r>
          </w:p>
        </w:tc>
        <w:tc>
          <w:tcPr>
            <w:tcW w:w="2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258,636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236,770</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060" w:type="dxa"/>
            <w:vAlign w:val="bottom"/>
          </w:tcPr>
          <w:p>
            <w:pPr>
              <w:jc w:val="right"/>
              <w:ind w:right="97"/>
              <w:spacing w:after="0"/>
              <w:rPr>
                <w:sz w:val="20"/>
                <w:szCs w:val="20"/>
                <w:color w:val="auto"/>
              </w:rPr>
            </w:pPr>
            <w:r>
              <w:rPr>
                <w:rFonts w:ascii="Arial" w:cs="Arial" w:eastAsia="Arial" w:hAnsi="Arial"/>
                <w:sz w:val="18"/>
                <w:szCs w:val="18"/>
                <w:color w:val="auto"/>
              </w:rPr>
              <w:t>86,585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0" w:type="dxa"/>
            <w:vAlign w:val="bottom"/>
          </w:tcPr>
          <w:p>
            <w:pPr>
              <w:jc w:val="right"/>
              <w:ind w:right="113"/>
              <w:spacing w:after="0"/>
              <w:rPr>
                <w:sz w:val="20"/>
                <w:szCs w:val="20"/>
                <w:color w:val="auto"/>
              </w:rPr>
            </w:pPr>
            <w:r>
              <w:rPr>
                <w:rFonts w:ascii="Arial" w:cs="Arial" w:eastAsia="Arial" w:hAnsi="Arial"/>
                <w:sz w:val="18"/>
                <w:szCs w:val="18"/>
                <w:color w:val="auto"/>
              </w:rPr>
              <w:t>84,773</w:t>
            </w:r>
          </w:p>
        </w:tc>
      </w:tr>
      <w:tr>
        <w:trPr>
          <w:trHeight w:val="27"/>
        </w:trPr>
        <w:tc>
          <w:tcPr>
            <w:tcW w:w="8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9"/>
        </w:trPr>
        <w:tc>
          <w:tcPr>
            <w:tcW w:w="8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 on total revenues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172,051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151,997</w:t>
            </w:r>
          </w:p>
        </w:tc>
      </w:tr>
      <w:tr>
        <w:trPr>
          <w:trHeight w:val="20"/>
        </w:trPr>
        <w:tc>
          <w:tcPr>
            <w:tcW w:w="8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320" w:type="dxa"/>
            <w:vAlign w:val="bottom"/>
          </w:tcPr>
          <w:p>
            <w:pPr>
              <w:spacing w:after="0"/>
              <w:rPr>
                <w:sz w:val="20"/>
                <w:szCs w:val="20"/>
                <w:color w:val="auto"/>
              </w:rPr>
            </w:pPr>
            <w:r>
              <w:rPr>
                <w:rFonts w:ascii="Arial" w:cs="Arial" w:eastAsia="Arial" w:hAnsi="Arial"/>
                <w:sz w:val="18"/>
                <w:szCs w:val="18"/>
                <w:color w:val="auto"/>
              </w:rPr>
              <w:t>Gross margin as a percentage of total revenues</w:t>
            </w:r>
          </w:p>
        </w:tc>
        <w:tc>
          <w:tcPr>
            <w:tcW w:w="3920" w:type="dxa"/>
            <w:vAlign w:val="bottom"/>
          </w:tcPr>
          <w:p>
            <w:pPr>
              <w:jc w:val="right"/>
              <w:ind w:right="390"/>
              <w:spacing w:after="0"/>
              <w:rPr>
                <w:sz w:val="20"/>
                <w:szCs w:val="20"/>
                <w:color w:val="auto"/>
              </w:rPr>
            </w:pPr>
            <w:r>
              <w:rPr>
                <w:rFonts w:ascii="Arial" w:cs="Arial" w:eastAsia="Arial" w:hAnsi="Arial"/>
                <w:sz w:val="18"/>
                <w:szCs w:val="18"/>
                <w:color w:val="auto"/>
              </w:rPr>
              <w:t>66.5%</w:t>
            </w:r>
          </w:p>
        </w:tc>
        <w:tc>
          <w:tcPr>
            <w:tcW w:w="940" w:type="dxa"/>
            <w:vAlign w:val="bottom"/>
          </w:tcPr>
          <w:p>
            <w:pPr>
              <w:jc w:val="right"/>
              <w:spacing w:after="0"/>
              <w:rPr>
                <w:sz w:val="20"/>
                <w:szCs w:val="20"/>
                <w:color w:val="auto"/>
              </w:rPr>
            </w:pPr>
            <w:r>
              <w:rPr>
                <w:rFonts w:ascii="Arial" w:cs="Arial" w:eastAsia="Arial" w:hAnsi="Arial"/>
                <w:sz w:val="18"/>
                <w:szCs w:val="18"/>
                <w:color w:val="auto"/>
              </w:rPr>
              <w:t>64.2%</w:t>
            </w: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2017 as Compared to Three Months Ended March 31, 2016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 and Gross Margin</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For the three months ended March 31, 2017, total revenues increased by $21.9 million to $258.6 million from $236.8 million for the same period in 2016.</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Specialty Surgical Solutions revenues were $156.3 million, an increase of 3.4% from the prior-year period. The increase resulted from the growth of our dural repair products, which increased in the high single digits for the quarter, precision tools and instruments, which increased mid-single digits, and tissue ablation and neuro critical care, which together grew in the low single digits, driven by growth from both domestic and international orders. Our DuraGen and next generation Mayfield 2 cranial stabilization device contributed to the increase.</w:t>
      </w:r>
    </w:p>
    <w:p>
      <w:pPr>
        <w:spacing w:after="0" w:line="13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Orthopedics and Tissue Technologies revenues were $102.3 million, an increase of 19.6% from the prior-year period. Revenue from Derma Sciences acquisition was $10.4 million since its acquisition in February 2017. Revenues from skin products increased by mid-double digits during the quarter as a result of strong demand from both domestic and international markets. Our upper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extremities products grew by high single digits, resulting from strong demand for shoulder products in the domestic market. Our private label business grew by 25% during the quarter. The increases were offset by lower sales of SurgiMend.</w:t>
      </w:r>
    </w:p>
    <w:p>
      <w:pPr>
        <w:spacing w:after="0" w:line="1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Gross margin increased to $172.1 million for the three-month period ended March 31, 2017, up from $152.0 million for the same period last year. Gross margin as a percentage of total revenue increased to 66.5% for the first quarter of 2017 from 64.2% for the same period last year. The increase in gross margin percentage resulted from an increase in sales of higher margin products such as dural repair, skin and wound products, and improvements in the utilization of our manufacturing facilities.</w:t>
      </w:r>
    </w:p>
    <w:p>
      <w:pPr>
        <w:spacing w:after="0" w:line="13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expect our consolidated gross margin percentage for the full year 2017 to be approximately 65.0% to 66.0%. We expect no significant change in gross margin percentage in 2017 compared to 2016 with growth in our regenerative business being offset by our acquisition of Derma Sciences.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operating expenses as a percent of total revenues:</w:t>
      </w:r>
    </w:p>
    <w:p>
      <w:pPr>
        <w:spacing w:after="0" w:line="163" w:lineRule="exact"/>
        <w:rPr>
          <w:sz w:val="20"/>
          <w:szCs w:val="20"/>
          <w:color w:val="auto"/>
        </w:rPr>
      </w:pPr>
    </w:p>
    <w:p>
      <w:pPr>
        <w:ind w:left="880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23495</wp:posOffset>
            </wp:positionV>
            <wp:extent cx="2101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1215" cy="8890"/>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gridSpan w:val="2"/>
          </w:tcPr>
          <w:p>
            <w:pPr>
              <w:ind w:left="8740"/>
              <w:spacing w:after="0"/>
              <w:rPr>
                <w:sz w:val="20"/>
                <w:szCs w:val="20"/>
                <w:color w:val="auto"/>
              </w:rPr>
            </w:pPr>
            <w:r>
              <w:rPr>
                <w:rFonts w:ascii="Arial" w:cs="Arial" w:eastAsia="Arial" w:hAnsi="Arial"/>
                <w:sz w:val="14"/>
                <w:szCs w:val="14"/>
                <w:b w:val="1"/>
                <w:bCs w:val="1"/>
                <w:color w:val="auto"/>
              </w:rPr>
              <w:t>2017</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Selling, general and administrative</w:t>
            </w:r>
          </w:p>
        </w:tc>
        <w:tc>
          <w:tcPr>
            <w:tcW w:w="580" w:type="dxa"/>
            <w:vAlign w:val="bottom"/>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7"/>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Intangible asset amortization</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37"/>
        </w:trPr>
        <w:tc>
          <w:tcPr>
            <w:tcW w:w="8120" w:type="dxa"/>
            <w:vAlign w:val="bottom"/>
          </w:tcPr>
          <w:p>
            <w:pPr>
              <w:ind w:left="120"/>
              <w:spacing w:after="0"/>
              <w:rPr>
                <w:sz w:val="20"/>
                <w:szCs w:val="20"/>
                <w:color w:val="auto"/>
              </w:rPr>
            </w:pPr>
            <w:r>
              <w:rPr>
                <w:rFonts w:ascii="Arial" w:cs="Arial" w:eastAsia="Arial" w:hAnsi="Arial"/>
                <w:sz w:val="18"/>
                <w:szCs w:val="18"/>
                <w:color w:val="auto"/>
              </w:rPr>
              <w:t>Total operating expenses</w:t>
            </w:r>
          </w:p>
        </w:tc>
        <w:tc>
          <w:tcPr>
            <w:tcW w:w="96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8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8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Total operating expenses, which consist of research and development expenses, selling, general and administrative expenses, and amortization expense, increased $32.2 million, or 24.8%, to $162.1 million in the three months ended March 31, 2017, compared to $129.9 million in the same period last year.</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in the first quarter of 2017 increased by $1.0 million to $15.5 million compared to $14.5 million in the same period last year. This increase primarily resulted from an increase in headcount to support clinical studies. We expect full-year 2017 spending on research and development to be approximately 6.0% of total revenues.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Selling, general and administrative expenses in the first quarter of 2017 increased by $30.5 million to $142.5 million compared to $112.0 million in the same period last year. Selling and marketing expenses increased by $9.4 million compared to last year resulting primarily from selling and marketing expenses of Derma Sciences of $3.9 million and additional investments in adding direct sales representatives and distributors. General and administrative costs increased by $21.1 million, resulting from the increase in acquisition-related expenses of $14.3 million, general and administrative expenses of Derma Sciences of $1.8 million and an increase in compensation expense as a result of additional headcount. We expect full-year selling, general and administrative expenses to be approximately 51.0% and 52.0% of revenue in 2017, resulting from acquisition and integration-related costs and as we make additional investments in our commercial channels.</w:t>
      </w:r>
    </w:p>
    <w:p>
      <w:pPr>
        <w:spacing w:after="0" w:line="18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as a percentage of revenues in the first quarter of 2017 increased compared to the same period last year. This increase was primarily related to the increase in intangibles from the Derma Sciences acquisition in the first quarter of 2017.</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Non-Operating Income and Expenses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non-operating income and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40" w:type="dxa"/>
            <w:vAlign w:val="bottom"/>
          </w:tcPr>
          <w:p>
            <w:pPr>
              <w:spacing w:after="0"/>
              <w:rPr>
                <w:sz w:val="16"/>
                <w:szCs w:val="16"/>
                <w:color w:val="auto"/>
              </w:rPr>
            </w:pPr>
          </w:p>
        </w:tc>
        <w:tc>
          <w:tcPr>
            <w:tcW w:w="320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5"/>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1160" w:type="dxa"/>
            <w:vAlign w:val="bottom"/>
            <w:tcBorders>
              <w:bottom w:val="single" w:sz="8" w:color="auto"/>
            </w:tcBorders>
          </w:tcPr>
          <w:p>
            <w:pPr>
              <w:jc w:val="right"/>
              <w:ind w:right="22"/>
              <w:spacing w:after="0"/>
              <w:rPr>
                <w:sz w:val="20"/>
                <w:szCs w:val="20"/>
                <w:color w:val="auto"/>
              </w:rPr>
            </w:pPr>
            <w:r>
              <w:rPr>
                <w:rFonts w:ascii="Arial" w:cs="Arial" w:eastAsia="Arial" w:hAnsi="Arial"/>
                <w:sz w:val="14"/>
                <w:szCs w:val="14"/>
                <w:b w:val="1"/>
                <w:bCs w:val="1"/>
                <w:color w:val="auto"/>
              </w:rPr>
              <w:t>2017</w:t>
            </w:r>
          </w:p>
        </w:tc>
        <w:tc>
          <w:tcPr>
            <w:tcW w:w="7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r>
      <w:tr>
        <w:trPr>
          <w:trHeight w:val="196"/>
        </w:trPr>
        <w:tc>
          <w:tcPr>
            <w:tcW w:w="75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40" w:type="dxa"/>
            <w:vAlign w:val="bottom"/>
            <w:gridSpan w:val="2"/>
          </w:tcPr>
          <w:p>
            <w:pPr>
              <w:jc w:val="center"/>
              <w:ind w:right="37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7"/>
                <w:szCs w:val="17"/>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160" w:type="dxa"/>
            <w:vAlign w:val="bottom"/>
            <w:tcBorders>
              <w:bottom w:val="single" w:sz="8" w:color="CCEEFF"/>
            </w:tcBorders>
            <w:shd w:val="clear" w:color="auto" w:fill="CCEEFF"/>
          </w:tcPr>
          <w:p>
            <w:pPr>
              <w:jc w:val="right"/>
              <w:ind w:right="962"/>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7</w:t>
            </w:r>
          </w:p>
        </w:tc>
        <w:tc>
          <w:tcPr>
            <w:tcW w:w="126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160" w:type="dxa"/>
            <w:vAlign w:val="bottom"/>
          </w:tcPr>
          <w:p>
            <w:pPr>
              <w:spacing w:after="0"/>
              <w:rPr>
                <w:sz w:val="21"/>
                <w:szCs w:val="21"/>
                <w:color w:val="auto"/>
              </w:rPr>
            </w:pPr>
          </w:p>
        </w:tc>
        <w:tc>
          <w:tcPr>
            <w:tcW w:w="780" w:type="dxa"/>
            <w:vAlign w:val="bottom"/>
          </w:tcPr>
          <w:p>
            <w:pPr>
              <w:jc w:val="right"/>
              <w:ind w:right="54"/>
              <w:spacing w:after="0"/>
              <w:rPr>
                <w:sz w:val="20"/>
                <w:szCs w:val="20"/>
                <w:color w:val="auto"/>
              </w:rPr>
            </w:pPr>
            <w:r>
              <w:rPr>
                <w:rFonts w:ascii="Arial" w:cs="Arial" w:eastAsia="Arial" w:hAnsi="Arial"/>
                <w:sz w:val="18"/>
                <w:szCs w:val="18"/>
                <w:color w:val="auto"/>
              </w:rPr>
              <w:t>(5,131)</w:t>
            </w:r>
          </w:p>
        </w:tc>
        <w:tc>
          <w:tcPr>
            <w:tcW w:w="1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(6,373)</w:t>
            </w:r>
          </w:p>
        </w:tc>
      </w:tr>
      <w:tr>
        <w:trPr>
          <w:trHeight w:val="27"/>
        </w:trPr>
        <w:tc>
          <w:tcPr>
            <w:tcW w:w="75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7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1160" w:type="dxa"/>
            <w:vAlign w:val="bottom"/>
            <w:shd w:val="clear" w:color="auto" w:fill="CCEEFF"/>
          </w:tcPr>
          <w:p>
            <w:pPr>
              <w:spacing w:after="0"/>
              <w:rPr>
                <w:sz w:val="21"/>
                <w:szCs w:val="21"/>
                <w:color w:val="auto"/>
              </w:rPr>
            </w:pPr>
          </w:p>
        </w:tc>
        <w:tc>
          <w:tcPr>
            <w:tcW w:w="7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(90)</w:t>
            </w:r>
          </w:p>
        </w:tc>
        <w:tc>
          <w:tcPr>
            <w:tcW w:w="126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r>
      <w:tr>
        <w:trPr>
          <w:trHeight w:val="27"/>
        </w:trPr>
        <w:tc>
          <w:tcPr>
            <w:tcW w:w="75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Income and Interest Expense</w:t>
      </w:r>
    </w:p>
    <w:p>
      <w:pPr>
        <w:spacing w:after="0" w:line="9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Interest expense in the three months ended March 31, 2017 decreased by $1.2 million, primarily due to the settlement of our 2016 Convertible Notes in December 2016 offset by a higher outstanding balance on our Senior Credit Facility for the period compared to the same period in 2016. Our reported interest expense for the three-month period ended March 31, 2016 included non-cash interest related to the accounting for convertible securities of $2.1 million.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Interest income was negligible for the three months ended March 31, 2017 and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Other income for the three months ended March 31, 2017 and 2016 mainly includes the impact of transactional foreign exchange gains and losses.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60" w:type="dxa"/>
            <w:vAlign w:val="bottom"/>
          </w:tcPr>
          <w:p>
            <w:pPr>
              <w:spacing w:after="0"/>
              <w:rPr>
                <w:sz w:val="16"/>
                <w:szCs w:val="16"/>
                <w:color w:val="auto"/>
              </w:rPr>
            </w:pPr>
          </w:p>
        </w:tc>
        <w:tc>
          <w:tcPr>
            <w:tcW w:w="3320" w:type="dxa"/>
            <w:vAlign w:val="bottom"/>
            <w:tcBorders>
              <w:bottom w:val="single" w:sz="8" w:color="auto"/>
            </w:tcBorders>
            <w:gridSpan w:val="3"/>
          </w:tcPr>
          <w:p>
            <w:pPr>
              <w:jc w:val="center"/>
              <w:ind w:left="702"/>
              <w:spacing w:after="0"/>
              <w:rPr>
                <w:sz w:val="20"/>
                <w:szCs w:val="20"/>
                <w:color w:val="auto"/>
              </w:rPr>
            </w:pPr>
            <w:r>
              <w:rPr>
                <w:rFonts w:ascii="Arial" w:cs="Arial" w:eastAsia="Arial" w:hAnsi="Arial"/>
                <w:sz w:val="14"/>
                <w:szCs w:val="14"/>
                <w:b w:val="1"/>
                <w:bCs w:val="1"/>
                <w:color w:val="auto"/>
                <w:w w:val="95"/>
              </w:rPr>
              <w:t>Three Months Ended March 31,</w:t>
            </w:r>
          </w:p>
        </w:tc>
        <w:tc>
          <w:tcPr>
            <w:tcW w:w="740" w:type="dxa"/>
            <w:vAlign w:val="bottom"/>
            <w:tcBorders>
              <w:bottom w:val="single" w:sz="8" w:color="auto"/>
            </w:tcBorders>
          </w:tcPr>
          <w:p>
            <w:pPr>
              <w:spacing w:after="0"/>
              <w:rPr>
                <w:sz w:val="16"/>
                <w:szCs w:val="16"/>
                <w:color w:val="auto"/>
              </w:rPr>
            </w:pPr>
          </w:p>
        </w:tc>
      </w:tr>
      <w:tr>
        <w:trPr>
          <w:trHeight w:val="264"/>
        </w:trPr>
        <w:tc>
          <w:tcPr>
            <w:tcW w:w="7360" w:type="dxa"/>
            <w:vAlign w:val="bottom"/>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740" w:type="dxa"/>
            <w:vAlign w:val="bottom"/>
            <w:tcBorders>
              <w:bottom w:val="single" w:sz="8" w:color="auto"/>
            </w:tcBorders>
          </w:tcPr>
          <w:p>
            <w:pPr>
              <w:spacing w:after="0"/>
              <w:rPr>
                <w:sz w:val="22"/>
                <w:szCs w:val="22"/>
                <w:color w:val="auto"/>
              </w:rPr>
            </w:pPr>
          </w:p>
        </w:tc>
      </w:tr>
      <w:tr>
        <w:trPr>
          <w:trHeight w:val="196"/>
        </w:trPr>
        <w:tc>
          <w:tcPr>
            <w:tcW w:w="7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140" w:type="dxa"/>
            <w:vAlign w:val="bottom"/>
            <w:gridSpan w:val="2"/>
          </w:tcPr>
          <w:p>
            <w:pPr>
              <w:jc w:val="center"/>
              <w:ind w:right="319"/>
              <w:spacing w:after="0"/>
              <w:rPr>
                <w:sz w:val="20"/>
                <w:szCs w:val="20"/>
                <w:color w:val="auto"/>
              </w:rPr>
            </w:pPr>
            <w:r>
              <w:rPr>
                <w:rFonts w:ascii="Arial" w:cs="Arial" w:eastAsia="Arial" w:hAnsi="Arial"/>
                <w:sz w:val="14"/>
                <w:szCs w:val="14"/>
                <w:b w:val="1"/>
                <w:bCs w:val="1"/>
                <w:color w:val="auto"/>
                <w:w w:val="93"/>
              </w:rPr>
              <w:t>(In thousands)</w:t>
            </w:r>
          </w:p>
        </w:tc>
        <w:tc>
          <w:tcPr>
            <w:tcW w:w="740" w:type="dxa"/>
            <w:vAlign w:val="bottom"/>
          </w:tcPr>
          <w:p>
            <w:pPr>
              <w:spacing w:after="0"/>
              <w:rPr>
                <w:sz w:val="17"/>
                <w:szCs w:val="17"/>
                <w:color w:val="auto"/>
              </w:rPr>
            </w:pPr>
          </w:p>
        </w:tc>
      </w:tr>
      <w:tr>
        <w:trPr>
          <w:trHeight w:val="256"/>
        </w:trPr>
        <w:tc>
          <w:tcPr>
            <w:tcW w:w="7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180" w:type="dxa"/>
            <w:vAlign w:val="bottom"/>
            <w:tcBorders>
              <w:bottom w:val="single" w:sz="8" w:color="CCEEFF"/>
            </w:tcBorders>
            <w:shd w:val="clear" w:color="auto" w:fill="CCEEFF"/>
          </w:tcPr>
          <w:p>
            <w:pPr>
              <w:jc w:val="right"/>
              <w:ind w:right="98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254"/>
              <w:spacing w:after="0"/>
              <w:rPr>
                <w:sz w:val="20"/>
                <w:szCs w:val="20"/>
                <w:color w:val="auto"/>
              </w:rPr>
            </w:pPr>
            <w:r>
              <w:rPr>
                <w:rFonts w:ascii="Arial" w:cs="Arial" w:eastAsia="Arial" w:hAnsi="Arial"/>
                <w:sz w:val="18"/>
                <w:szCs w:val="18"/>
                <w:color w:val="auto"/>
              </w:rPr>
              <w:t>4,745</w:t>
            </w:r>
          </w:p>
        </w:tc>
        <w:tc>
          <w:tcPr>
            <w:tcW w:w="1260" w:type="dxa"/>
            <w:vAlign w:val="bottom"/>
            <w:tcBorders>
              <w:bottom w:val="single" w:sz="8" w:color="CCEEFF"/>
            </w:tcBorders>
            <w:shd w:val="clear" w:color="auto" w:fill="CCEEFF"/>
          </w:tcPr>
          <w:p>
            <w:pPr>
              <w:jc w:val="right"/>
              <w:ind w:right="959"/>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8"/>
              </w:rPr>
              <w:t>14,995</w:t>
            </w:r>
          </w:p>
        </w:tc>
      </w:tr>
      <w:tr>
        <w:trPr>
          <w:trHeight w:val="243"/>
        </w:trPr>
        <w:tc>
          <w:tcPr>
            <w:tcW w:w="73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180" w:type="dxa"/>
            <w:vAlign w:val="bottom"/>
          </w:tcPr>
          <w:p>
            <w:pPr>
              <w:spacing w:after="0"/>
              <w:rPr>
                <w:sz w:val="21"/>
                <w:szCs w:val="21"/>
                <w:color w:val="auto"/>
              </w:rPr>
            </w:pPr>
          </w:p>
        </w:tc>
        <w:tc>
          <w:tcPr>
            <w:tcW w:w="880" w:type="dxa"/>
            <w:vAlign w:val="bottom"/>
          </w:tcPr>
          <w:p>
            <w:pPr>
              <w:jc w:val="right"/>
              <w:ind w:right="194"/>
              <w:spacing w:after="0"/>
              <w:rPr>
                <w:sz w:val="20"/>
                <w:szCs w:val="20"/>
                <w:color w:val="auto"/>
              </w:rPr>
            </w:pPr>
            <w:r>
              <w:rPr>
                <w:rFonts w:ascii="Arial" w:cs="Arial" w:eastAsia="Arial" w:hAnsi="Arial"/>
                <w:sz w:val="18"/>
                <w:szCs w:val="18"/>
                <w:color w:val="auto"/>
              </w:rPr>
              <w:t>(1,649)</w:t>
            </w:r>
          </w:p>
        </w:tc>
        <w:tc>
          <w:tcPr>
            <w:tcW w:w="126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1,576</w:t>
            </w:r>
          </w:p>
        </w:tc>
      </w:tr>
      <w:tr>
        <w:trPr>
          <w:trHeight w:val="27"/>
        </w:trPr>
        <w:tc>
          <w:tcPr>
            <w:tcW w:w="7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43"/>
        </w:trPr>
        <w:tc>
          <w:tcPr>
            <w:tcW w:w="7360" w:type="dxa"/>
            <w:vAlign w:val="bottom"/>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118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(34.8)%</w:t>
            </w:r>
          </w:p>
        </w:tc>
        <w:tc>
          <w:tcPr>
            <w:tcW w:w="126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r>
      <w:tr>
        <w:trPr>
          <w:trHeight w:val="27"/>
        </w:trPr>
        <w:tc>
          <w:tcPr>
            <w:tcW w:w="7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effective income tax rates for the three months ended March 31, 2017 and 2016 were (34.8)% and 10.5%, respectively. For the three months ended March 31, 2017, the primary drivers of the lower tax rate are lower income before income taxes compared to the same period in 2016 and $0.9 million additional excess tax benefits from stock-based compensation</w:t>
      </w:r>
      <w:r>
        <w:rPr>
          <w:rFonts w:ascii="Arial" w:cs="Arial" w:eastAsia="Arial" w:hAnsi="Arial"/>
          <w:sz w:val="18"/>
          <w:szCs w:val="18"/>
          <w:i w:val="1"/>
          <w:iCs w:val="1"/>
          <w:color w:val="auto"/>
        </w:rPr>
        <w:t>.</w:t>
      </w:r>
      <w:r>
        <w:rPr>
          <w:rFonts w:ascii="Arial" w:cs="Arial" w:eastAsia="Arial" w:hAnsi="Arial"/>
          <w:sz w:val="18"/>
          <w:szCs w:val="18"/>
          <w:color w:val="auto"/>
        </w:rPr>
        <w:t xml:space="preserve"> The tax rate for the three months ended March 31, 2016 included a benefit of $0.3 million related to the release of uncertain tax positions</w:t>
      </w:r>
      <w:r>
        <w:rPr>
          <w:rFonts w:ascii="Arial" w:cs="Arial" w:eastAsia="Arial" w:hAnsi="Arial"/>
          <w:sz w:val="18"/>
          <w:szCs w:val="18"/>
          <w:i w:val="1"/>
          <w:iCs w:val="1"/>
          <w:color w:val="auto"/>
        </w:rPr>
        <w: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expects its effective income tax rate for the full year to be approximately 11.1%, resulting largely from excess tax benefits from stock-based compensation</w:t>
      </w:r>
      <w:r>
        <w:rPr>
          <w:rFonts w:ascii="Arial" w:cs="Arial" w:eastAsia="Arial" w:hAnsi="Arial"/>
          <w:sz w:val="18"/>
          <w:szCs w:val="18"/>
          <w:i w:val="1"/>
          <w:iCs w:val="1"/>
          <w:color w:val="auto"/>
        </w:rPr>
        <w:t>,</w:t>
      </w:r>
      <w:r>
        <w:rPr>
          <w:rFonts w:ascii="Arial" w:cs="Arial" w:eastAsia="Arial" w:hAnsi="Arial"/>
          <w:sz w:val="18"/>
          <w:szCs w:val="18"/>
          <w:color w:val="auto"/>
        </w:rPr>
        <w:t xml:space="preserve"> Federal research credit benefits and the jurisdictional mix of pretax income in U.S.-based operations relative to foreign operations. This estimate could be revised in the future as additional information is presented to the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effective tax rate may vary from period to period depending on, among other factors, the geographic and business mix of taxable earnings and losses, tax planning and settlements with various taxing authorities. We consider these factors and others, including our history of generating taxable earnings, in assessing our ability to realize tax assets on a quarterly basis.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While it is often difficult to predict the final outcome or the timing of resolution of any particular matter with the various Federal, state, and foreign tax authorities, we believe that our reserves reflect the most probable outcome of known tax contingencies. Settlement of any particular issue would usually require the use of cash. Favorable resolution would be recognized as a reduction to our annual effective tax rate in the year of resolution. The tax reserves are presented in the balance sheet within other liabilities, except for amounts relating to items that we expect to pay in the coming year, which would be classified as current income taxes payable.</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March 29, 2017, the United Kingdom ("UK") provided formal notice of its intention to leave the European Union ("EU"). This notice begins the two-year negotiation process for the UK’s exit. Existing tax exemptions and tax relief between the UK and EU member states will most likely cease. The Company has entities domiciled in the UK and conducts transactions with entities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within the EU. New tax legislation or renegotiated exemptions and tax relief may result in additional tax liabilities. The Company will monitor the ongoing negotiations and will assess the impact on its tax expense.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PRODUCT REVENUES AND OPERATIONS</w:t>
      </w:r>
    </w:p>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We attribute revenues to geographic areas based on the location of the customer. Total revenue by major geographic area consisted of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0" w:type="dxa"/>
            <w:vAlign w:val="bottom"/>
            <w:tcBorders>
              <w:bottom w:val="single" w:sz="8" w:color="auto"/>
            </w:tcBorders>
            <w:gridSpan w:val="4"/>
          </w:tcPr>
          <w:p>
            <w:pPr>
              <w:jc w:val="right"/>
              <w:ind w:right="214"/>
              <w:spacing w:after="0"/>
              <w:rPr>
                <w:sz w:val="20"/>
                <w:szCs w:val="20"/>
                <w:color w:val="auto"/>
              </w:rPr>
            </w:pPr>
            <w:r>
              <w:rPr>
                <w:rFonts w:ascii="Arial" w:cs="Arial" w:eastAsia="Arial" w:hAnsi="Arial"/>
                <w:sz w:val="14"/>
                <w:szCs w:val="14"/>
                <w:b w:val="1"/>
                <w:bCs w:val="1"/>
                <w:color w:val="auto"/>
              </w:rPr>
              <w:t>Three Months Ended March 31,</w:t>
            </w:r>
          </w:p>
        </w:tc>
      </w:tr>
      <w:tr>
        <w:trPr>
          <w:trHeight w:val="264"/>
        </w:trPr>
        <w:tc>
          <w:tcPr>
            <w:tcW w:w="88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196"/>
        </w:trPr>
        <w:tc>
          <w:tcPr>
            <w:tcW w:w="8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20" w:type="dxa"/>
            <w:vAlign w:val="bottom"/>
          </w:tcPr>
          <w:p>
            <w:pPr>
              <w:spacing w:after="0"/>
              <w:rPr>
                <w:sz w:val="17"/>
                <w:szCs w:val="17"/>
                <w:color w:val="auto"/>
              </w:rPr>
            </w:pPr>
          </w:p>
        </w:tc>
      </w:tr>
      <w:tr>
        <w:trPr>
          <w:trHeight w:val="256"/>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201,096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181,232</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28,816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29,442</w:t>
            </w:r>
          </w:p>
        </w:tc>
      </w:tr>
      <w:tr>
        <w:trPr>
          <w:trHeight w:val="27"/>
        </w:trPr>
        <w:tc>
          <w:tcPr>
            <w:tcW w:w="8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28,724</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26,096</w:t>
            </w:r>
          </w:p>
        </w:tc>
      </w:tr>
      <w:tr>
        <w:trPr>
          <w:trHeight w:val="237"/>
        </w:trPr>
        <w:tc>
          <w:tcPr>
            <w:tcW w:w="880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258,636</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236,770</w:t>
            </w:r>
          </w:p>
        </w:tc>
      </w:tr>
      <w:tr>
        <w:trPr>
          <w:trHeight w:val="27"/>
        </w:trPr>
        <w:tc>
          <w:tcPr>
            <w:tcW w:w="8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0"/>
        </w:trPr>
        <w:tc>
          <w:tcPr>
            <w:tcW w:w="8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generate significant revenues outside the United States, a portion of which are U.S. dollar-denominated transactions conducted with customers who generate revenue in currencies other than the U.S. dollar. As a result, currency fluctuations between the U.S. dollar and the currencies in which those customers do business could have an impact on the demand for our products in foreign countries. Local economic conditions, regulatory compliance or political considerations, the effectiveness of our sales representatives and distributors, local competition and changes in local medical practice all may combine to affect our sales into markets outside the United States.</w:t>
      </w:r>
    </w:p>
    <w:p>
      <w:pPr>
        <w:spacing w:after="0" w:line="5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Domestic revenues increased to $201.1 million, or 77.8% of total revenues, for the three months ended March 31, 2017 from $181.2 million, or 76.5% of total revenues, for the three months ended March 31, 2016. International revenues increased to $57.5 million from $55.5 million in the prior-year period, an increase of 3.6%. Foreign exchange fluctuations had a positive impact of $0.3 million on revenues for the three months ended March 31, 2017 compared to the same period in 2016.</w:t>
      </w: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Marketable Securities</w:t>
      </w:r>
    </w:p>
    <w:p>
      <w:pPr>
        <w:spacing w:after="0" w:line="9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had cash and cash equivalents totaling approximately $124.1 million and $102.1 million at March 31, 2017 and December 31, 2016, respectively, which are valued based on Level 1 measurements in the fair value hierarchy. At March 31, 2017, our non-U.S. subsidiaries held approximately $93.7 million of cash and cash equivalents that are available for use by our operations outside the United States. If cash and cash equivalents held by our non-U.S. subsidiaries were repatriated to the United States, or used for operations, certain amounts could be subject to tax in the United States for the incremental amount in excess of the foreign tax paid.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00" w:type="dxa"/>
            <w:vAlign w:val="bottom"/>
          </w:tcPr>
          <w:p>
            <w:pPr>
              <w:spacing w:after="0"/>
              <w:rPr>
                <w:sz w:val="16"/>
                <w:szCs w:val="16"/>
                <w:color w:val="auto"/>
              </w:rPr>
            </w:pPr>
          </w:p>
        </w:tc>
        <w:tc>
          <w:tcPr>
            <w:tcW w:w="3040" w:type="dxa"/>
            <w:vAlign w:val="bottom"/>
            <w:tcBorders>
              <w:bottom w:val="single" w:sz="8" w:color="auto"/>
            </w:tcBorders>
            <w:gridSpan w:val="3"/>
          </w:tcPr>
          <w:p>
            <w:pPr>
              <w:jc w:val="center"/>
              <w:ind w:left="622"/>
              <w:spacing w:after="0"/>
              <w:rPr>
                <w:sz w:val="20"/>
                <w:szCs w:val="20"/>
                <w:color w:val="auto"/>
              </w:rPr>
            </w:pPr>
            <w:r>
              <w:rPr>
                <w:rFonts w:ascii="Arial" w:cs="Arial" w:eastAsia="Arial" w:hAnsi="Arial"/>
                <w:sz w:val="14"/>
                <w:szCs w:val="14"/>
                <w:b w:val="1"/>
                <w:bCs w:val="1"/>
                <w:color w:val="auto"/>
                <w:w w:val="95"/>
              </w:rPr>
              <w:t>Three Months Ended March 31,</w:t>
            </w:r>
          </w:p>
        </w:tc>
        <w:tc>
          <w:tcPr>
            <w:tcW w:w="680" w:type="dxa"/>
            <w:vAlign w:val="bottom"/>
            <w:tcBorders>
              <w:bottom w:val="single" w:sz="8" w:color="auto"/>
            </w:tcBorders>
          </w:tcPr>
          <w:p>
            <w:pPr>
              <w:spacing w:after="0"/>
              <w:rPr>
                <w:sz w:val="16"/>
                <w:szCs w:val="16"/>
                <w:color w:val="auto"/>
              </w:rPr>
            </w:pPr>
          </w:p>
        </w:tc>
      </w:tr>
      <w:tr>
        <w:trPr>
          <w:trHeight w:val="264"/>
        </w:trPr>
        <w:tc>
          <w:tcPr>
            <w:tcW w:w="7600" w:type="dxa"/>
            <w:vAlign w:val="bottom"/>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8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80" w:type="dxa"/>
            <w:vAlign w:val="bottom"/>
            <w:tcBorders>
              <w:bottom w:val="single" w:sz="8" w:color="auto"/>
            </w:tcBorders>
          </w:tcPr>
          <w:p>
            <w:pPr>
              <w:spacing w:after="0"/>
              <w:rPr>
                <w:sz w:val="22"/>
                <w:szCs w:val="22"/>
                <w:color w:val="auto"/>
              </w:rPr>
            </w:pPr>
          </w:p>
        </w:tc>
      </w:tr>
      <w:tr>
        <w:trPr>
          <w:trHeight w:val="196"/>
        </w:trPr>
        <w:tc>
          <w:tcPr>
            <w:tcW w:w="76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8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3"/>
              </w:rPr>
              <w:t>(In thousands)</w:t>
            </w:r>
          </w:p>
        </w:tc>
        <w:tc>
          <w:tcPr>
            <w:tcW w:w="680" w:type="dxa"/>
            <w:vAlign w:val="bottom"/>
          </w:tcPr>
          <w:p>
            <w:pPr>
              <w:spacing w:after="0"/>
              <w:rPr>
                <w:sz w:val="17"/>
                <w:szCs w:val="17"/>
                <w:color w:val="auto"/>
              </w:rPr>
            </w:pPr>
          </w:p>
        </w:tc>
      </w:tr>
      <w:tr>
        <w:trPr>
          <w:trHeight w:val="256"/>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060" w:type="dxa"/>
            <w:vAlign w:val="bottom"/>
            <w:tcBorders>
              <w:bottom w:val="single" w:sz="8" w:color="CCEEFF"/>
            </w:tcBorders>
            <w:shd w:val="clear" w:color="auto" w:fill="CCEEFF"/>
          </w:tcPr>
          <w:p>
            <w:pPr>
              <w:jc w:val="right"/>
              <w:ind w:right="86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28,882</w:t>
            </w:r>
          </w:p>
        </w:tc>
        <w:tc>
          <w:tcPr>
            <w:tcW w:w="1180" w:type="dxa"/>
            <w:vAlign w:val="bottom"/>
            <w:tcBorders>
              <w:bottom w:val="single" w:sz="8" w:color="CCEEFF"/>
            </w:tcBorders>
            <w:shd w:val="clear" w:color="auto" w:fill="CCEEFF"/>
          </w:tcPr>
          <w:p>
            <w:pPr>
              <w:jc w:val="right"/>
              <w:ind w:right="919"/>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25,030</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060" w:type="dxa"/>
            <w:vAlign w:val="bottom"/>
          </w:tcPr>
          <w:p>
            <w:pPr>
              <w:spacing w:after="0"/>
              <w:rPr>
                <w:sz w:val="21"/>
                <w:szCs w:val="21"/>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w w:val="88"/>
              </w:rPr>
              <w:t>(193,143)</w:t>
            </w:r>
          </w:p>
        </w:tc>
        <w:tc>
          <w:tcPr>
            <w:tcW w:w="1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(6,730)</w:t>
            </w:r>
          </w:p>
        </w:tc>
      </w:tr>
      <w:tr>
        <w:trPr>
          <w:trHeight w:val="27"/>
        </w:trPr>
        <w:tc>
          <w:tcPr>
            <w:tcW w:w="76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7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0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5"/>
              </w:rPr>
              <w:t>185,039</w:t>
            </w:r>
          </w:p>
        </w:tc>
        <w:tc>
          <w:tcPr>
            <w:tcW w:w="1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9,952</w:t>
            </w:r>
          </w:p>
        </w:tc>
      </w:tr>
      <w:tr>
        <w:trPr>
          <w:trHeight w:val="243"/>
        </w:trPr>
        <w:tc>
          <w:tcPr>
            <w:tcW w:w="7600" w:type="dxa"/>
            <w:vAlign w:val="bottom"/>
          </w:tcPr>
          <w:p>
            <w:pPr>
              <w:ind w:left="40"/>
              <w:spacing w:after="0"/>
              <w:rPr>
                <w:sz w:val="20"/>
                <w:szCs w:val="20"/>
                <w:color w:val="auto"/>
              </w:rPr>
            </w:pPr>
            <w:r>
              <w:rPr>
                <w:rFonts w:ascii="Arial" w:cs="Arial" w:eastAsia="Arial" w:hAnsi="Arial"/>
                <w:sz w:val="18"/>
                <w:szCs w:val="18"/>
                <w:color w:val="auto"/>
              </w:rPr>
              <w:t>Effect of exchange rate fluctuations on cash</w:t>
            </w:r>
          </w:p>
        </w:tc>
        <w:tc>
          <w:tcPr>
            <w:tcW w:w="1060" w:type="dxa"/>
            <w:vAlign w:val="bottom"/>
          </w:tcPr>
          <w:p>
            <w:pPr>
              <w:spacing w:after="0"/>
              <w:rPr>
                <w:sz w:val="21"/>
                <w:szCs w:val="21"/>
                <w:color w:val="auto"/>
              </w:rPr>
            </w:pP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1,280</w:t>
            </w:r>
          </w:p>
        </w:tc>
        <w:tc>
          <w:tcPr>
            <w:tcW w:w="1180" w:type="dxa"/>
            <w:vAlign w:val="bottom"/>
          </w:tcPr>
          <w:p>
            <w:pPr>
              <w:spacing w:after="0"/>
              <w:rPr>
                <w:sz w:val="21"/>
                <w:szCs w:val="21"/>
                <w:color w:val="auto"/>
              </w:rPr>
            </w:pPr>
          </w:p>
        </w:tc>
        <w:tc>
          <w:tcPr>
            <w:tcW w:w="680" w:type="dxa"/>
            <w:vAlign w:val="bottom"/>
          </w:tcPr>
          <w:p>
            <w:pPr>
              <w:jc w:val="right"/>
              <w:ind w:right="10"/>
              <w:spacing w:after="0"/>
              <w:rPr>
                <w:sz w:val="20"/>
                <w:szCs w:val="20"/>
                <w:color w:val="auto"/>
              </w:rPr>
            </w:pPr>
            <w:r>
              <w:rPr>
                <w:rFonts w:ascii="Arial" w:cs="Arial" w:eastAsia="Arial" w:hAnsi="Arial"/>
                <w:sz w:val="18"/>
                <w:szCs w:val="18"/>
                <w:color w:val="auto"/>
              </w:rPr>
              <w:t>702</w:t>
            </w:r>
          </w:p>
        </w:tc>
      </w:tr>
    </w:tbl>
    <w:p>
      <w:pPr>
        <w:spacing w:after="0" w:line="31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2017, we anticipate that our principal uses of cash will include approximately $50.0 to $55.0 million of capital expenditures primarily for support and maintenance in our existing plants, facility automation, our enterprise resource planning system implementation, and additions to our instrument kits used in sales of orthopedic products. We also expect to spend approximately $1.0 billion to complete the acquisition of the Codman Neurosurgery Business, which is expected to be completed in the fourth quarter of 2017. The Company will fund the acquisition through the Term Loan A-1 and revolving credit components of our Senior Credit Facility.</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Operating Activities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We generated operating cash flows of $28.9 million and $25.0 million for the three months ended March 31, 2017 and 2016, respectively.</w:t>
      </w:r>
    </w:p>
    <w:p>
      <w:pPr>
        <w:spacing w:after="0" w:line="9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Operating cash flows for the three months ended March 31, 2017 increased compared to the same period in 2016. Net income decreased compared to the same period of the prior year. Changes in non-cash adjustments included in net income increased cash flows for the three months ended March 31, 2017 by approximately $1.8 million compared to the same period in 2016, which resulted primarily from the increase in depreciation and amortization and share-based compensation expenses, offset by non-cash interest expense from convertible debt, which was settled in December 2016. Changes in working capital increased cash flows for the three months ended March 31, 2017 by approximately $2.4 million. Among the changes in working capital, accounts receivable used $0.6 million of cash, inventory used $5.2 million of cash, prepaid expenses and other current assets used $2.0 million of cash and accounts payable, and accrued expenses and other current liabilities provided $8.9 million of cash. Increases in accounts receivables and inventories are consistent with the increase in revenue.</w:t>
      </w:r>
    </w:p>
    <w:p>
      <w:pPr>
        <w:spacing w:after="0" w:line="5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Operating cash flow for the three months ended March 31, 2016 decreased compared to the same period in 2015. Net income was consistent compared to the same period of the prior year. Changes in working capital decreased cash flows by approximately $11.7 million. Among the changes in working capital, accounts receivable used $18.4 million of cash, inventory used $8.1 million of cash, prepaid expenses and other current assets provided $1.3 million of cash and accounts payable, accrued expenses and other current liabilities provided $12.1 million of cash.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Used in Investing Activities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three months ended March 31, 2017, we paid $9.2 million for capital expenditures, most of which were directed to our global enterprise system implementation and commercial expansion. We also used $193.9 million for the acquisition of Derma Sciences, net of cash acquired. We received $10.0 million from sale of short-term investments acquired from Derma Sciences.</w:t>
      </w:r>
    </w:p>
    <w:p>
      <w:pPr>
        <w:spacing w:after="0" w:line="4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three months ended March 31, 2016, we paid $10.9 million for capital expenditures, most of it was directed to our global enterprise system implementation and commercial expansion. We also released $4.2 million from a restricted cash account that supported our European cash pool activities.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Provided by Financing Activities</w:t>
      </w:r>
    </w:p>
    <w:p>
      <w:pPr>
        <w:spacing w:after="0" w:line="21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 of cash from financing activities in the three months ended March 31, 2017 was a $210.0 million borrowing under our Senior Credit Facility used to acquire Derma Sciences and proceeds that we received from the exercise of stock option of $1.2 million offset by repayments of $20.0 million on the revolving portion of our Senior Credit Facility and $6.1 million cash taxes paid in net equity settlement.</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principal source of cash from financing activities in the three months ended March 31, 2016 was a $15.0 million borrowing under our Senior Credit Facility for general operating purposes and proceeds that we received from stock option exercises of $1.0 million offset by repayments of $1.9 million on the revolving portion of our Senior Credit Facility and $4.1 million cash taxes paid in net equity settlement.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Debt Maturities</w:t>
      </w:r>
    </w:p>
    <w:p>
      <w:pPr>
        <w:spacing w:after="0" w:line="25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first installment of the Company's Term Loan A component of its Senior Credit Facility of $6.3 million is due on March 31, 2018, which is recorded as current liabilities in the Company's consolidated balance sheets. There are no other upcoming debt maturities in the next twelve months.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Senior Credit Agreement, Convertible Debt and Related Hedging Activities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5 </w:t>
      </w:r>
      <w:r>
        <w:rPr>
          <w:rFonts w:ascii="Arial" w:cs="Arial" w:eastAsia="Arial" w:hAnsi="Arial"/>
          <w:sz w:val="18"/>
          <w:szCs w:val="18"/>
          <w:i w:val="1"/>
          <w:iCs w:val="1"/>
          <w:color w:val="auto"/>
        </w:rPr>
        <w:t>- Debt</w:t>
      </w:r>
      <w:r>
        <w:rPr>
          <w:rFonts w:ascii="Arial" w:cs="Arial" w:eastAsia="Arial" w:hAnsi="Arial"/>
          <w:sz w:val="18"/>
          <w:szCs w:val="18"/>
          <w:color w:val="auto"/>
        </w:rPr>
        <w:t xml:space="preserve"> to the current period’s condensed consolidated financial statements for a discussion of our (i) amended and restated Senior Credit Agreement, and (ii) convertible debt and related hedging activities.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 Plan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October 25, 2016, our Board of Directors terminated the previous share repurchase authorization dated October 28, 2014, which authorized management to purchase of up to $75.0 million of outstanding common stock prior to the end of 2016, and authorized a new repurchases of up to $150.0 million of outstanding common stock through December 2018. Shares may be repurchased either in the open market or in privately negotiated transactions.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not repurchased any shares of common stock under these authorizations through March 31, 2017.</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94"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have not paid any cash dividends on our common stock since our formation. Our Senior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Resources</w:t>
      </w:r>
    </w:p>
    <w:p>
      <w:pPr>
        <w:spacing w:after="0" w:line="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our cash and available borrowings under the Senior Credit Facility are sufficient to finance our operations and capital expenditures. The Company considers the portion of the Senior Credit Facility payable within the next twelve-month period of $6.3 million as a current liability. The Company considers the remaining outstanding amounts to be long term in nature based on its current intent and ability to repay the borrowings outside of the next twelve-month period.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off-balance sheet arrangements during the three months ended March 31, 2017 that have or are reasonably likely to have, a current or future effect on our financial condition, changes in financial condition, revenues or expenses, results of operations, liquidity, capital expenditures or capital resources that are material to our interests.</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critical accounting estimates included in our Annual Report on Form 10-K for the fiscal year ended December 31, 2016, have not materially changed.</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9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 xml:space="preserve">Information regarding new accounting pronouncements is included in Note 1 </w:t>
      </w:r>
      <w:r>
        <w:rPr>
          <w:rFonts w:ascii="Arial" w:cs="Arial" w:eastAsia="Arial" w:hAnsi="Arial"/>
          <w:sz w:val="18"/>
          <w:szCs w:val="18"/>
          <w:i w:val="1"/>
          <w:iCs w:val="1"/>
          <w:color w:val="auto"/>
        </w:rPr>
        <w:t>- Basis of Presentation</w:t>
      </w:r>
      <w:r>
        <w:rPr>
          <w:rFonts w:ascii="Arial" w:cs="Arial" w:eastAsia="Arial" w:hAnsi="Arial"/>
          <w:sz w:val="18"/>
          <w:szCs w:val="18"/>
          <w:color w:val="auto"/>
        </w:rPr>
        <w:t xml:space="preserve"> to the current period’s condensed consolidated financial statements.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exposed to various market risks, including changes in foreign currency exchange rates and interest rates that could adversely affect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and Other Rate Risks</w:t>
      </w:r>
    </w:p>
    <w:p>
      <w:pPr>
        <w:spacing w:after="0" w:line="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operate on a global basis and are exposed to the risk that changes in foreign currency exchange rates could adversely affect our financial condition, results of operations and cash flows. We are primarily exposed to foreign currency exchange rate risk with respect to transactions and net assets denominated in Euros, British pounds, Swiss francs, Canadian dollars, Japanese yen, Mexican pesos, Brazilian reais, Australian dollars and Chinese yuan. We manage the foreign currency exposure centrally, on a combined basis, which allows us to net exposures and to take advantage of any natural offsets. To mitigate the impact of currency fluctuations on transactions denominated in nonfunctional currencies, we periodically enter into derivative financial instruments in the form of foreign currency exchange forward contracts with major financial institutions. We temporarily record realized and unrealized gains and losses on these contracts that qualify as cash flow hedges in other comprehensive income, and then recognize them in other income or expense when the hedged item affects net earnings.</w:t>
      </w:r>
    </w:p>
    <w:p>
      <w:pPr>
        <w:spacing w:after="0" w:line="1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From time to time, we enter into foreign currency forward exchange contracts with terms of up to 12 months to manage currency exposures for transactions denominated in a currency other than an entity’s functional currency. As a result, the impact of foreign currency gains/losses recognized in earnings are partially offset by gains/losses on the related foreign currency forward exchange contracts in the same reporting period.</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maintain written policies and procedures governing our risk management activities. With respect to cash flow hedges, changes in cash flows attributable to hedged transactions are generally expected to be completely offset by changes in the fair value of hedge instruments. Consequently, foreign currency exchange contracts would not subject us to material risk resulting from exchange rate movements, because gains and losses on these contracts offset gains and losses on the assets, liabilities or transactions being hedged.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operations discussed herein have not been materially affected by inflation.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9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i w:val="1"/>
          <w:iCs w:val="1"/>
          <w:u w:val="single" w:color="auto"/>
          <w:color w:val="auto"/>
        </w:rPr>
        <w:t>Cash and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 We are exposed to the risk of interest rate fluctuations on the interest income earned on our cash and cash equivalents. A</w:t>
      </w:r>
      <w:r>
        <w:rPr>
          <w:rFonts w:ascii="Arial" w:cs="Arial" w:eastAsia="Arial" w:hAnsi="Arial"/>
          <w:sz w:val="18"/>
          <w:szCs w:val="18"/>
          <w:i w:val="1"/>
          <w:iCs w:val="1"/>
          <w:color w:val="auto"/>
        </w:rPr>
        <w:t xml:space="preserve"> </w:t>
      </w:r>
      <w:r>
        <w:rPr>
          <w:rFonts w:ascii="Arial" w:cs="Arial" w:eastAsia="Arial" w:hAnsi="Arial"/>
          <w:sz w:val="18"/>
          <w:szCs w:val="18"/>
          <w:color w:val="auto"/>
        </w:rPr>
        <w:t>hypothetical 100 basis point movement in interest rates applicable to our cash and cash equivalents outstanding at March 31, 2017 would increase interest income by approximately $1.2 million on an annual basis</w:t>
      </w:r>
      <w:r>
        <w:rPr>
          <w:rFonts w:ascii="Arial" w:cs="Arial" w:eastAsia="Arial" w:hAnsi="Arial"/>
          <w:sz w:val="14"/>
          <w:szCs w:val="14"/>
          <w:color w:val="auto"/>
        </w:rPr>
        <w:t>.</w:t>
      </w:r>
      <w:r>
        <w:rPr>
          <w:rFonts w:ascii="Arial" w:cs="Arial" w:eastAsia="Arial" w:hAnsi="Arial"/>
          <w:sz w:val="18"/>
          <w:szCs w:val="18"/>
          <w:color w:val="auto"/>
        </w:rPr>
        <w:t xml:space="preserve"> No significant decrease in interest income would be expected as our cash balances are earning interest at rates of approximately one basis point. We are subject to foreign currency exchange risk with respect to cash balances maintained in foreign currencies.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u w:val="single" w:color="auto"/>
          <w:color w:val="auto"/>
        </w:rPr>
        <w:t>Senior Credit Facility</w:t>
      </w:r>
      <w:r>
        <w:rPr>
          <w:rFonts w:ascii="Arial" w:cs="Arial" w:eastAsia="Arial" w:hAnsi="Arial"/>
          <w:sz w:val="18"/>
          <w:szCs w:val="18"/>
          <w:i w:val="1"/>
          <w:iCs w:val="1"/>
          <w:color w:val="auto"/>
        </w:rPr>
        <w:t xml:space="preserve"> </w:t>
      </w:r>
      <w:r>
        <w:rPr>
          <w:rFonts w:ascii="Arial" w:cs="Arial" w:eastAsia="Arial" w:hAnsi="Arial"/>
          <w:sz w:val="18"/>
          <w:szCs w:val="18"/>
          <w:color w:val="auto"/>
        </w:rPr>
        <w:t>- Our interest rate risk relates primarily to U.S. dollar LIBOR-indexed borrowings. We have used an interest rate derivative instrument</w:t>
      </w:r>
      <w:r>
        <w:rPr>
          <w:rFonts w:ascii="Arial" w:cs="Arial" w:eastAsia="Arial" w:hAnsi="Arial"/>
          <w:sz w:val="18"/>
          <w:szCs w:val="18"/>
          <w:i w:val="1"/>
          <w:iCs w:val="1"/>
          <w:color w:val="auto"/>
        </w:rPr>
        <w:t xml:space="preserve"> </w:t>
      </w:r>
      <w:r>
        <w:rPr>
          <w:rFonts w:ascii="Arial" w:cs="Arial" w:eastAsia="Arial" w:hAnsi="Arial"/>
          <w:sz w:val="18"/>
          <w:szCs w:val="18"/>
          <w:color w:val="auto"/>
        </w:rPr>
        <w:t>to manage our earnings and cash flow exposure to changes in interest rates. This interest rate swap fixes the interest rate on a portion of our expected LIBOR-indexed floating-rate borrowings beginning various dates starting on December 31, 2016.</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Based on our outstanding borrowings at March 31, 2017, a one-percentage point increase in interest rates would affect interest expense on the debt by $4.6 million on an annualized basis. A one-percentage point decrease in interest rates would affect interest expense on the debt by $5.0 million on an annualized basis.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maintain disclosure controls and procedures that are designed to provide reasonable assurance that information required to be disclosed in our Exchange Act report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13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required by Exchange Act Rule 13a-15(b), we have carried out an evaluation, under the supervision and with the participation of our management, including our principal executive officer and principal financial officer, of the effectiveness of the design and operation of our disclosure controls and procedures as of March 31, 2017. Based upon this evaluation, our principal executive officer and principal financial officer concluded that our disclosure controls and procedures were effective as of March 31, 2017 to provide such reasonable assurance.</w:t>
      </w:r>
    </w:p>
    <w:p>
      <w:pPr>
        <w:spacing w:after="0" w:line="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previously disclosed, the Company is in the process of a multi-year implementation of a global enterprise resource planning system. In addition, in response to business integration activities, the Company has and will continue to further align and streamline the design and operation of the financial control environment to be responsive to the changing business model.</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were no changes in our internal control over financial reporting (as defined in Rule 13a-15(f) under the Exchange Act) that occurred during the quarter ended March 31, 2017 that have materially affected, or are reasonably likely to materially affect, our internal control over financial reporting.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Various lawsuits, claims and proceedings are pending or have been settled by us; the most significant of which are described below.</w:t>
      </w:r>
    </w:p>
    <w:p>
      <w:pPr>
        <w:spacing w:after="0" w:line="9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is subject to various claims, lawsuits and proceedings in the ordinary course of the Company's business, including claims by current or former employees, distributors and competitors and with respect to its products and product liability claims, lawsuits and proceedings, some of which have been settled by the Company. In the opinion of management, such claims are either adequately covered by insurance or otherwise indemnified, or are not expected, individually or in the aggregate, to result in a material adverse effect on our financial condition. However, it is possible that the Company's results of operations, financial position and cash flows in a particular period could be materially affected by these contingencies.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TEI</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TEI, acquired by Integra on July 17, 2015, manufactures a bovine-derived surgical mesh product for Boston Scientific Corporation ("BSC”) and has been named as a defendant in lawsuits under a broad range of products liability theories, many of which have not been served on TEI. Currently, there are approximately fifty active cases against TEI. Pursuant to an indemnification agreement with BSC (i) BSC is managing the litigation; (ii) TEI has in place a products liability insurance policy, of which it must exhaust $3.0 million before BSC’s indemnity begins to cover relevant claims (and of which only a small portion has been utilized to date and against which the insurer has reserved the entire $3.0 million). Because the thrust of products liability litigation focuses on synthetic surgical mesh products, counsel is filing motions to dismiss on behalf of TEI in many cases. In addition, Integra has certain protections in the merger agreements with TEI which would indemnify it for approximately $30.0 million for the first fifteen months after closing and between $20.0 and $30.0 million for the remainder of the three-year period after closing for losses relating to a variety of matters, including half of certain products liability claims (including those related to the product it manufactures for BSC) not covered by insurance. As of April 26, 2017, no indemnification payments were received nor owed in relation to the lawsuits for the initial indemnification time period, which covered the first fifteen months after closing.</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accrues for loss contingencies when it is deemed probable that a loss has been incurred and that loss is estimable. The amounts accrued are based on the full amount of the estimated loss before considering insurance proceeds, and do not include an estimate for legal fees expected to be incurred in connection with the loss contingency. The Company consistently accrues legal fees expected to be incurred in connection with loss contingencies as those fees are incurred by outside counsel as a period cost.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Derma Sciences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Purported stockholders of Derma Sciences have filed three class action lawsuits challenging the proposed acquisition of Derma Sciences by Integra and its subsidiary, Integra Derma, Inc. (the “</w:t>
      </w:r>
      <w:r>
        <w:rPr>
          <w:rFonts w:ascii="Arial" w:cs="Arial" w:eastAsia="Arial" w:hAnsi="Arial"/>
          <w:sz w:val="16"/>
          <w:szCs w:val="16"/>
          <w:i w:val="1"/>
          <w:iCs w:val="1"/>
          <w:color w:val="auto"/>
        </w:rPr>
        <w:t>Proposed Acquisition</w:t>
      </w:r>
      <w:r>
        <w:rPr>
          <w:rFonts w:ascii="Arial" w:cs="Arial" w:eastAsia="Arial" w:hAnsi="Arial"/>
          <w:sz w:val="16"/>
          <w:szCs w:val="16"/>
          <w:color w:val="auto"/>
        </w:rPr>
        <w:t xml:space="preserve">”). On January 30 and February 3, 2017, complaints captioned </w:t>
      </w:r>
      <w:r>
        <w:rPr>
          <w:rFonts w:ascii="Arial" w:cs="Arial" w:eastAsia="Arial" w:hAnsi="Arial"/>
          <w:sz w:val="16"/>
          <w:szCs w:val="16"/>
          <w:i w:val="1"/>
          <w:iCs w:val="1"/>
          <w:color w:val="auto"/>
        </w:rPr>
        <w:t>Rabadi v. Derma Sciences, Inc</w:t>
      </w:r>
      <w:r>
        <w:rPr>
          <w:rFonts w:ascii="Arial" w:cs="Arial" w:eastAsia="Arial" w:hAnsi="Arial"/>
          <w:sz w:val="16"/>
          <w:szCs w:val="16"/>
          <w:color w:val="auto"/>
        </w:rPr>
        <w:t xml:space="preserve">., </w:t>
      </w:r>
      <w:r>
        <w:rPr>
          <w:rFonts w:ascii="Arial" w:cs="Arial" w:eastAsia="Arial" w:hAnsi="Arial"/>
          <w:sz w:val="16"/>
          <w:szCs w:val="16"/>
          <w:i w:val="1"/>
          <w:iCs w:val="1"/>
          <w:color w:val="auto"/>
        </w:rPr>
        <w:t>et</w:t>
      </w:r>
      <w:r>
        <w:rPr>
          <w:rFonts w:ascii="Arial" w:cs="Arial" w:eastAsia="Arial" w:hAnsi="Arial"/>
          <w:sz w:val="16"/>
          <w:szCs w:val="16"/>
          <w:color w:val="auto"/>
        </w:rPr>
        <w:t xml:space="preserve"> </w:t>
      </w:r>
      <w:r>
        <w:rPr>
          <w:rFonts w:ascii="Arial" w:cs="Arial" w:eastAsia="Arial" w:hAnsi="Arial"/>
          <w:sz w:val="16"/>
          <w:szCs w:val="16"/>
          <w:i w:val="1"/>
          <w:iCs w:val="1"/>
          <w:color w:val="auto"/>
        </w:rPr>
        <w:t>al</w:t>
      </w:r>
      <w:r>
        <w:rPr>
          <w:rFonts w:ascii="Arial" w:cs="Arial" w:eastAsia="Arial" w:hAnsi="Arial"/>
          <w:sz w:val="16"/>
          <w:szCs w:val="16"/>
          <w:color w:val="auto"/>
        </w:rPr>
        <w:t>., Case No. 3:17-cv-00628 (the “</w:t>
      </w:r>
      <w:r>
        <w:rPr>
          <w:rFonts w:ascii="Arial" w:cs="Arial" w:eastAsia="Arial" w:hAnsi="Arial"/>
          <w:sz w:val="16"/>
          <w:szCs w:val="16"/>
          <w:i w:val="1"/>
          <w:iCs w:val="1"/>
          <w:color w:val="auto"/>
        </w:rPr>
        <w:t>Rabadi Complaint</w:t>
      </w:r>
      <w:r>
        <w:rPr>
          <w:rFonts w:ascii="Arial" w:cs="Arial" w:eastAsia="Arial" w:hAnsi="Arial"/>
          <w:sz w:val="16"/>
          <w:szCs w:val="16"/>
          <w:color w:val="auto"/>
        </w:rPr>
        <w:t>”) and</w:t>
      </w:r>
      <w:r>
        <w:rPr>
          <w:rFonts w:ascii="Arial" w:cs="Arial" w:eastAsia="Arial" w:hAnsi="Arial"/>
          <w:sz w:val="16"/>
          <w:szCs w:val="16"/>
          <w:i w:val="1"/>
          <w:iCs w:val="1"/>
          <w:color w:val="auto"/>
        </w:rPr>
        <w:t xml:space="preserve"> Klingel v. Derma Sciences, Inc., et al</w:t>
      </w:r>
      <w:r>
        <w:rPr>
          <w:rFonts w:ascii="Arial" w:cs="Arial" w:eastAsia="Arial" w:hAnsi="Arial"/>
          <w:sz w:val="16"/>
          <w:szCs w:val="16"/>
          <w:color w:val="auto"/>
        </w:rPr>
        <w:t>., Case No. 3:17-cv-00738, were filed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District of New Jersey against Derma Sciences, each member of its board of directors (the “</w:t>
      </w:r>
      <w:r>
        <w:rPr>
          <w:rFonts w:ascii="Arial" w:cs="Arial" w:eastAsia="Arial" w:hAnsi="Arial"/>
          <w:sz w:val="16"/>
          <w:szCs w:val="16"/>
          <w:i w:val="1"/>
          <w:iCs w:val="1"/>
          <w:color w:val="auto"/>
        </w:rPr>
        <w:t>Derma Sciences Board</w:t>
      </w:r>
      <w:r>
        <w:rPr>
          <w:rFonts w:ascii="Arial" w:cs="Arial" w:eastAsia="Arial" w:hAnsi="Arial"/>
          <w:sz w:val="16"/>
          <w:szCs w:val="16"/>
          <w:color w:val="auto"/>
        </w:rPr>
        <w:t xml:space="preserve">”), Integra, and Integra Derma, Inc. On January 31, 2017, a complaint captioned </w:t>
      </w:r>
      <w:r>
        <w:rPr>
          <w:rFonts w:ascii="Arial" w:cs="Arial" w:eastAsia="Arial" w:hAnsi="Arial"/>
          <w:sz w:val="16"/>
          <w:szCs w:val="16"/>
          <w:i w:val="1"/>
          <w:iCs w:val="1"/>
          <w:color w:val="auto"/>
        </w:rPr>
        <w:t>Parshall v. Derma Sciences, Inc</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Case No. 2017-0074 (the “</w:t>
      </w:r>
      <w:r>
        <w:rPr>
          <w:rFonts w:ascii="Arial" w:cs="Arial" w:eastAsia="Arial" w:hAnsi="Arial"/>
          <w:sz w:val="16"/>
          <w:szCs w:val="16"/>
          <w:i w:val="1"/>
          <w:iCs w:val="1"/>
          <w:color w:val="auto"/>
        </w:rPr>
        <w:t>Parshall Complaint</w:t>
      </w:r>
      <w:r>
        <w:rPr>
          <w:rFonts w:ascii="Arial" w:cs="Arial" w:eastAsia="Arial" w:hAnsi="Arial"/>
          <w:sz w:val="16"/>
          <w:szCs w:val="16"/>
          <w:color w:val="auto"/>
        </w:rPr>
        <w:t>”), was filed in the Court of Chancery of the State of Delaware against Derma Sciences, each member of the Derma Sciences Board, Integra, and Integra Derma, Inc. The complaints seek certification of a class action on behalf of all Derma Sciences’ public stockholders. Each complaint alleges, among other things, that the process leading up to the Proposed Acquisition, including Integra’s offer to purchase the outstanding shares of Derma Sciences, was inadequate, and that the Schedule 14D-9 filed by Derma Sciences on January 25, 2017 omits certain material information, which each complaint alleges renders the information disclosed materially misleading. The Rabadi Complaint and the Parshall Complaint also allege that the members of the Derma Sciences Board breached their fiduciary duties with respect to the Proposed Acquisition, and that Integra, Integra Derma, Inc. and Derma Sciences aided and abetted those alleged breaches of fiduciary duties. Each complaint seeks, among other things, to rescind the Proposed Acquisition or recover money damages in the event the Proposed Acquisition is consummated. While the complaints also sought to enjoin the Proposed Acquisition, on February 9, 2017, plaintiffs agreed to not pursue preliminary injunctive relief in return for Derma Sciences making certain additional disclosures. Integra and Integra Derma, Inc. believe that the complaints are wholly without merit and intend to vigorously defend against these lawsuits. The underlying cases were dismissed by Plaintiffs and the parties settled on $225,000 for fees to be paid to Plaintiffs’ attorneys for all three cases. Plaintiffs will determine how the $225,000 is split.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BioD</w:t>
      </w:r>
    </w:p>
    <w:p>
      <w:pPr>
        <w:spacing w:after="0" w:line="32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On April 7, 2017, the Company's indirect wholly-owned subsidiary, BioD filed an action in the Superior Court of New Jersey, Chancery Division, Middlesex County seeking a declaration that the resignation of Russell Olsen, the former CEO of BioD, was “for Good Reason” (as defined in Olsen’s employment agreement); a finding that Olsen breached the implied covenant of good faith and fair dealing, committed legal fraud, equitable fraud and negligent misrepresentation; and an award of damages for such actions, including a return of severance fees paid to Olsen. BioD was acquired in August 2016 by Derma Sciences, which Integra subsequently acquired in February 2017. After receiving a job offer from Integra that Olsen believed materially diminished his title and authority, on February 24, 2017 Olsen indicated his intention to terminate his position with BioD for Good Reason, as otherwise permitted by his employment agreement with BioD. Shortly thereafter, Cynthia Weatherly (as representative of the former equity owners of BioD) claimed in a letter to Derma Sciences that Olsen’s resignation was a “termination Without Cause” (as also defined in Olsen’s employment agreement), which would arguably trigger an acceleration of the earn out under a merger agreement between Derma Sciences, BioD and other parties (the "BioD Merger Agreement"), which was entered into in July 2016, and require as a result of the acceleration the payment of $26.5 million by BioD. As previously disclosed and described in </w:t>
      </w:r>
      <w:r>
        <w:rPr>
          <w:rFonts w:ascii="Arial" w:cs="Arial" w:eastAsia="Arial" w:hAnsi="Arial"/>
          <w:sz w:val="16"/>
          <w:szCs w:val="16"/>
          <w:i w:val="1"/>
          <w:iCs w:val="1"/>
          <w:color w:val="auto"/>
        </w:rPr>
        <w:t>Note 2 - Business</w:t>
      </w:r>
      <w:r>
        <w:rPr>
          <w:rFonts w:ascii="Arial" w:cs="Arial" w:eastAsia="Arial" w:hAnsi="Arial"/>
          <w:sz w:val="16"/>
          <w:szCs w:val="16"/>
          <w:color w:val="auto"/>
        </w:rPr>
        <w:t xml:space="preserve"> </w:t>
      </w:r>
      <w:r>
        <w:rPr>
          <w:rFonts w:ascii="Arial" w:cs="Arial" w:eastAsia="Arial" w:hAnsi="Arial"/>
          <w:sz w:val="16"/>
          <w:szCs w:val="16"/>
          <w:i w:val="1"/>
          <w:iCs w:val="1"/>
          <w:color w:val="auto"/>
        </w:rPr>
        <w:t>Acquisition</w:t>
      </w:r>
      <w:r>
        <w:rPr>
          <w:rFonts w:ascii="Arial" w:cs="Arial" w:eastAsia="Arial" w:hAnsi="Arial"/>
          <w:sz w:val="16"/>
          <w:szCs w:val="16"/>
          <w:color w:val="auto"/>
        </w:rPr>
        <w:t>, to the Company's consolidated financial statements for the three months ended March 31, 2017, Integra</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25"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assumed this contingent liability in connection with its acquisition of Derma Sciences. The action for a declaratory judgment was filed to clarify that Olsen’s termination was for Good Reason and not Without Cause. If the employment agreement was terminated for Good Reason, then the Company believes that the earn out provision under the BioD Merger Agreement should not be accelerated.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Risk Factors included in our Annual Report on Form 10-K for the fiscal year ended December 31, 2016 have not materially changed except the following:</w:t>
      </w:r>
    </w:p>
    <w:p>
      <w:pPr>
        <w:spacing w:after="0" w:line="170" w:lineRule="exact"/>
        <w:rPr>
          <w:sz w:val="20"/>
          <w:szCs w:val="20"/>
          <w:color w:val="auto"/>
        </w:rPr>
      </w:pPr>
    </w:p>
    <w:p>
      <w:pPr>
        <w:ind w:left="180" w:right="20"/>
        <w:spacing w:after="0" w:line="277" w:lineRule="auto"/>
        <w:rPr>
          <w:sz w:val="20"/>
          <w:szCs w:val="20"/>
          <w:color w:val="auto"/>
        </w:rPr>
      </w:pPr>
      <w:r>
        <w:rPr>
          <w:rFonts w:ascii="Arial" w:cs="Arial" w:eastAsia="Arial" w:hAnsi="Arial"/>
          <w:sz w:val="18"/>
          <w:szCs w:val="18"/>
          <w:b w:val="1"/>
          <w:bCs w:val="1"/>
          <w:i w:val="1"/>
          <w:iCs w:val="1"/>
          <w:color w:val="auto"/>
        </w:rPr>
        <w:t>Our current strategy involves growth through acquisitions, which requires us to incur substantial costs and potential liabilities for which we may never realize the anticipated benefits.</w:t>
      </w:r>
    </w:p>
    <w:p>
      <w:pPr>
        <w:spacing w:after="0" w:line="13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addition to internally generated growth, our current strategy involves growth through acquisitions. Between January 1, 2015 and March 31, 2017, we have acquired 5 businesses at a total cost of approximately $542.2 million.</w:t>
      </w:r>
    </w:p>
    <w:p>
      <w:pPr>
        <w:spacing w:after="0" w:line="170" w:lineRule="exact"/>
        <w:rPr>
          <w:sz w:val="20"/>
          <w:szCs w:val="20"/>
          <w:color w:val="auto"/>
        </w:rPr>
      </w:pPr>
    </w:p>
    <w:p>
      <w:pPr>
        <w:jc w:val="both"/>
        <w:ind w:firstLine="324"/>
        <w:spacing w:after="0" w:line="285" w:lineRule="auto"/>
        <w:rPr>
          <w:sz w:val="20"/>
          <w:szCs w:val="20"/>
          <w:color w:val="auto"/>
        </w:rPr>
      </w:pPr>
      <w:r>
        <w:rPr>
          <w:rFonts w:ascii="Arial" w:cs="Arial" w:eastAsia="Arial" w:hAnsi="Arial"/>
          <w:sz w:val="16"/>
          <w:szCs w:val="16"/>
          <w:color w:val="auto"/>
        </w:rPr>
        <w:t>We may be unable to continue to implement our growth strategy, and our strategy ultimately may be unsuccessful. A significant portion of our growth in revenues has resulted from, and is expected to continue to result from, the acquisition of businesses or products complementary to our own. We engage in evaluations of potential acquisitions and are in various stages of discussion regarding possible acquisitions, certain of which, if consummated, could be significant to us. Any new acquisition could result in material transaction and integration expenses, increased interest and amortization expense, increased depreciation expense, increased operating expense, and possible in-process research and development charges for acquisitions that do not meet the definition of a “business,” any of which could have a material adverse effect on our operating results. Certain businesses that we acquire may not have adequate financial, disclosure, regulatory, quality or other compliance controls or infrastructure to support the activities of the businesses post-acquisition at the time we acquire them. As we grow by acquisition, we must manage and integrate the new businesses to bring them into our systems for financial, disclosure, compliance, regulatory and quality control, realize economies of scale, and control costs. In addition, acquisitions involve other risks, including diversion of management resources otherwise available for development of our business and risks associated with entering markets in which our marketing teams and sales force has limited experience or where experienced distribution alliances are not available. Our future profitability will depend in part upon our ability to develop further our resources to adapt to these new products or business areas and to identify and enter into or maintain satisfactory distribution networks. We may not be able to identify suitable acquisition candidates in the future, obtain acceptable financing or consummate any future acquisitions. If we cannot integrate acquired businesses and operations, manage the cost of providing our products or price our products appropriately, our profitability could suffer. In addition, as a result of our acquisitions of other healthcare businesses, we may be subject to the risk of unanticipated business uncertainties, regulatory and other compliance matters or legal liabilities relating to those acquired businesses for which the sellers of the acquired businesses may not indemnify us, for which we may not be able to obtain insurance (or adequate insurance), or for which the indemnification may not be sufficient to cover the ultimate liabilities.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contain materials derived from animal sources and may become subject to additional regulation.</w:t>
      </w:r>
    </w:p>
    <w:p>
      <w:pPr>
        <w:spacing w:after="0" w:line="18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Certain of our products, including our dermal regeneration products, duraplasty products, wound care products, bone void fillers, nerve and tendon repair products and certain other products, contain material derived from bovine tissue. In 2016, approximately 41% of our revenues were attributable to products containing material derived from bovine tissue. Products that contain materials derived from animal sources, including food, pharmaceuticals and medical devices, are subject to scrutiny in the media and by regulatory authorities. Regulatory authorities are concerned about the potential for the transmission of disease from animals to humans via those materials. This public scrutiny has been particularly acute in Japan and Western Europe with respect to products derived from animal sources, because of concern that materials infected with the agent that causes bovine spongiform encephalopathy, otherwise known as BSE or mad cow disease, may, if ingested or implanted, cause a variant of the human Creutzfeldt-Jakob Disease, an ultimately fatal disease with no known cure. In 2013, the World Organization for Animal Health ("OIE") recommended that the United States risk classification for BSE be upgraded from controlled risk to negligible risk.</w:t>
      </w:r>
    </w:p>
    <w:p>
      <w:pPr>
        <w:spacing w:after="0" w:line="18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take care to provide that our products are safe and free of agents that can cause disease. In particular, we have qualified a source of collagen from a country outside the United States that is considered BSE/TSE-free. The World Health Organization classifies different types of bovine tissue for relative risk of BSE transmission. Deep flexor tendon and bovine fetal skin, which are used in our products, are in the lowest-risk categories for BSE transmission and 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25"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therefore considered to have a negligible risk of containing the agent that causes BSE (an improperly folded protein known as a prion). Nevertheless, products that contain materials derived from animals, including our products, could become subject to additional regulation, or even be banned in certain countries, because of concern over the potential for the transmission of prions. Significant new regulation, or a ban of our products, could have a material adverse effect on our current business or our ability to expand our business.</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Certain countries, such as Japan, China, Taiwan and Argentina, have issued regulations that require our collagen products be sourced from countries where no cases of BSE have occurred, and the EU has requested that our dural replacement products and other products that are used in neurological tissue be sourced from a country where no cases of BSE have occurred. Currently, we source bovine fetal hides from the United States and purchase tendon from the United States and New Zealand. New Zealand has never had a case of BSE. We received approval in the United States, the EU, Japan, Taiwan, China, Argentina as well as other countries for the use of New Zealand-sourced tendon in the manufacturing of our products. If we cannot continue to use or qualify a source of tendon from New Zealand or another country that has never had a case of BSE, we could not be permitted to sell our collagen products in certain countries.</w:t>
      </w:r>
    </w:p>
    <w:p>
      <w:pPr>
        <w:spacing w:after="0" w:line="189"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Certain of our products are derived from human tissue and are subject to additional regulations and requirements.</w:t>
      </w:r>
    </w:p>
    <w:p>
      <w:pPr>
        <w:spacing w:after="0" w:line="18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manufacture and distribute products derived from human tissue. The FDA has specific regulations governing human cells, tissues and cellular and tissue-based products, or HCT/Ps. An HCT/P is a product containing or consisting of human cells or tissue intended for transplantation into a human patient. Examples include bone, ligament, skin, amniotic tissue and cornea.</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Some HCT/Ps also meet the definition of a biological product, medical device or drug regulated under the FD&amp;C Act. Section 361 of the PHSA ACT and 21 CFR Part 1271 authorizes the FDA to issue regulations regarding HCT/Ps and regulations to prevent the introduction, transmission or spread of communicable disease. HCT/Ps regulated as “361” HCT/Ps are subject to requirements relating to registering facilities and listing products with FDA, screening and testing for tissue donor eligibility, Good Tissue Practice, or GTP, when processing, storing, labeling, and distribution HCT/Ps, including required labeling information, stringent record keeping; and adverse event reporting. These biologic, device or drug HCT/Ps must comply both with the requirements exclusively applicable to 361 HCT/Ps and, in addition, with requirements applicable to biologics, devices or drugs, including premarket clearance or approval.</w:t>
      </w:r>
    </w:p>
    <w:p>
      <w:pPr>
        <w:spacing w:after="0" w:line="18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June 22, 2015, the FDA issued an Untitled Letter alleging that BioD’s morselized amniotic membrane tissue based products do not meet the criteria for regulation as human cellular tissue-based products (“HCT/Ps”) solely under Section 361 of the Public Health Service Act and that, as a result, BioD would need a biologics license to lawfully market those morselized products. Since the issuance of the Untitled Letter, BioD and more recently the Company have been in discussions with the FDA to communicate their disagreement with the FDA’s assertion that certain products are more than minimally manipulated. To date, the FDA has not changed its position that certain of the BioD acquired products are not eligible for marketing solely under Section 361 of the Public Health Service Act, but discussions are continuing.</w:t>
      </w:r>
    </w:p>
    <w:p>
      <w:pPr>
        <w:spacing w:after="0" w:line="19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December 22, 2014, the FDA issued for comment “Draft Guidance for Industry and FDA Staff: Minimal Manipulation of Human Cells, Tissues, and Cellular and Tissue-Based Products.” On October 28, 2015, the FDA issued for comment, "Draft Guidance for Industry and FDA Staff: Homologous Use of Human Cells, Tissues, and Cellular and Tissue-Based Products." The FDA held a public hearing on September 12 and 13, 2016 to obtain input on the Homologous Use draft guidance and the Minimal Manipulation draft guidance, as well as other recently issued guidance documents on HCT/Ps.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FDA may impose conditions on marketing, such as labeling restrictions and compliance with cGMP prior to issuing the final Guidance Documents. Compliance with these conditions would require significant additional time and cost investments by the Company. It is also possible that the FDA may not allow the Company to market any form of a morselized tissue product without a biologics license even prior to finalization of the draft guidance documents and could even require the Company to recall its morselized products. Any potential action of the FDA could have a financial impact regarding the sales of BioD’s morselized amniotic tissue based products.</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New EU Medical Device Regulations</w:t>
      </w:r>
    </w:p>
    <w:p>
      <w:pPr>
        <w:spacing w:after="0" w:line="18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European Medical Device Regulation (EU MDR) is an extensive reform of the rules that govern the medical device industry in Europe. This regulation replaces the Medical Device Directive (MDD). Once the EU MDR enters becomes effective, manufacturers will have three (3) years to comply with a broad set of new rules for almost every kind of medical device. The MDR Regulation will require changes in the clinical evidence required for medical devices,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125"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postmarket clinical follow-up evidence, annual reporting of safety information for Class II products, Unique Device Identification (UDI) for all products with compliance for implementation of information to a European database reclassification of medical devices, and multiple other labeling changes.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 new EU MDR rules, medical device companies will have to among other things:</w:t>
      </w:r>
    </w:p>
    <w:p>
      <w:pPr>
        <w:spacing w:after="0" w:line="22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Provide significantly more clinical evidence to get new products to market and even to keep existing products on the market;</w:t>
      </w:r>
    </w:p>
    <w:p>
      <w:pPr>
        <w:spacing w:after="0" w:line="252" w:lineRule="exact"/>
        <w:rPr>
          <w:rFonts w:ascii="Arial" w:cs="Arial" w:eastAsia="Arial" w:hAnsi="Arial"/>
          <w:sz w:val="18"/>
          <w:szCs w:val="18"/>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 product labeling and make certain product data available to the public; and</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Conduct product portfolio assessments to determine impact of the EU MDR on company margins.</w:t>
      </w:r>
    </w:p>
    <w:p>
      <w:pPr>
        <w:spacing w:after="0" w:line="2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Overall, medical device companies can expect longer lead times to obtain CE Marks Certification in the EU and a substantially costlier pathway to compliance in the European Unions. We are not yet able to determine the costs of complying with these regulations, and how the European Union will interpret and enforce them, what timelines for approvals of products will be and the overall effect of the EU MDR on the marketplace. The overall impact of the EU MDR could have a material adverse effect on the Company’s revenues and expenses.</w:t>
      </w:r>
    </w:p>
    <w:p>
      <w:pPr>
        <w:spacing w:after="0" w:line="187"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Disruptions in the financial markets may adversely affect the availability and cost of credit to us.</w:t>
      </w:r>
    </w:p>
    <w:p>
      <w:pPr>
        <w:spacing w:after="0" w:line="18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On December 7, 2016, the Company entered into its fourth amended and restated Senior Credit Facility (the "Fourth Amendment and Restatement"), as amended on March 31, 2017. As of March 31, 2017, we had approximately $855.0 million of outstanding borrowings under this financing arrangement. The Company may attempt to refinance or extend this obligation depending on prevailing market conditions. Our ability to refinance or extend this obligation will depend on our operating and financial performance, which in turn is subject to prevailing economic conditions and financial, business and other factors beyond our control. Any disruptions in our operations, the financial markets, or overall economy may adversely affect the availability and cost of credit to us.</w:t>
      </w:r>
    </w:p>
    <w:p>
      <w:pPr>
        <w:spacing w:after="0" w:line="15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 could be difficult to replace some of our suppliers.</w:t>
      </w:r>
    </w:p>
    <w:p>
      <w:pPr>
        <w:spacing w:after="0" w:line="18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Outside vendors, some of whom are sole-source suppliers, provide key components and raw materials used in the manufacture of our products. Although we believe that alternative sources for many of these components and raw materials are available, any interruption in supply of a limited or sole-source component or raw material could harm our ability to manufacture our products until a new or alternative source of supply is identified and qualified. In addition, an uncorrected defect or supplier’s variation in a component or raw material, either unknown to us or incompatible with our manufacturing process, could harm our ability to manufacture products. We may not be able to find a sufficient alternative supplier in a reasonable time period, or on commercially reasonable terms, if at all, and our ability to produce and supply our products could be impaired. We believe that these factors are most likely to affect the following products that we manufacture:</w:t>
      </w:r>
    </w:p>
    <w:p>
      <w:pPr>
        <w:spacing w:after="0" w:line="189" w:lineRule="exact"/>
        <w:rPr>
          <w:sz w:val="20"/>
          <w:szCs w:val="20"/>
          <w:color w:val="auto"/>
        </w:rPr>
      </w:pPr>
    </w:p>
    <w:p>
      <w:pPr>
        <w:ind w:left="66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collagen-based products, such as the Integra Dermal Regeneration Template and wound matrix products, the DuraGen® family of products, our Absorbable Collagen Sponges, Primatrix and SurgiMend products;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products made from silicone, such as our neurosurgical shunts and drainage systems and hemodynamic shunts;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products which use many different specialty parts from numerous suppliers, such as our intracranial monitors, catheters and headlights;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products that use pyrolytic carbon (i.e., PyroCarbon) technology, such as certain of our reconstructive extremity orthopedic implants; and</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products that use medical grade leptospermum honey, such as our Medihoney products.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connection with our Confluent Surgical acquisition in January 2014, we entered into a multi-year supply agreement with an affiliate of the seller to continue to manufacture the acquired surgical sealant and adhesion barrier product lines. In 2015, we entered into a contract with a third party to assume the manufacturing of these product lines after the relationship with the affiliate of the seller concludes in several years.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5" w:right="2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If we were suddenly unable to purchase products from one or more of these companies, we would need a significant period of time to qualify a replacement, and the production of any affected products could be disrupted.</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While it is our policy to maintain sufficient inventory of components so that our production will not be significantly disrupted even if a particular component or material is not available for a period of time, we remain at risk that we will not be able to qualify new components or materials quickly enough to prevent a disruption if one or more of our suppliers ceases production of important components or materials.</w:t>
      </w:r>
    </w:p>
    <w:p>
      <w:pPr>
        <w:spacing w:after="0" w:line="181" w:lineRule="exact"/>
        <w:rPr>
          <w:sz w:val="20"/>
          <w:szCs w:val="20"/>
          <w:color w:val="auto"/>
        </w:rPr>
      </w:pPr>
    </w:p>
    <w:p>
      <w:pPr>
        <w:ind w:left="180"/>
        <w:spacing w:after="0"/>
        <w:rPr>
          <w:sz w:val="20"/>
          <w:szCs w:val="20"/>
          <w:color w:val="auto"/>
        </w:rPr>
      </w:pPr>
      <w:r>
        <w:rPr>
          <w:rFonts w:ascii="Arial" w:cs="Arial" w:eastAsia="Arial" w:hAnsi="Arial"/>
          <w:sz w:val="16"/>
          <w:szCs w:val="16"/>
          <w:b w:val="1"/>
          <w:bCs w:val="1"/>
          <w:i w:val="1"/>
          <w:iCs w:val="1"/>
          <w:color w:val="auto"/>
        </w:rPr>
        <w:t>Pending litigation related to the proposed acquisition of Derma Sciences could result in a judgment for rescission or the payment of damages.</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Purported stockholders of Derma Sciences have filed three class action lawsuits challenging the proposed acquisition of Derma Sciences by Integra and its subsidiary, Integra Derma, Inc. (the </w:t>
      </w:r>
      <w:r>
        <w:rPr>
          <w:rFonts w:ascii="Arial" w:cs="Arial" w:eastAsia="Arial" w:hAnsi="Arial"/>
          <w:sz w:val="16"/>
          <w:szCs w:val="16"/>
          <w:i w:val="1"/>
          <w:iCs w:val="1"/>
          <w:color w:val="auto"/>
        </w:rPr>
        <w:t>“Proposed Acquisition”</w:t>
      </w:r>
      <w:r>
        <w:rPr>
          <w:rFonts w:ascii="Arial" w:cs="Arial" w:eastAsia="Arial" w:hAnsi="Arial"/>
          <w:sz w:val="16"/>
          <w:szCs w:val="16"/>
          <w:color w:val="auto"/>
        </w:rPr>
        <w:t xml:space="preserve">). On January 30 and February 3, 2017, complaints captioned </w:t>
      </w:r>
      <w:r>
        <w:rPr>
          <w:rFonts w:ascii="Arial" w:cs="Arial" w:eastAsia="Arial" w:hAnsi="Arial"/>
          <w:sz w:val="16"/>
          <w:szCs w:val="16"/>
          <w:i w:val="1"/>
          <w:iCs w:val="1"/>
          <w:color w:val="auto"/>
        </w:rPr>
        <w:t>Rabadi v. Derma Sciences, Inc.,</w:t>
      </w:r>
      <w:r>
        <w:rPr>
          <w:rFonts w:ascii="Arial" w:cs="Arial" w:eastAsia="Arial" w:hAnsi="Arial"/>
          <w:sz w:val="16"/>
          <w:szCs w:val="16"/>
          <w:color w:val="auto"/>
        </w:rPr>
        <w:t xml:space="preserve"> </w:t>
      </w:r>
      <w:r>
        <w:rPr>
          <w:rFonts w:ascii="Arial" w:cs="Arial" w:eastAsia="Arial" w:hAnsi="Arial"/>
          <w:sz w:val="16"/>
          <w:szCs w:val="16"/>
          <w:i w:val="1"/>
          <w:iCs w:val="1"/>
          <w:color w:val="auto"/>
        </w:rPr>
        <w:t>et al.</w:t>
      </w:r>
      <w:r>
        <w:rPr>
          <w:rFonts w:ascii="Arial" w:cs="Arial" w:eastAsia="Arial" w:hAnsi="Arial"/>
          <w:sz w:val="16"/>
          <w:szCs w:val="16"/>
          <w:color w:val="auto"/>
        </w:rPr>
        <w:t>, Case No. 3:17-cv-00628 (the “</w:t>
      </w:r>
      <w:r>
        <w:rPr>
          <w:rFonts w:ascii="Arial" w:cs="Arial" w:eastAsia="Arial" w:hAnsi="Arial"/>
          <w:sz w:val="16"/>
          <w:szCs w:val="16"/>
          <w:i w:val="1"/>
          <w:iCs w:val="1"/>
          <w:color w:val="auto"/>
        </w:rPr>
        <w:t>Rabadi Complaint</w:t>
      </w:r>
      <w:r>
        <w:rPr>
          <w:rFonts w:ascii="Arial" w:cs="Arial" w:eastAsia="Arial" w:hAnsi="Arial"/>
          <w:sz w:val="16"/>
          <w:szCs w:val="16"/>
          <w:color w:val="auto"/>
        </w:rPr>
        <w:t>”) and</w:t>
      </w:r>
      <w:r>
        <w:rPr>
          <w:rFonts w:ascii="Arial" w:cs="Arial" w:eastAsia="Arial" w:hAnsi="Arial"/>
          <w:sz w:val="16"/>
          <w:szCs w:val="16"/>
          <w:i w:val="1"/>
          <w:iCs w:val="1"/>
          <w:color w:val="auto"/>
        </w:rPr>
        <w:t xml:space="preserve"> Klingel v. Derma Sciences, Inc., et al.</w:t>
      </w:r>
      <w:r>
        <w:rPr>
          <w:rFonts w:ascii="Arial" w:cs="Arial" w:eastAsia="Arial" w:hAnsi="Arial"/>
          <w:sz w:val="16"/>
          <w:szCs w:val="16"/>
          <w:color w:val="auto"/>
        </w:rPr>
        <w:t>, Case No. 3:17-cv-00738, were filed in the United States</w:t>
      </w:r>
      <w:r>
        <w:rPr>
          <w:rFonts w:ascii="Arial" w:cs="Arial" w:eastAsia="Arial" w:hAnsi="Arial"/>
          <w:sz w:val="16"/>
          <w:szCs w:val="16"/>
          <w:i w:val="1"/>
          <w:iCs w:val="1"/>
          <w:color w:val="auto"/>
        </w:rPr>
        <w:t xml:space="preserve"> </w:t>
      </w:r>
      <w:r>
        <w:rPr>
          <w:rFonts w:ascii="Arial" w:cs="Arial" w:eastAsia="Arial" w:hAnsi="Arial"/>
          <w:sz w:val="16"/>
          <w:szCs w:val="16"/>
          <w:color w:val="auto"/>
        </w:rPr>
        <w:t>District Court for the District of New Jersey against Derma Sciences, each member of its board of directors (the “</w:t>
      </w:r>
      <w:r>
        <w:rPr>
          <w:rFonts w:ascii="Arial" w:cs="Arial" w:eastAsia="Arial" w:hAnsi="Arial"/>
          <w:sz w:val="16"/>
          <w:szCs w:val="16"/>
          <w:i w:val="1"/>
          <w:iCs w:val="1"/>
          <w:color w:val="auto"/>
        </w:rPr>
        <w:t>Derma Sciences Board</w:t>
      </w:r>
      <w:r>
        <w:rPr>
          <w:rFonts w:ascii="Arial" w:cs="Arial" w:eastAsia="Arial" w:hAnsi="Arial"/>
          <w:sz w:val="16"/>
          <w:szCs w:val="16"/>
          <w:color w:val="auto"/>
        </w:rPr>
        <w:t xml:space="preserve">”), Integra, and Integra Derma, Inc. On January 31, 2017, a complaint captioned </w:t>
      </w:r>
      <w:r>
        <w:rPr>
          <w:rFonts w:ascii="Arial" w:cs="Arial" w:eastAsia="Arial" w:hAnsi="Arial"/>
          <w:sz w:val="16"/>
          <w:szCs w:val="16"/>
          <w:i w:val="1"/>
          <w:iCs w:val="1"/>
          <w:color w:val="auto"/>
        </w:rPr>
        <w:t>Parshall v. Derma Sciences, Inc., et al.</w:t>
      </w:r>
      <w:r>
        <w:rPr>
          <w:rFonts w:ascii="Arial" w:cs="Arial" w:eastAsia="Arial" w:hAnsi="Arial"/>
          <w:sz w:val="16"/>
          <w:szCs w:val="16"/>
          <w:color w:val="auto"/>
        </w:rPr>
        <w:t>, Case No. 2017-0074 (the “</w:t>
      </w:r>
      <w:r>
        <w:rPr>
          <w:rFonts w:ascii="Arial" w:cs="Arial" w:eastAsia="Arial" w:hAnsi="Arial"/>
          <w:sz w:val="16"/>
          <w:szCs w:val="16"/>
          <w:i w:val="1"/>
          <w:iCs w:val="1"/>
          <w:color w:val="auto"/>
        </w:rPr>
        <w:t>Parshall Complaint</w:t>
      </w:r>
      <w:r>
        <w:rPr>
          <w:rFonts w:ascii="Arial" w:cs="Arial" w:eastAsia="Arial" w:hAnsi="Arial"/>
          <w:sz w:val="16"/>
          <w:szCs w:val="16"/>
          <w:color w:val="auto"/>
        </w:rPr>
        <w:t>”), was filed in the Court of Chancery of the State of Delaware against Derma Sciences, each member of the Derma Sciences Board, Integra, and Integra Derma, Inc. The complaints seek certification of a class action on behalf of all Derma Sciences’ public stockholders. Each complaint alleges, among other things, that the process leading up to the Proposed Acquisition, including Integra’s offer to purchase the outstanding shares of Derma Sciences, was inadequate, and that the Schedule 14D-9 filed by Derma Sciences on January 25, 2017 omits certain material information, which each complaint alleges renders the information disclosed materially misleading. The Rabadi Complaint and the Parshall Complaint also allege that the members of the Derma Sciences Board breached their fiduciary duties with respect to the Proposed Acquisition, and that Integra, Integra Derma, Inc. and Derma Sciences aided and abetted those alleged breaches of fiduciary duties. Each complaint seeks, among other things, to rescind the Proposed Acquisition or recover money damages in the event the Proposed Acquisition is consummated. While the complaints also sought to enjoin the Proposed Acquisition, on February 9, 2017, plaintiffs agreed to not pursue preliminary injunctive relief in return for Derma Sciences making certain additional disclosures. The underlying cases were dismissed by Plaintiffs and the parties settled on $225,000 for fees to be paid to Plaintiffs’ attorneys for all three cases. Plaintiffs will determine how the $225,000 is split.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repurchases of our common stock under the repurchase program during the three months ended March 31, 2017.</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18"/>
          <w:szCs w:val="18"/>
          <w:u w:val="single" w:color="auto"/>
          <w:color w:val="auto"/>
        </w:rPr>
        <w:t>Exhibits</w:t>
      </w:r>
    </w:p>
    <w:p>
      <w:pPr>
        <w:spacing w:after="0" w:line="333"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10000" w:type="dxa"/>
            <w:vAlign w:val="bottom"/>
          </w:tcPr>
          <w:p>
            <w:pPr>
              <w:ind w:left="140"/>
              <w:spacing w:after="0"/>
              <w:rPr>
                <w:sz w:val="20"/>
                <w:szCs w:val="20"/>
                <w:color w:val="auto"/>
              </w:rPr>
            </w:pPr>
            <w:r>
              <w:rPr>
                <w:rFonts w:ascii="Arial" w:cs="Arial" w:eastAsia="Arial" w:hAnsi="Arial"/>
                <w:sz w:val="18"/>
                <w:szCs w:val="18"/>
                <w:color w:val="auto"/>
                <w:w w:val="91"/>
              </w:rPr>
              <w:t>Binding Offer Letter by and among Integra LifeSciences Holdings Corporation and DePuy Synthes, Inc., dated as of February 14, 2017</w:t>
            </w:r>
          </w:p>
        </w:tc>
      </w:tr>
      <w:tr>
        <w:trPr>
          <w:trHeight w:val="230"/>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(Incorporated by reference to Exhibit 2.1 to the Company’s Current Report on Form 8-K filed on February 15, 2017)</w:t>
            </w:r>
          </w:p>
        </w:tc>
      </w:tr>
      <w:tr>
        <w:trPr>
          <w:trHeight w:val="58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4.3(n)</w:t>
            </w:r>
          </w:p>
        </w:tc>
        <w:tc>
          <w:tcPr>
            <w:tcW w:w="10000" w:type="dxa"/>
            <w:vAlign w:val="bottom"/>
          </w:tcPr>
          <w:p>
            <w:pPr>
              <w:ind w:left="140"/>
              <w:spacing w:after="0"/>
              <w:rPr>
                <w:sz w:val="20"/>
                <w:szCs w:val="20"/>
                <w:color w:val="auto"/>
              </w:rPr>
            </w:pPr>
            <w:r>
              <w:rPr>
                <w:rFonts w:ascii="Arial" w:cs="Arial" w:eastAsia="Arial" w:hAnsi="Arial"/>
                <w:sz w:val="18"/>
                <w:szCs w:val="18"/>
                <w:color w:val="auto"/>
                <w:w w:val="94"/>
              </w:rPr>
              <w:t>First Amendment to the Fourth Amended and Restated Credit Agreement, dated as of March 31, 2017, among Integra LifeSciences</w:t>
            </w:r>
          </w:p>
        </w:tc>
      </w:tr>
      <w:tr>
        <w:trPr>
          <w:trHeight w:val="216"/>
        </w:trPr>
        <w:tc>
          <w:tcPr>
            <w:tcW w:w="1000" w:type="dxa"/>
            <w:vAlign w:val="bottom"/>
          </w:tcPr>
          <w:p>
            <w:pPr>
              <w:spacing w:after="0"/>
              <w:rPr>
                <w:sz w:val="18"/>
                <w:szCs w:val="18"/>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w w:val="92"/>
              </w:rPr>
              <w:t>Holdings Corporation, a syndicate of lending banks, and Bank of America, N.A., as Administrative Agent (Incorporated by reference to</w:t>
            </w:r>
          </w:p>
        </w:tc>
      </w:tr>
      <w:tr>
        <w:trPr>
          <w:trHeight w:val="230"/>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Exhibit 4.1 to the Company’s Current Report on Form 8-K filed on April 4, 2017)</w:t>
            </w:r>
          </w:p>
        </w:tc>
      </w:tr>
      <w:tr>
        <w:trPr>
          <w:trHeight w:val="58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10.35(a)</w:t>
            </w:r>
          </w:p>
        </w:tc>
        <w:tc>
          <w:tcPr>
            <w:tcW w:w="10000" w:type="dxa"/>
            <w:vAlign w:val="bottom"/>
          </w:tcPr>
          <w:p>
            <w:pPr>
              <w:ind w:left="140"/>
              <w:spacing w:after="0"/>
              <w:rPr>
                <w:sz w:val="20"/>
                <w:szCs w:val="20"/>
                <w:color w:val="auto"/>
              </w:rPr>
            </w:pPr>
            <w:r>
              <w:rPr>
                <w:rFonts w:ascii="Arial" w:cs="Arial" w:eastAsia="Arial" w:hAnsi="Arial"/>
                <w:sz w:val="18"/>
                <w:szCs w:val="18"/>
                <w:color w:val="auto"/>
                <w:w w:val="90"/>
              </w:rPr>
              <w:t>First Amendment, dated as of February 15, 2017, to the Performance Incentive Compensation Plan (Incorporated by reference to Exhibit</w:t>
            </w:r>
          </w:p>
        </w:tc>
      </w:tr>
      <w:tr>
        <w:trPr>
          <w:trHeight w:val="230"/>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10.1 to the Company’s Current Report on Form 8-K filed on February 17, 2017)</w:t>
            </w:r>
          </w:p>
        </w:tc>
      </w:tr>
      <w:tr>
        <w:trPr>
          <w:trHeight w:val="58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10.44(d)</w:t>
            </w:r>
          </w:p>
        </w:tc>
        <w:tc>
          <w:tcPr>
            <w:tcW w:w="10000" w:type="dxa"/>
            <w:vAlign w:val="bottom"/>
          </w:tcPr>
          <w:p>
            <w:pPr>
              <w:ind w:left="140"/>
              <w:spacing w:after="0"/>
              <w:rPr>
                <w:sz w:val="20"/>
                <w:szCs w:val="20"/>
                <w:color w:val="auto"/>
              </w:rPr>
            </w:pPr>
            <w:r>
              <w:rPr>
                <w:rFonts w:ascii="Arial" w:cs="Arial" w:eastAsia="Arial" w:hAnsi="Arial"/>
                <w:sz w:val="18"/>
                <w:szCs w:val="18"/>
                <w:color w:val="auto"/>
                <w:w w:val="91"/>
              </w:rPr>
              <w:t>Form of Change in Control Severance Agreement (Incorporated by reference to Exhibit 10.1 to the Company's Current Report on Form</w:t>
            </w:r>
          </w:p>
        </w:tc>
      </w:tr>
      <w:tr>
        <w:trPr>
          <w:trHeight w:val="230"/>
        </w:trPr>
        <w:tc>
          <w:tcPr>
            <w:tcW w:w="1000" w:type="dxa"/>
            <w:vAlign w:val="bottom"/>
          </w:tcPr>
          <w:p>
            <w:pPr>
              <w:spacing w:after="0"/>
              <w:rPr>
                <w:sz w:val="20"/>
                <w:szCs w:val="20"/>
                <w:color w:val="auto"/>
              </w:rPr>
            </w:pPr>
          </w:p>
        </w:tc>
        <w:tc>
          <w:tcPr>
            <w:tcW w:w="10000" w:type="dxa"/>
            <w:vAlign w:val="bottom"/>
          </w:tcPr>
          <w:p>
            <w:pPr>
              <w:ind w:left="140"/>
              <w:spacing w:after="0"/>
              <w:rPr>
                <w:sz w:val="20"/>
                <w:szCs w:val="20"/>
                <w:color w:val="auto"/>
              </w:rPr>
            </w:pPr>
            <w:r>
              <w:rPr>
                <w:rFonts w:ascii="Arial" w:cs="Arial" w:eastAsia="Arial" w:hAnsi="Arial"/>
                <w:sz w:val="18"/>
                <w:szCs w:val="18"/>
                <w:color w:val="auto"/>
              </w:rPr>
              <w:t>8-K filed on February 2, 2017)</w:t>
            </w:r>
          </w:p>
        </w:tc>
      </w:tr>
      <w:tr>
        <w:trPr>
          <w:trHeight w:val="594"/>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*31.1</w:t>
            </w: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*31.2</w:t>
            </w: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302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*32.1</w:t>
            </w: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Executive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*32.2</w:t>
            </w:r>
          </w:p>
        </w:tc>
        <w:tc>
          <w:tcPr>
            <w:tcW w:w="10000" w:type="dxa"/>
            <w:vAlign w:val="bottom"/>
          </w:tcPr>
          <w:p>
            <w:pPr>
              <w:ind w:left="140"/>
              <w:spacing w:after="0"/>
              <w:rPr>
                <w:sz w:val="20"/>
                <w:szCs w:val="20"/>
                <w:color w:val="auto"/>
              </w:rPr>
            </w:pPr>
            <w:r>
              <w:rPr>
                <w:rFonts w:ascii="Arial" w:cs="Arial" w:eastAsia="Arial" w:hAnsi="Arial"/>
                <w:sz w:val="18"/>
                <w:szCs w:val="18"/>
                <w:color w:val="auto"/>
              </w:rPr>
              <w:t>Certification of Principal Financial Officer Pursuant to Section 906 of the Sarbanes-Oxley Act of 2002</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rPr>
              <w:t>*†101.INS</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3"/>
              </w:rPr>
              <w:t>*†101.SCH</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6"/>
              </w:rPr>
              <w:t>*†101.CAL</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5"/>
              </w:rPr>
              <w:t>*†101.DEF</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7"/>
              </w:rPr>
              <w:t>*†101.LAB</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000" w:type="dxa"/>
            <w:vAlign w:val="bottom"/>
          </w:tcPr>
          <w:p>
            <w:pPr>
              <w:jc w:val="right"/>
              <w:ind w:right="50"/>
              <w:spacing w:after="0"/>
              <w:rPr>
                <w:sz w:val="20"/>
                <w:szCs w:val="20"/>
                <w:color w:val="auto"/>
              </w:rPr>
            </w:pPr>
            <w:r>
              <w:rPr>
                <w:rFonts w:ascii="Arial" w:cs="Arial" w:eastAsia="Arial" w:hAnsi="Arial"/>
                <w:sz w:val="18"/>
                <w:szCs w:val="18"/>
                <w:color w:val="auto"/>
                <w:w w:val="94"/>
              </w:rPr>
              <w:t>*†101.PRE</w:t>
            </w:r>
          </w:p>
        </w:tc>
        <w:tc>
          <w:tcPr>
            <w:tcW w:w="10000" w:type="dxa"/>
            <w:vAlign w:val="bottom"/>
          </w:tcPr>
          <w:p>
            <w:pPr>
              <w:ind w:left="14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rFonts w:ascii="Arial" w:cs="Arial" w:eastAsia="Arial" w:hAnsi="Arial"/>
          <w:sz w:val="18"/>
          <w:szCs w:val="18"/>
          <w:color w:val="auto"/>
        </w:rPr>
      </w:pPr>
    </w:p>
    <w:p>
      <w:pPr>
        <w:ind w:left="500" w:hanging="492"/>
        <w:spacing w:after="0" w:line="257" w:lineRule="auto"/>
        <w:tabs>
          <w:tab w:leader="none" w:pos="176"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March 31, 2017 filed on April 26, 2017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5" w:right="23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9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INTEGRA LIFESCIENCES HOLDINGS CORPORATION</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00"/>
              <w:spacing w:after="0"/>
              <w:rPr>
                <w:sz w:val="20"/>
                <w:szCs w:val="20"/>
                <w:color w:val="auto"/>
              </w:rPr>
            </w:pPr>
            <w:r>
              <w:rPr>
                <w:rFonts w:ascii="Arial" w:cs="Arial" w:eastAsia="Arial" w:hAnsi="Arial"/>
                <w:sz w:val="18"/>
                <w:szCs w:val="18"/>
                <w:color w:val="auto"/>
              </w:rPr>
              <w:t>April 26, 2017</w:t>
            </w:r>
          </w:p>
        </w:tc>
        <w:tc>
          <w:tcPr>
            <w:tcW w:w="25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Peter J. Arduini</w:t>
            </w:r>
          </w:p>
        </w:tc>
      </w:tr>
      <w:tr>
        <w:trPr>
          <w:trHeight w:val="27"/>
        </w:trPr>
        <w:tc>
          <w:tcPr>
            <w:tcW w:w="4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Peter J. Arduini</w:t>
            </w:r>
          </w:p>
        </w:tc>
      </w:tr>
      <w:tr>
        <w:trPr>
          <w:trHeight w:val="270"/>
        </w:trPr>
        <w:tc>
          <w:tcPr>
            <w:tcW w:w="48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594"/>
        </w:trPr>
        <w:tc>
          <w:tcPr>
            <w:tcW w:w="480" w:type="dxa"/>
            <w:vAlign w:val="bottom"/>
          </w:tcPr>
          <w:p>
            <w:pPr>
              <w:spacing w:after="0"/>
              <w:rPr>
                <w:sz w:val="20"/>
                <w:szCs w:val="20"/>
                <w:color w:val="auto"/>
              </w:rPr>
            </w:pPr>
            <w:r>
              <w:rPr>
                <w:rFonts w:ascii="Arial" w:cs="Arial" w:eastAsia="Arial" w:hAnsi="Arial"/>
                <w:sz w:val="18"/>
                <w:szCs w:val="18"/>
                <w:color w:val="auto"/>
              </w:rPr>
              <w:t>Date:</w:t>
            </w:r>
          </w:p>
        </w:tc>
        <w:tc>
          <w:tcPr>
            <w:tcW w:w="3120" w:type="dxa"/>
            <w:vAlign w:val="bottom"/>
          </w:tcPr>
          <w:p>
            <w:pPr>
              <w:ind w:left="100"/>
              <w:spacing w:after="0"/>
              <w:rPr>
                <w:sz w:val="20"/>
                <w:szCs w:val="20"/>
                <w:color w:val="auto"/>
              </w:rPr>
            </w:pPr>
            <w:r>
              <w:rPr>
                <w:rFonts w:ascii="Arial" w:cs="Arial" w:eastAsia="Arial" w:hAnsi="Arial"/>
                <w:sz w:val="18"/>
                <w:szCs w:val="18"/>
                <w:color w:val="auto"/>
              </w:rPr>
              <w:t>April 26, 2017</w:t>
            </w:r>
          </w:p>
        </w:tc>
        <w:tc>
          <w:tcPr>
            <w:tcW w:w="254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 Glenn G. Coleman</w:t>
            </w:r>
          </w:p>
        </w:tc>
      </w:tr>
      <w:tr>
        <w:trPr>
          <w:trHeight w:val="27"/>
        </w:trPr>
        <w:tc>
          <w:tcPr>
            <w:tcW w:w="480" w:type="dxa"/>
            <w:vAlign w:val="bottom"/>
          </w:tcPr>
          <w:p>
            <w:pPr>
              <w:spacing w:after="0"/>
              <w:rPr>
                <w:sz w:val="2"/>
                <w:szCs w:val="2"/>
                <w:color w:val="auto"/>
              </w:rPr>
            </w:pPr>
          </w:p>
        </w:tc>
        <w:tc>
          <w:tcPr>
            <w:tcW w:w="31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54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Glenn G. Coleman</w:t>
            </w:r>
          </w:p>
        </w:tc>
      </w:tr>
      <w:tr>
        <w:trPr>
          <w:trHeight w:val="270"/>
        </w:trPr>
        <w:tc>
          <w:tcPr>
            <w:tcW w:w="480" w:type="dxa"/>
            <w:vAlign w:val="bottom"/>
          </w:tcPr>
          <w:p>
            <w:pPr>
              <w:spacing w:after="0"/>
              <w:rPr>
                <w:sz w:val="23"/>
                <w:szCs w:val="23"/>
                <w:color w:val="auto"/>
              </w:rPr>
            </w:pPr>
          </w:p>
        </w:tc>
        <w:tc>
          <w:tcPr>
            <w:tcW w:w="312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Corporate Vice President and Chief Financial Officer</w:t>
            </w:r>
          </w:p>
        </w:tc>
      </w:tr>
      <w:tr>
        <w:trPr>
          <w:trHeight w:val="702"/>
        </w:trPr>
        <w:tc>
          <w:tcPr>
            <w:tcW w:w="4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540" w:type="dxa"/>
            <w:vAlign w:val="bottom"/>
          </w:tcPr>
          <w:p>
            <w:pPr>
              <w:jc w:val="right"/>
              <w:ind w:right="290"/>
              <w:spacing w:after="0"/>
              <w:rPr>
                <w:sz w:val="20"/>
                <w:szCs w:val="20"/>
                <w:color w:val="auto"/>
              </w:rPr>
            </w:pPr>
            <w:r>
              <w:rPr>
                <w:rFonts w:ascii="Arial" w:cs="Arial" w:eastAsia="Arial" w:hAnsi="Arial"/>
                <w:sz w:val="18"/>
                <w:szCs w:val="18"/>
                <w:color w:val="auto"/>
              </w:rPr>
              <w:t>39</w:t>
            </w:r>
          </w:p>
        </w:tc>
        <w:tc>
          <w:tcPr>
            <w:tcW w:w="524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60" w:type="dxa"/>
            <w:vAlign w:val="bottom"/>
            <w:gridSpan w:val="4"/>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7540" w:type="dxa"/>
            <w:vAlign w:val="bottom"/>
          </w:tcPr>
          <w:p>
            <w:pPr>
              <w:spacing w:after="0"/>
              <w:rPr>
                <w:sz w:val="17"/>
                <w:szCs w:val="17"/>
                <w:color w:val="auto"/>
              </w:rPr>
            </w:pPr>
          </w:p>
        </w:tc>
      </w:tr>
      <w:tr>
        <w:trPr>
          <w:trHeight w:val="20"/>
        </w:trPr>
        <w:tc>
          <w:tcPr>
            <w:tcW w:w="66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439"/>
        </w:trPr>
        <w:tc>
          <w:tcPr>
            <w:tcW w:w="1460" w:type="dxa"/>
            <w:vAlign w:val="bottom"/>
            <w:gridSpan w:val="4"/>
          </w:tcPr>
          <w:p>
            <w:pPr>
              <w:spacing w:after="0"/>
              <w:rPr>
                <w:sz w:val="20"/>
                <w:szCs w:val="20"/>
                <w:color w:val="auto"/>
              </w:rPr>
            </w:pPr>
            <w:r>
              <w:rPr>
                <w:rFonts w:ascii="Arial" w:cs="Arial" w:eastAsia="Arial" w:hAnsi="Arial"/>
                <w:sz w:val="18"/>
                <w:szCs w:val="18"/>
                <w:b w:val="1"/>
                <w:bCs w:val="1"/>
                <w:color w:val="auto"/>
                <w:w w:val="94"/>
              </w:rPr>
              <w:t>Table of Contents</w:t>
            </w:r>
          </w:p>
        </w:tc>
        <w:tc>
          <w:tcPr>
            <w:tcW w:w="7540" w:type="dxa"/>
            <w:vAlign w:val="bottom"/>
          </w:tcPr>
          <w:p>
            <w:pPr>
              <w:spacing w:after="0"/>
              <w:rPr>
                <w:sz w:val="24"/>
                <w:szCs w:val="24"/>
                <w:color w:val="auto"/>
              </w:rPr>
            </w:pPr>
          </w:p>
        </w:tc>
      </w:tr>
      <w:tr>
        <w:trPr>
          <w:trHeight w:val="574"/>
        </w:trPr>
        <w:tc>
          <w:tcPr>
            <w:tcW w:w="6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Exhibits</w:t>
            </w:r>
          </w:p>
        </w:tc>
        <w:tc>
          <w:tcPr>
            <w:tcW w:w="100" w:type="dxa"/>
            <w:vAlign w:val="bottom"/>
          </w:tcPr>
          <w:p>
            <w:pPr>
              <w:spacing w:after="0"/>
              <w:rPr>
                <w:sz w:val="24"/>
                <w:szCs w:val="24"/>
                <w:color w:val="auto"/>
              </w:rPr>
            </w:pPr>
          </w:p>
        </w:tc>
        <w:tc>
          <w:tcPr>
            <w:tcW w:w="7540" w:type="dxa"/>
            <w:vAlign w:val="bottom"/>
          </w:tcPr>
          <w:p>
            <w:pPr>
              <w:spacing w:after="0"/>
              <w:rPr>
                <w:sz w:val="24"/>
                <w:szCs w:val="24"/>
                <w:color w:val="auto"/>
              </w:rPr>
            </w:pPr>
          </w:p>
        </w:tc>
      </w:tr>
      <w:tr>
        <w:trPr>
          <w:trHeight w:val="561"/>
        </w:trPr>
        <w:tc>
          <w:tcPr>
            <w:tcW w:w="660" w:type="dxa"/>
            <w:vAlign w:val="bottom"/>
          </w:tcPr>
          <w:p>
            <w:pPr>
              <w:spacing w:after="0"/>
              <w:rPr>
                <w:sz w:val="24"/>
                <w:szCs w:val="24"/>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w w:val="92"/>
              </w:rPr>
              <w:t>Certification of Principal Executive Officer Pursuant to Section 302 of the Sarbanes-Oxley Act of 2002</w:t>
            </w:r>
          </w:p>
        </w:tc>
      </w:tr>
      <w:tr>
        <w:trPr>
          <w:trHeight w:val="54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*31.2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w w:val="92"/>
              </w:rPr>
              <w:t>Certification of Principal Financial Officer Pursuant to Section 302 of the Sarbanes-Oxley Act of 2002</w:t>
            </w:r>
          </w:p>
        </w:tc>
      </w:tr>
      <w:tr>
        <w:trPr>
          <w:trHeight w:val="54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w w:val="92"/>
              </w:rPr>
              <w:t>Certification of Principal Executive Officer Pursuant to Section 906 of the Sarbanes-Oxley Act of 2002</w:t>
            </w:r>
          </w:p>
        </w:tc>
      </w:tr>
      <w:tr>
        <w:trPr>
          <w:trHeight w:val="540"/>
        </w:trPr>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40" w:type="dxa"/>
            <w:vAlign w:val="bottom"/>
          </w:tcPr>
          <w:p>
            <w:pPr>
              <w:ind w:left="80"/>
              <w:spacing w:after="0"/>
              <w:rPr>
                <w:sz w:val="20"/>
                <w:szCs w:val="20"/>
                <w:color w:val="auto"/>
              </w:rPr>
            </w:pPr>
            <w:r>
              <w:rPr>
                <w:rFonts w:ascii="Arial" w:cs="Arial" w:eastAsia="Arial" w:hAnsi="Arial"/>
                <w:sz w:val="18"/>
                <w:szCs w:val="18"/>
                <w:color w:val="auto"/>
                <w:w w:val="92"/>
              </w:rPr>
              <w:t>Certification of Principal Financial Officer Pursuant to Section 906 of the Sarbanes-Oxley Act of 2002</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*†101.INS</w:t>
            </w:r>
          </w:p>
        </w:tc>
        <w:tc>
          <w:tcPr>
            <w:tcW w:w="754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*†101.SCH</w:t>
            </w:r>
          </w:p>
        </w:tc>
        <w:tc>
          <w:tcPr>
            <w:tcW w:w="7540" w:type="dxa"/>
            <w:vAlign w:val="bottom"/>
          </w:tcPr>
          <w:p>
            <w:pPr>
              <w:ind w:left="80"/>
              <w:spacing w:after="0"/>
              <w:rPr>
                <w:sz w:val="20"/>
                <w:szCs w:val="20"/>
                <w:color w:val="auto"/>
              </w:rPr>
            </w:pPr>
            <w:r>
              <w:rPr>
                <w:rFonts w:ascii="Arial" w:cs="Arial" w:eastAsia="Arial" w:hAnsi="Arial"/>
                <w:sz w:val="18"/>
                <w:szCs w:val="18"/>
                <w:color w:val="auto"/>
              </w:rPr>
              <w:t>XBRL Taxonomy Extension Schema Document</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*†101.CAL</w:t>
            </w:r>
          </w:p>
        </w:tc>
        <w:tc>
          <w:tcPr>
            <w:tcW w:w="7540" w:type="dxa"/>
            <w:vAlign w:val="bottom"/>
          </w:tcPr>
          <w:p>
            <w:pPr>
              <w:ind w:left="8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*†101.DEF</w:t>
            </w:r>
          </w:p>
        </w:tc>
        <w:tc>
          <w:tcPr>
            <w:tcW w:w="7540" w:type="dxa"/>
            <w:vAlign w:val="bottom"/>
          </w:tcPr>
          <w:p>
            <w:pPr>
              <w:ind w:left="80"/>
              <w:spacing w:after="0"/>
              <w:rPr>
                <w:sz w:val="20"/>
                <w:szCs w:val="20"/>
                <w:color w:val="auto"/>
              </w:rPr>
            </w:pPr>
            <w:r>
              <w:rPr>
                <w:rFonts w:ascii="Arial" w:cs="Arial" w:eastAsia="Arial" w:hAnsi="Arial"/>
                <w:sz w:val="18"/>
                <w:szCs w:val="18"/>
                <w:color w:val="auto"/>
              </w:rPr>
              <w:t>XBRL Definition Linkbase Document</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*†101.LAB</w:t>
            </w:r>
          </w:p>
        </w:tc>
        <w:tc>
          <w:tcPr>
            <w:tcW w:w="7540" w:type="dxa"/>
            <w:vAlign w:val="bottom"/>
          </w:tcPr>
          <w:p>
            <w:pPr>
              <w:ind w:left="80"/>
              <w:spacing w:after="0"/>
              <w:rPr>
                <w:sz w:val="20"/>
                <w:szCs w:val="20"/>
                <w:color w:val="auto"/>
              </w:rPr>
            </w:pPr>
            <w:r>
              <w:rPr>
                <w:rFonts w:ascii="Arial" w:cs="Arial" w:eastAsia="Arial" w:hAnsi="Arial"/>
                <w:sz w:val="18"/>
                <w:szCs w:val="18"/>
                <w:color w:val="auto"/>
              </w:rPr>
              <w:t>XBRL Taxonomy Extension Labels Linkbase Document</w:t>
            </w:r>
          </w:p>
        </w:tc>
      </w:tr>
      <w:tr>
        <w:trPr>
          <w:trHeight w:val="540"/>
        </w:trPr>
        <w:tc>
          <w:tcPr>
            <w:tcW w:w="1460" w:type="dxa"/>
            <w:vAlign w:val="bottom"/>
            <w:gridSpan w:val="4"/>
          </w:tcPr>
          <w:p>
            <w:pPr>
              <w:jc w:val="right"/>
              <w:ind w:right="200"/>
              <w:spacing w:after="0"/>
              <w:rPr>
                <w:sz w:val="20"/>
                <w:szCs w:val="20"/>
                <w:color w:val="auto"/>
              </w:rPr>
            </w:pPr>
            <w:r>
              <w:rPr>
                <w:rFonts w:ascii="Arial" w:cs="Arial" w:eastAsia="Arial" w:hAnsi="Arial"/>
                <w:sz w:val="18"/>
                <w:szCs w:val="18"/>
                <w:color w:val="auto"/>
              </w:rPr>
              <w:t>*†101.PRE</w:t>
            </w:r>
          </w:p>
        </w:tc>
        <w:tc>
          <w:tcPr>
            <w:tcW w:w="754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91" w:lineRule="exact"/>
        <w:rPr>
          <w:sz w:val="20"/>
          <w:szCs w:val="20"/>
          <w:color w:val="auto"/>
        </w:rPr>
      </w:pPr>
    </w:p>
    <w:p>
      <w:pPr>
        <w:ind w:left="720" w:hanging="685"/>
        <w:spacing w:after="0"/>
        <w:tabs>
          <w:tab w:leader="none" w:pos="7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25" w:lineRule="exact"/>
        <w:rPr>
          <w:rFonts w:ascii="Arial" w:cs="Arial" w:eastAsia="Arial" w:hAnsi="Arial"/>
          <w:sz w:val="18"/>
          <w:szCs w:val="18"/>
          <w:color w:val="auto"/>
        </w:rPr>
      </w:pPr>
    </w:p>
    <w:p>
      <w:pPr>
        <w:ind w:left="500" w:hanging="492"/>
        <w:spacing w:after="0" w:line="257" w:lineRule="auto"/>
        <w:tabs>
          <w:tab w:leader="none" w:pos="176"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financial information of Integra LifeSciences Holdings Corporation Quarterly Report on Form 10-Q for the quarter ended March 31, 2017 filed on April 26, 2017 formatted in XBRL (Extensible Business Reporting Language): (i) the Condensed Consolidated Statements of Operations and Comprehensive Income, (ii) the Condensed Consolidated Balance Sheets, (iii) Parenthetical Data to the Condensed Consolidated Balance Sheets, (iv) the Condensed Consolidated Statements of Cash Flows, and (v) Notes to Condensed Consolidated Financial Statements, is furnished electronically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08"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Peter J. Arduini, certify that:</w:t>
      </w:r>
    </w:p>
    <w:p>
      <w:pPr>
        <w:spacing w:after="0" w:line="117"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920"/>
        <w:spacing w:after="0"/>
        <w:tabs>
          <w:tab w:leader="none" w:pos="6240" w:val="left"/>
        </w:tabs>
        <w:rPr>
          <w:sz w:val="20"/>
          <w:szCs w:val="20"/>
          <w:color w:val="auto"/>
        </w:rPr>
      </w:pPr>
      <w:r>
        <w:rPr>
          <w:rFonts w:ascii="Arial" w:cs="Arial" w:eastAsia="Arial" w:hAnsi="Arial"/>
          <w:sz w:val="18"/>
          <w:szCs w:val="18"/>
          <w:color w:val="auto"/>
        </w:rPr>
        <w:t>Date: April 26, 2017</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756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Glenn G. Coleman, certify that:</w:t>
      </w:r>
    </w:p>
    <w:p>
      <w:pPr>
        <w:spacing w:after="0" w:line="117"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Integra LifeSciences Holdings Corporation;</w:t>
      </w:r>
    </w:p>
    <w:p>
      <w:pPr>
        <w:spacing w:after="0" w:line="117"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jc w:val="both"/>
        <w:ind w:left="1300" w:right="20" w:hanging="320"/>
        <w:spacing w:after="0" w:line="264"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p>
      <w:pPr>
        <w:ind w:left="540"/>
        <w:spacing w:after="0"/>
        <w:tabs>
          <w:tab w:leader="none" w:pos="136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2017</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3966845</wp:posOffset>
            </wp:positionH>
            <wp:positionV relativeFrom="paragraph">
              <wp:posOffset>31750</wp:posOffset>
            </wp:positionV>
            <wp:extent cx="29673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p>
      <w:pPr>
        <w:sectPr>
          <w:pgSz w:w="11900" w:h="16838" w:orient="portrait"/>
          <w:cols w:equalWidth="0" w:num="1">
            <w:col w:w="11420"/>
          </w:cols>
          <w:pgMar w:left="240" w:top="121" w:right="239" w:bottom="1440" w:gutter="0" w:footer="0" w:header="0"/>
        </w:sectPr>
      </w:pPr>
    </w:p>
    <w:bookmarkStart w:id="42" w:name="page43"/>
    <w:bookmarkEnd w:id="42"/>
    <w:p>
      <w:pPr>
        <w:ind w:left="10480"/>
        <w:spacing w:after="0"/>
        <w:rPr>
          <w:sz w:val="20"/>
          <w:szCs w:val="20"/>
          <w:color w:val="auto"/>
        </w:rPr>
      </w:pPr>
      <w:r>
        <w:rPr>
          <w:rFonts w:ascii="Arial" w:cs="Arial" w:eastAsia="Arial" w:hAnsi="Arial"/>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Peter J. Arduini, President and Chief Executive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2017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240" w:val="left"/>
          <w:tab w:leader="none" w:pos="6140" w:val="left"/>
        </w:tabs>
        <w:rPr>
          <w:sz w:val="20"/>
          <w:szCs w:val="20"/>
          <w:color w:val="auto"/>
        </w:rPr>
      </w:pPr>
      <w:r>
        <w:rPr>
          <w:rFonts w:ascii="Arial" w:cs="Arial" w:eastAsia="Arial" w:hAnsi="Arial"/>
          <w:sz w:val="18"/>
          <w:szCs w:val="18"/>
          <w:color w:val="auto"/>
        </w:rPr>
        <w:t>Date:</w:t>
        <w:tab/>
        <w:t>April 26, 2017</w:t>
      </w:r>
      <w:r>
        <w:rPr>
          <w:sz w:val="20"/>
          <w:szCs w:val="20"/>
          <w:color w:val="auto"/>
        </w:rPr>
        <w:tab/>
      </w:r>
      <w:r>
        <w:rPr>
          <w:rFonts w:ascii="Arial" w:cs="Arial" w:eastAsia="Arial" w:hAnsi="Arial"/>
          <w:sz w:val="16"/>
          <w:szCs w:val="16"/>
          <w:color w:val="auto"/>
        </w:rPr>
        <w:t>/s/ Peter J. Arduini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3890010</wp:posOffset>
            </wp:positionH>
            <wp:positionV relativeFrom="paragraph">
              <wp:posOffset>31750</wp:posOffset>
            </wp:positionV>
            <wp:extent cx="2984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84500" cy="8890"/>
                    </a:xfrm>
                    <a:prstGeom prst="rect">
                      <a:avLst/>
                    </a:prstGeom>
                    <a:noFill/>
                  </pic:spPr>
                </pic:pic>
              </a:graphicData>
            </a:graphic>
          </wp:anchor>
        </w:drawing>
      </w:r>
    </w:p>
    <w:p>
      <w:pPr>
        <w:spacing w:after="0" w:line="57"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Peter J. Arduini</w:t>
      </w:r>
    </w:p>
    <w:p>
      <w:pPr>
        <w:spacing w:after="0" w:line="63" w:lineRule="exact"/>
        <w:rPr>
          <w:sz w:val="20"/>
          <w:szCs w:val="20"/>
          <w:color w:val="auto"/>
        </w:rPr>
      </w:pPr>
    </w:p>
    <w:p>
      <w:pPr>
        <w:ind w:left="6160"/>
        <w:spacing w:after="0"/>
        <w:rPr>
          <w:sz w:val="20"/>
          <w:szCs w:val="20"/>
          <w:color w:val="auto"/>
        </w:rPr>
      </w:pPr>
      <w:r>
        <w:rPr>
          <w:rFonts w:ascii="Arial" w:cs="Arial" w:eastAsia="Arial" w:hAnsi="Arial"/>
          <w:sz w:val="18"/>
          <w:szCs w:val="18"/>
          <w:i w:val="1"/>
          <w:iCs w:val="1"/>
          <w:color w:val="auto"/>
        </w:rPr>
        <w:t>President and Chief Executive Officer</w:t>
      </w:r>
    </w:p>
    <w:p>
      <w:pPr>
        <w:sectPr>
          <w:pgSz w:w="11900" w:h="16838" w:orient="portrait"/>
          <w:cols w:equalWidth="0" w:num="1">
            <w:col w:w="11420"/>
          </w:cols>
          <w:pgMar w:left="240" w:top="121" w:right="239" w:bottom="1440" w:gutter="0" w:footer="0" w:header="0"/>
        </w:sectPr>
      </w:pPr>
    </w:p>
    <w:bookmarkStart w:id="43" w:name="page44"/>
    <w:bookmarkEnd w:id="43"/>
    <w:p>
      <w:pPr>
        <w:ind w:left="10480"/>
        <w:spacing w:after="0"/>
        <w:rPr>
          <w:sz w:val="20"/>
          <w:szCs w:val="20"/>
          <w:color w:val="auto"/>
        </w:rPr>
      </w:pPr>
      <w:r>
        <w:rPr>
          <w:rFonts w:ascii="Arial" w:cs="Arial" w:eastAsia="Arial" w:hAnsi="Arial"/>
          <w:sz w:val="16"/>
          <w:szCs w:val="16"/>
          <w:b w:val="1"/>
          <w:bCs w:val="1"/>
          <w:color w:val="auto"/>
        </w:rPr>
        <w:t>Exhibit 32.2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15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 Glenn G. Coleman, Corporate Vice President and Chief Financial Officer of Integra LifeSciences Holdings Corporation (the “Company”), hereby certify that, to my knowledge:</w:t>
      </w:r>
    </w:p>
    <w:p>
      <w:pPr>
        <w:spacing w:after="0" w:line="62" w:lineRule="exact"/>
        <w:rPr>
          <w:sz w:val="20"/>
          <w:szCs w:val="20"/>
          <w:color w:val="auto"/>
        </w:rPr>
      </w:pPr>
    </w:p>
    <w:p>
      <w:pPr>
        <w:ind w:left="66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March 31, 2017 (the “Report”) fully complies with the requirement of Section 13(a) or Section 15(d), as applicable, of the Securities Exchange Act of 1934, as amended;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83" w:lineRule="exact"/>
        <w:rPr>
          <w:sz w:val="20"/>
          <w:szCs w:val="20"/>
          <w:color w:val="auto"/>
        </w:rPr>
      </w:pPr>
    </w:p>
    <w:p>
      <w:pPr>
        <w:ind w:left="620"/>
        <w:spacing w:after="0"/>
        <w:tabs>
          <w:tab w:leader="none" w:pos="1320" w:val="left"/>
          <w:tab w:leader="none" w:pos="624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April 26, 2017</w:t>
      </w:r>
      <w:r>
        <w:rPr>
          <w:sz w:val="20"/>
          <w:szCs w:val="20"/>
          <w:color w:val="auto"/>
        </w:rPr>
        <w:tab/>
      </w:r>
      <w:r>
        <w:rPr>
          <w:rFonts w:ascii="Arial" w:cs="Arial" w:eastAsia="Arial" w:hAnsi="Arial"/>
          <w:sz w:val="16"/>
          <w:szCs w:val="16"/>
          <w:color w:val="auto"/>
        </w:rPr>
        <w:t>/s/ Glenn G.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3958590</wp:posOffset>
            </wp:positionH>
            <wp:positionV relativeFrom="paragraph">
              <wp:posOffset>31750</wp:posOffset>
            </wp:positionV>
            <wp:extent cx="29241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Glenn G. Coleman</w:t>
      </w:r>
    </w:p>
    <w:p>
      <w:pPr>
        <w:spacing w:after="0" w:line="63" w:lineRule="exact"/>
        <w:rPr>
          <w:sz w:val="20"/>
          <w:szCs w:val="20"/>
          <w:color w:val="auto"/>
        </w:rPr>
      </w:pPr>
    </w:p>
    <w:p>
      <w:pPr>
        <w:ind w:left="6260"/>
        <w:spacing w:after="0"/>
        <w:rPr>
          <w:sz w:val="20"/>
          <w:szCs w:val="20"/>
          <w:color w:val="auto"/>
        </w:rPr>
      </w:pPr>
      <w:r>
        <w:rPr>
          <w:rFonts w:ascii="Arial" w:cs="Arial" w:eastAsia="Arial" w:hAnsi="Arial"/>
          <w:sz w:val="18"/>
          <w:szCs w:val="18"/>
          <w:i w:val="1"/>
          <w:iCs w:val="1"/>
          <w:color w:val="auto"/>
        </w:rPr>
        <w:t>Corporate Vice President and Chief Financial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lowerRoman"/>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1."/>
      <w:numFmt w:val="lowerRoman"/>
      <w:start w:val="1"/>
    </w:lvl>
  </w:abstractNum>
  <w:abstractNum w:abstractNumId="7">
    <w:nsid w:val="7FDCC233"/>
    <w:multiLevelType w:val="hybridMultilevel"/>
    <w:lvl w:ilvl="0">
      <w:lvlJc w:val="left"/>
      <w:lvlText w:val="%1."/>
      <w:numFmt w:val="lowerRoman"/>
      <w:start w:val="1"/>
    </w:lvl>
    <w:lvl w:ilvl="1">
      <w:lvlJc w:val="left"/>
      <w:lvlText w:val="%2."/>
      <w:numFmt w:val="decimal"/>
      <w:start w:val="1"/>
    </w:lvl>
  </w:abstractNum>
  <w:abstractNum w:abstractNumId="8">
    <w:nsid w:val="1BEFD79F"/>
    <w:multiLevelType w:val="hybridMultilevel"/>
    <w:lvl w:ilvl="0">
      <w:lvlJc w:val="left"/>
      <w:lvlText w:val="(%1)"/>
      <w:numFmt w:val="decimal"/>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decimal"/>
      <w:start w:val="1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lvl w:ilvl="1">
      <w:lvlJc w:val="left"/>
      <w:lvlText w:val="*"/>
      <w:numFmt w:val="bullet"/>
      <w:start w:val="1"/>
    </w:lvl>
  </w:abstractNum>
  <w:abstractNum w:abstractNumId="16">
    <w:nsid w:val="7C83E458"/>
    <w:multiLevelType w:val="hybridMultilevel"/>
    <w:lvl w:ilvl="0">
      <w:lvlJc w:val="left"/>
      <w:lvlText w:val="†"/>
      <w:numFmt w:val="bullet"/>
      <w:start w:val="1"/>
    </w:lvl>
    <w:lvl w:ilvl="1">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2019-12-29T07:22:48Z</dcterms:created>
  <dcterms:modified xsi:type="dcterms:W3CDTF">2019-12-29T07:22:48Z</dcterms:modified>
</cp:coreProperties>
</file>