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2016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Arial" w:cs="Arial" w:eastAsia="Arial" w:hAnsi="Arial"/>
          <w:sz w:val="16"/>
          <w:szCs w:val="16"/>
          <w:color w:val="auto"/>
        </w:rPr>
        <w:t>90 days.</w:t>
        <w:tab/>
        <w:t>Yes x</w:t>
        <w:tab/>
        <w:t>No o</w:t>
      </w:r>
    </w:p>
    <w:p>
      <w:pPr>
        <w:spacing w:after="0" w:line="15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7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x</w:t>
            </w:r>
          </w:p>
        </w:tc>
        <w:tc>
          <w:tcPr>
            <w:tcW w:w="58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46"/>
        </w:trPr>
        <w:tc>
          <w:tcPr>
            <w:tcW w:w="17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o</w:t>
            </w:r>
          </w:p>
        </w:tc>
        <w:tc>
          <w:tcPr>
            <w:tcW w:w="582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October 26, 2016 was 37,385,969.</w:t>
      </w:r>
    </w:p>
    <w:p>
      <w:pPr>
        <w:sectPr>
          <w:pgSz w:w="11900" w:h="16838" w:orient="portrait"/>
          <w:cols w:equalWidth="0" w:num="1">
            <w:col w:w="11420"/>
          </w:cols>
          <w:pgMar w:left="240" w:top="51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gridSpan w:val="7"/>
          </w:tcPr>
          <w:p>
            <w:pPr>
              <w:jc w:val="center"/>
              <w:ind w:right="138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5"/>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5"/>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5"/>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96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0"/>
              </w:rPr>
              <w:t>Condensed Consolidated Statements of Operations and Comprehensive Income (Loss) for the three and nine months ended September 30, 2016 and 2015</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line="183" w:lineRule="exact"/>
              <w:rPr>
                <w:sz w:val="20"/>
                <w:szCs w:val="20"/>
                <w:color w:val="auto"/>
              </w:rPr>
            </w:pPr>
            <w:r>
              <w:rPr>
                <w:rFonts w:ascii="Arial" w:cs="Arial" w:eastAsia="Arial" w:hAnsi="Arial"/>
                <w:sz w:val="16"/>
                <w:szCs w:val="16"/>
                <w:color w:val="0000FF"/>
                <w:w w:val="90"/>
              </w:rPr>
              <w:t>(Unaudited)</w:t>
            </w:r>
          </w:p>
        </w:tc>
        <w:tc>
          <w:tcPr>
            <w:tcW w:w="9360" w:type="dxa"/>
            <w:vAlign w:val="bottom"/>
            <w:gridSpan w:val="14"/>
          </w:tcPr>
          <w:p>
            <w:pPr>
              <w:spacing w:after="0"/>
              <w:rPr>
                <w:sz w:val="15"/>
                <w:szCs w:val="15"/>
                <w:color w:val="auto"/>
              </w:rPr>
            </w:pPr>
          </w:p>
        </w:tc>
        <w:tc>
          <w:tcPr>
            <w:tcW w:w="1240" w:type="dxa"/>
            <w:vAlign w:val="bottom"/>
            <w:gridSpan w:val="4"/>
          </w:tcPr>
          <w:p>
            <w:pPr>
              <w:jc w:val="right"/>
              <w:ind w:right="20"/>
              <w:spacing w:after="0" w:line="183"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sz w:val="20"/>
                <w:szCs w:val="20"/>
                <w:color w:val="auto"/>
              </w:rPr>
            </w:pPr>
            <w:r>
              <w:rPr>
                <w:rFonts w:ascii="Arial" w:cs="Arial" w:eastAsia="Arial" w:hAnsi="Arial"/>
                <w:sz w:val="16"/>
                <w:szCs w:val="16"/>
                <w:color w:val="0000FF"/>
              </w:rPr>
              <w:t>Condensed Consolidated Balance Sheets as of September 30, 2016 and December 31, 2015 (Unaudited)</w:t>
            </w: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3"/>
          </w:tcPr>
          <w:p>
            <w:pPr>
              <w:spacing w:after="0"/>
              <w:rPr>
                <w:sz w:val="20"/>
                <w:szCs w:val="20"/>
                <w:color w:val="auto"/>
              </w:rPr>
            </w:pPr>
            <w:r>
              <w:rPr>
                <w:rFonts w:ascii="Arial" w:cs="Arial" w:eastAsia="Arial" w:hAnsi="Arial"/>
                <w:sz w:val="16"/>
                <w:szCs w:val="16"/>
                <w:color w:val="0000FF"/>
                <w:w w:val="90"/>
              </w:rPr>
              <w:t>Condensed Consolidated Statements of Cash Flows for the nine months ended September 30, 2016 and 2015 (Unaudited)</w:t>
            </w:r>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3"/>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Unaudited Condensed Consolidated Financial Statements</w:t>
              </w:r>
            </w:hyperlink>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1"/>
          </w:tcPr>
          <w:p>
            <w:pPr>
              <w:spacing w:after="0"/>
              <w:rPr>
                <w:rFonts w:ascii="Arial" w:cs="Arial" w:eastAsia="Arial" w:hAnsi="Arial"/>
                <w:sz w:val="16"/>
                <w:szCs w:val="16"/>
                <w:color w:val="0000FF"/>
                <w:w w:val="92"/>
              </w:rPr>
            </w:pPr>
            <w:hyperlink w:anchor="page24">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4">
              <w:r>
                <w:rPr>
                  <w:rFonts w:ascii="Arial" w:cs="Arial" w:eastAsia="Arial" w:hAnsi="Arial"/>
                  <w:sz w:val="16"/>
                  <w:szCs w:val="16"/>
                  <w:color w:val="0000FF"/>
                </w:rPr>
                <w:t>24</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w w:val="92"/>
              </w:rPr>
            </w:pPr>
            <w:hyperlink w:anchor="page36">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4. Controls and Procedures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7"/>
          </w:tcPr>
          <w:p>
            <w:pPr>
              <w:spacing w:after="0"/>
              <w:rPr>
                <w:rFonts w:ascii="Arial" w:cs="Arial" w:eastAsia="Arial" w:hAnsi="Arial"/>
                <w:sz w:val="16"/>
                <w:szCs w:val="16"/>
                <w:color w:val="0000FF"/>
                <w:w w:val="96"/>
              </w:rPr>
            </w:pPr>
            <w:hyperlink w:anchor="page37">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4"/>
          </w:tcPr>
          <w:p>
            <w:pPr>
              <w:spacing w:after="0"/>
              <w:rPr>
                <w:rFonts w:ascii="Arial" w:cs="Arial" w:eastAsia="Arial" w:hAnsi="Arial"/>
                <w:sz w:val="16"/>
                <w:szCs w:val="16"/>
                <w:color w:val="0000FF"/>
                <w:w w:val="88"/>
              </w:rPr>
            </w:pPr>
            <w:hyperlink w:anchor="page37">
              <w:r>
                <w:rPr>
                  <w:rFonts w:ascii="Arial" w:cs="Arial" w:eastAsia="Arial" w:hAnsi="Arial"/>
                  <w:sz w:val="16"/>
                  <w:szCs w:val="16"/>
                  <w:color w:val="0000FF"/>
                  <w:w w:val="88"/>
                </w:rPr>
                <w:t>Item 1. Legal Proceedings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1A. Risk Factors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rFonts w:ascii="Arial" w:cs="Arial" w:eastAsia="Arial" w:hAnsi="Arial"/>
                <w:sz w:val="16"/>
                <w:szCs w:val="16"/>
                <w:color w:val="0000FF"/>
                <w:w w:val="85"/>
              </w:rPr>
            </w:pPr>
            <w:hyperlink w:anchor="page38">
              <w:r>
                <w:rPr>
                  <w:rFonts w:ascii="Arial" w:cs="Arial" w:eastAsia="Arial" w:hAnsi="Arial"/>
                  <w:sz w:val="16"/>
                  <w:szCs w:val="16"/>
                  <w:color w:val="0000FF"/>
                  <w:w w:val="85"/>
                </w:rPr>
                <w:t>Item 6. Exhibits</w:t>
              </w:r>
            </w:hyperlink>
          </w:p>
        </w:tc>
        <w:tc>
          <w:tcPr>
            <w:tcW w:w="700" w:type="dxa"/>
            <w:vAlign w:val="bottom"/>
            <w:gridSpan w:val="2"/>
          </w:tcPr>
          <w:p>
            <w:pPr>
              <w:spacing w:after="0"/>
              <w:rPr>
                <w:sz w:val="24"/>
                <w:szCs w:val="24"/>
                <w:color w:val="auto"/>
              </w:rPr>
            </w:pPr>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tcBorders>
              <w:left w:val="single" w:sz="8" w:color="0000FF"/>
            </w:tcBorders>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Arial" w:cs="Arial" w:eastAsia="Arial" w:hAnsi="Arial"/>
                <w:sz w:val="16"/>
                <w:szCs w:val="16"/>
                <w:color w:val="0000FF"/>
                <w:w w:val="90"/>
              </w:rPr>
            </w:pPr>
            <w:hyperlink w:anchor="page39">
              <w:r>
                <w:rPr>
                  <w:rFonts w:ascii="Arial" w:cs="Arial" w:eastAsia="Arial" w:hAnsi="Arial"/>
                  <w:sz w:val="16"/>
                  <w:szCs w:val="16"/>
                  <w:color w:val="0000FF"/>
                  <w:w w:val="90"/>
                </w:rPr>
                <w:t>SIGNATURES</w:t>
              </w:r>
            </w:hyperlink>
          </w:p>
        </w:tc>
        <w:tc>
          <w:tcPr>
            <w:tcW w:w="9160" w:type="dxa"/>
            <w:vAlign w:val="bottom"/>
            <w:gridSpan w:val="1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31.1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31.2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32.1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6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250,332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226,367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736,411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641,574</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89,329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263,667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236,541</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15,124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13,938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44,254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37,029</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112,317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113,424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343,510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306,007</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3,467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2,942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10,410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6,418</w:t>
            </w: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220,237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216,373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661,841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585,995</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30,095</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9,994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74,570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55,579</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(6,464)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(19,255)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(17,421)</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24,994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5,362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54,931</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41,160</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37,243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49,289</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20,144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(31,881)</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46,316</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(8,129)</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 benefit)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(10,370)</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20,144</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(31,881)</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46,316</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(18,499)</w:t>
            </w:r>
          </w:p>
        </w:tc>
      </w:tr>
      <w:tr>
        <w:trPr>
          <w:trHeight w:val="311"/>
        </w:trPr>
        <w:tc>
          <w:tcPr>
            <w:tcW w:w="6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Net income (loss) per share - basic:</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per share - 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24"/>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per share - diluted:</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37"/>
        </w:trPr>
        <w:tc>
          <w:tcPr>
            <w:tcW w:w="6180" w:type="dxa"/>
            <w:vAlign w:val="bottom"/>
          </w:tcPr>
          <w:p>
            <w:pPr>
              <w:ind w:left="380"/>
              <w:spacing w:after="0"/>
              <w:rPr>
                <w:sz w:val="20"/>
                <w:szCs w:val="20"/>
                <w:color w:val="auto"/>
              </w:rPr>
            </w:pPr>
            <w:r>
              <w:rPr>
                <w:rFonts w:ascii="Arial" w:cs="Arial" w:eastAsia="Arial" w:hAnsi="Arial"/>
                <w:sz w:val="18"/>
                <w:szCs w:val="18"/>
                <w:color w:val="auto"/>
              </w:rPr>
              <w:t>Net income (loss) per share - diluted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(0.55)</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6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 (See Note 11):</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37,267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37,143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33,682</w:t>
            </w:r>
          </w:p>
        </w:tc>
      </w:tr>
      <w:tr>
        <w:trPr>
          <w:trHeight w:val="243"/>
        </w:trPr>
        <w:tc>
          <w:tcPr>
            <w:tcW w:w="6180" w:type="dxa"/>
            <w:vAlign w:val="bottom"/>
          </w:tcPr>
          <w:p>
            <w:pPr>
              <w:ind w:left="5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40,516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35,279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39,402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33,682</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(See Note 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23,410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53,908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(36,734)</w:t>
            </w: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48,132</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Restricted cash and cash equivalents</w:t>
            </w:r>
          </w:p>
        </w:tc>
        <w:tc>
          <w:tcPr>
            <w:tcW w:w="1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4,073</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Trade accounts receivable, net of allowances of $6,173 and $5,572</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132,241</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219,671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211,429</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42,620</w:t>
            </w:r>
          </w:p>
        </w:tc>
      </w:tr>
      <w:tr>
        <w:trPr>
          <w:trHeight w:val="217"/>
        </w:trPr>
        <w:tc>
          <w:tcPr>
            <w:tcW w:w="7900" w:type="dxa"/>
            <w:vAlign w:val="bottom"/>
          </w:tcPr>
          <w:p>
            <w:pPr>
              <w:ind w:left="6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511,877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438,495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205,181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573,687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603,740</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512,389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6,932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7,487</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1,827,424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1,774,224</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Borrowings under senior credit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14,375</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Accounts payable, trade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38,932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34,772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5,666</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47,809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45,154</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39,160</w:t>
            </w:r>
          </w:p>
        </w:tc>
      </w:tr>
      <w:tr>
        <w:trPr>
          <w:trHeight w:val="217"/>
        </w:trPr>
        <w:tc>
          <w:tcPr>
            <w:tcW w:w="7900" w:type="dxa"/>
            <w:vAlign w:val="bottom"/>
          </w:tcPr>
          <w:p>
            <w:pPr>
              <w:ind w:left="6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161,397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139,127</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481,875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Long-term convertible securities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225,248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218,240</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154,891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30,230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28,648</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1,022,781</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1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Common stock; $0.01 par value; 60,000 authorized shares; 46,258 and 45,857 issued at September 30, 2016 and</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2015,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1,038,200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1,020,128</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8,915 shares at September 30, 2016 and 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(367,121)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(40,310)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(47,902)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192,195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145,879</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823,427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751,443</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1,827,424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1,774,224</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78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1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46,316</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(18,499)</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from discontinued operations, net of tax</w:t>
            </w:r>
          </w:p>
        </w:tc>
        <w:tc>
          <w:tcPr>
            <w:tcW w:w="40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10,370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54,353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40,596</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(2,919)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32,578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Amortization of debt issuance costs</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1,623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interest expense</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6,300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5,874</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Loss on disposal of property and equipment</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fair value of contingent consideration</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Share-based compensation</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12,773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11,788</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accreted interest</w:t>
            </w:r>
          </w:p>
        </w:tc>
        <w:tc>
          <w:tcPr>
            <w:tcW w:w="4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Changes in assets and liabilities, net of business acquisitions: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(9,206)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(9,061)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(8,005)</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7,423</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Other non-current assets</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accrued expenses and other current liabilities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5,831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15,793</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1,381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non-current liabilities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400" w:type="dxa"/>
            <w:vAlign w:val="bottom"/>
          </w:tcPr>
          <w:p>
            <w:pPr>
              <w:spacing w:after="0"/>
              <w:rPr>
                <w:sz w:val="14"/>
                <w:szCs w:val="14"/>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109,876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91,423</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 of discontinued operations</w:t>
            </w:r>
          </w:p>
        </w:tc>
        <w:tc>
          <w:tcPr>
            <w:tcW w:w="4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(12,209)</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109,876</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79,214</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(26,136)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(20,314)</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property and equipment</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Cash used in business acquisition, net of cash acquired</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(308,256)</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received from business acquisition purchase price adjustment</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Change in restricted cash</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4,165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 of continuing operations</w:t>
            </w: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(21,480)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(327,132)</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Net cash used in investing activities of discontinued operations</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(7,060)</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(21,480)</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(334,192)</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under senior credit facility</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545,000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Repayments under senior credit facility</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(48,750)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(448,750)</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2016 convertible notes</w:t>
            </w:r>
          </w:p>
        </w:tc>
        <w:tc>
          <w:tcPr>
            <w:tcW w:w="4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(2,519)</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Distribution to SeaSpine</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(47,013)</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debt issuance costs</w:t>
            </w:r>
          </w:p>
        </w:tc>
        <w:tc>
          <w:tcPr>
            <w:tcW w:w="4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the issuance of common stock, net of issuance costs</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219,888</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under capital lease obligations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exercised stock options</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9,925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7,345</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taxes paid in net equity settlement</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(4,567)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(6,446)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400" w:type="dxa"/>
            <w:vAlign w:val="bottom"/>
          </w:tcPr>
          <w:p>
            <w:pPr>
              <w:spacing w:after="0"/>
              <w:rPr>
                <w:sz w:val="14"/>
                <w:szCs w:val="14"/>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(28,879)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265,902</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(3,347)</w:t>
            </w: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400" w:type="dxa"/>
            <w:vAlign w:val="bottom"/>
          </w:tcPr>
          <w:p>
            <w:pPr>
              <w:spacing w:after="0"/>
              <w:rPr>
                <w:sz w:val="14"/>
                <w:szCs w:val="14"/>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59,466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7,577</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48,132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71,734</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107,598</w:t>
            </w:r>
          </w:p>
        </w:tc>
        <w:tc>
          <w:tcPr>
            <w:tcW w:w="100" w:type="dxa"/>
            <w:vAlign w:val="bottom"/>
          </w:tcPr>
          <w:p>
            <w:pPr>
              <w:spacing w:after="0"/>
              <w:rPr>
                <w:sz w:val="14"/>
                <w:szCs w:val="1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79,311</w:t>
            </w:r>
          </w:p>
        </w:tc>
        <w:tc>
          <w:tcPr>
            <w:tcW w:w="0" w:type="dxa"/>
            <w:vAlign w:val="bottom"/>
          </w:tcPr>
          <w:p>
            <w:pPr>
              <w:spacing w:after="0"/>
              <w:rPr>
                <w:sz w:val="1"/>
                <w:szCs w:val="1"/>
                <w:color w:val="auto"/>
              </w:rPr>
            </w:pPr>
          </w:p>
        </w:tc>
      </w:tr>
      <w:tr>
        <w:trPr>
          <w:trHeight w:val="65"/>
        </w:trPr>
        <w:tc>
          <w:tcPr>
            <w:tcW w:w="786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233"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233"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September 30, 2016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2015 included in the Company’s Annual Report on Form 10-K. The December 31, 2015 consolidated balance sheet was derived from audited financial statements, but does not include all disclosures required by accounting principles generally accepted in the United States. Operating results for the three- and nine-month periods ended September 30, 2016 are not necessarily indicative of the results to be expected for the entire year.</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July 1, 2015, the Company completed the distribution of 100% of the outstanding common shares of SeaSpine Holdings Corporation ("SeaSpine") to Integra shareholders who received one share of SeaSpine common stock for every three shares of Integra common stock held as of the close of business on the record date, June 19, 2015. The Company has classified the results of operations and cash flows of SeaSpine as discontinued operations for the nine-month period ended September 30, 2015 presented in the Company's Form 10-Q. Unless indicated otherwise, the information in the Notes to the condensed consolidated financial statements relates to the Company's continuing operations. Refer to Note 2 -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additional information regarding the distribution.</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will become effective for all annual periods and interim reporting periods beginning after December 15, 2017. Early adoption as of January 1, 2017 is permitted. The Company is in the process of evaluating the impact of this standard on its financial statements.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2014, the FASB issued Update No.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Could Be Achieved after the Requisite Service Period (Topic 718)</w:t>
      </w:r>
      <w:r>
        <w:rPr>
          <w:rFonts w:ascii="Arial" w:cs="Arial" w:eastAsia="Arial" w:hAnsi="Arial"/>
          <w:sz w:val="17"/>
          <w:szCs w:val="17"/>
          <w:color w:val="auto"/>
        </w:rPr>
        <w:t>. The amendment requires that a performance target that affects vesting and that could be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 target is achieved. This update became effective for annual and interim reporting periods beginning after December 15, 2015. The Company adopted this guidance effective January 1, 2016 on a prospective basis. The implementation of the amended guidance did not have a material impact on the Company's consolidated financial position or results of operations.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2014, the FASB issued Update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 requires management to evaluate, for each annual and interim reporting period, whether there are conditions and events, considered in the aggregate, that raise substantial doubt about an entity’s ability to continue as a going concern within one year after the date the financial statements are issued or are available to be issued. If substantial doubt is raised, additional disclosures around management’s plan to alleviate these doubts are required. This update will become effective for all annual periods and interim reporting periods beginning after December 15, 2016. The implementation of the amended guidance is not expected to have an impact on current disclosures in the financial statements.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April 2015, the FASB issued Update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The amendment requires that all costs incurred to issue certain debt be presented in the balance sheet as a direct deduction from the carrying value of the debt. The new standard is limited to the presentation of debt issuance costs and does not affect the recognition or measurement of debt issuance costs. This update became effective for all annual periods and interim reporting periods beginning after December 15, 2015. The Company adopted this guidance effective January 1, 2016 on a retrospective basis. The implementation of the amended guidance did not have a material impact on the consolidated results of operations and resulted in a reclassification of a portion of the debt issuance costs from other long-term assets to long-term debt.</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July 2015, the FASB issued Update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The amendment requires an entity to measure inventory that is within the scope of this amendment at the lower of cost and net realizable value. Existing impairment models will continue to be used for inventories that are accounted for using the last-in first-out (“LIFO”) method. The ASU requires prospective adoption for inventory measurements for fiscal years beginning after December 15, 2016 and interim periods within those fiscal years for public business entities. Early adoption is permitted. The implementation of the amended guidance is not expected to have a material impact on the consolidated financial position or results of operations.</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August 2015, the FASB issued Update No. 2015-15, </w:t>
      </w:r>
      <w:r>
        <w:rPr>
          <w:rFonts w:ascii="Arial" w:cs="Arial" w:eastAsia="Arial" w:hAnsi="Arial"/>
          <w:sz w:val="16"/>
          <w:szCs w:val="16"/>
          <w:i w:val="1"/>
          <w:iCs w:val="1"/>
          <w:color w:val="auto"/>
        </w:rPr>
        <w:t>Interest - Imputation of Interest</w:t>
      </w:r>
      <w:r>
        <w:rPr>
          <w:rFonts w:ascii="Arial" w:cs="Arial" w:eastAsia="Arial" w:hAnsi="Arial"/>
          <w:sz w:val="16"/>
          <w:szCs w:val="16"/>
          <w:color w:val="auto"/>
        </w:rPr>
        <w:t xml:space="preserve">. The amendment requires entities to present debt issuance costs related to a recognized debt liability as a direct deduction from the carrying amount of that debt liability. The guidance in </w:t>
      </w:r>
      <w:r>
        <w:rPr>
          <w:rFonts w:ascii="Arial" w:cs="Arial" w:eastAsia="Arial" w:hAnsi="Arial"/>
          <w:sz w:val="16"/>
          <w:szCs w:val="16"/>
          <w:i w:val="1"/>
          <w:iCs w:val="1"/>
          <w:color w:val="auto"/>
        </w:rPr>
        <w:t>ASU No. 2015-03</w:t>
      </w:r>
      <w:r>
        <w:rPr>
          <w:rFonts w:ascii="Arial" w:cs="Arial" w:eastAsia="Arial" w:hAnsi="Arial"/>
          <w:sz w:val="16"/>
          <w:szCs w:val="16"/>
          <w:color w:val="auto"/>
        </w:rPr>
        <w:t xml:space="preserve"> does not address presentation or subsequent measurement of debt issuance costs related to line-of-credit arrangements. Given the absence of authoritative guidance within </w:t>
      </w:r>
      <w:r>
        <w:rPr>
          <w:rFonts w:ascii="Arial" w:cs="Arial" w:eastAsia="Arial" w:hAnsi="Arial"/>
          <w:sz w:val="16"/>
          <w:szCs w:val="16"/>
          <w:i w:val="1"/>
          <w:iCs w:val="1"/>
          <w:color w:val="auto"/>
        </w:rPr>
        <w:t>ASU</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2015-03 </w:t>
      </w:r>
      <w:r>
        <w:rPr>
          <w:rFonts w:ascii="Arial" w:cs="Arial" w:eastAsia="Arial" w:hAnsi="Arial"/>
          <w:sz w:val="16"/>
          <w:szCs w:val="16"/>
          <w:color w:val="auto"/>
        </w:rPr>
        <w:t>for debt issuance costs related to line-of-credit arrangements, the SEC staff indicated that it would not object to an entity's deferring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presenting debt issuance costs as an asset and subsequently amortizing the deferred debt issuance costs ratably over the term of the line-of-credit arrangement, regardless of whether there are any outstanding borrowings on the line-of-credit arrangement. This update became effective for all annual periods and interim reporting periods beginning after December 15, 2015. The Company adopted this guidance effective January 1, 2016 on a retrospective basis. The implementation of the amended guidance did not have a material impact on the consolidated financial position or results of operations.</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September 2015, the FASB issued Update No. 2015-16, </w:t>
      </w:r>
      <w:r>
        <w:rPr>
          <w:rFonts w:ascii="Arial" w:cs="Arial" w:eastAsia="Arial" w:hAnsi="Arial"/>
          <w:sz w:val="16"/>
          <w:szCs w:val="16"/>
          <w:i w:val="1"/>
          <w:iCs w:val="1"/>
          <w:color w:val="auto"/>
        </w:rPr>
        <w:t>Simplifying the Accounting for Measurement-Period Adjustments</w:t>
      </w:r>
      <w:r>
        <w:rPr>
          <w:rFonts w:ascii="Arial" w:cs="Arial" w:eastAsia="Arial" w:hAnsi="Arial"/>
          <w:sz w:val="16"/>
          <w:szCs w:val="16"/>
          <w:color w:val="auto"/>
        </w:rPr>
        <w:t>. The amendment requires that an acquirer recognize adjustments to provisional amounts that are identified during the measurement period in the reporting period in which the adjustment amounts are determined. This update also requires an entity to present separately in the income statement or disclose in the notes, the portion of the amount recorded in current-period earnings by line item that would have been recorded in previous reporting periods if the adjustment to the provisional amounts had been recognized as of the acquisition date. This update became effective for all annual periods and interim reporting periods beginning after December 15, 2015. The new standard must be applied prospectively to adjustments to provisional amounts that occur after the effective date. The implementation of the amended guidance did not have a material impact on the consolidated results of operations or disclosures in the financial statements.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2015, the FASB issued Update No. 2015-17, </w:t>
      </w:r>
      <w:r>
        <w:rPr>
          <w:rFonts w:ascii="Arial" w:cs="Arial" w:eastAsia="Arial" w:hAnsi="Arial"/>
          <w:sz w:val="18"/>
          <w:szCs w:val="18"/>
          <w:i w:val="1"/>
          <w:iCs w:val="1"/>
          <w:color w:val="auto"/>
        </w:rPr>
        <w:t>Income Taxes (Topic 740)</w:t>
      </w:r>
      <w:r>
        <w:rPr>
          <w:rFonts w:ascii="Arial" w:cs="Arial" w:eastAsia="Arial" w:hAnsi="Arial"/>
          <w:sz w:val="18"/>
          <w:szCs w:val="18"/>
          <w:color w:val="auto"/>
        </w:rPr>
        <w:t>. Under current accounting guidance an entity is required to separate deferred income tax liabilities and assets into current and non-current amounts in a classified statement of financial position. The amendment requires that an entity present all deferred tax assets and liabilities as non-current in a classified statement of financial position. This update was designated to become effective for all annual periods and interim reporting periods beginning after December 15, 2016, however the Company adopted this guidance effective December 31, 2015 on a prospective basis.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February 2016, the FASB issued Update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Under current accounting guidance an entity is not required to report operating leases on the balance sheet. The amendment requires that lessees recognize virtually all of their leases on the balance sheet, by recording a right-of-use asset and lease liability (other than leases that meet the definition of a "short-term lease"). This update will become effective for all annual periods and interim reporting periods beginning after December 15,</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2018. The new standard must be adopted using a modified retrospective transition. Early adoption is permitted. The Company is in the process of evaluating the impact of this standard on its financial statements.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March 2016, the FASB issued Update No. 2016-09, </w:t>
      </w:r>
      <w:r>
        <w:rPr>
          <w:rFonts w:ascii="Arial" w:cs="Arial" w:eastAsia="Arial" w:hAnsi="Arial"/>
          <w:sz w:val="16"/>
          <w:szCs w:val="16"/>
          <w:i w:val="1"/>
          <w:iCs w:val="1"/>
          <w:color w:val="auto"/>
        </w:rPr>
        <w:t>Improvements to Employee Share-Based Payment Accounting (Topic 718) (ASU 2016-09)</w:t>
      </w:r>
      <w:r>
        <w:rPr>
          <w:rFonts w:ascii="Arial" w:cs="Arial" w:eastAsia="Arial" w:hAnsi="Arial"/>
          <w:sz w:val="16"/>
          <w:szCs w:val="16"/>
          <w:color w:val="auto"/>
        </w:rPr>
        <w:t xml:space="preserve">, which simplifies several aspects of the accounting for share-based payment. Under current accounting guidance an entity is required to report excess tax benefits and tax deficiencies, to the extent of previous windfalls, in equity when an award is settled. A tax benefit currently only is recognized when it is realized. Excess tax benefits at settlements are currently reported as cash inflows from financing activities. The amendment requires that an entity present all excess tax benefits and all tax deficiencies as income tax expense or benefit in the statement of operations to be applied using a prospective transition method. Related tax effects of share-based payment settlements are to be presented as cash inflows from operating activities with a transition method of either a prospective or retrospective transition method. The amendment also removes the requirement to delay recognition of an excess tax benefit until the tax benefit is realized. A modified retrospective transition method must be applied for this provision of amendment. </w:t>
      </w:r>
      <w:r>
        <w:rPr>
          <w:rFonts w:ascii="Arial" w:cs="Arial" w:eastAsia="Arial" w:hAnsi="Arial"/>
          <w:sz w:val="16"/>
          <w:szCs w:val="16"/>
          <w:i w:val="1"/>
          <w:iCs w:val="1"/>
          <w:color w:val="auto"/>
        </w:rPr>
        <w:t>ASU 2016-09</w:t>
      </w:r>
      <w:r>
        <w:rPr>
          <w:rFonts w:ascii="Arial" w:cs="Arial" w:eastAsia="Arial" w:hAnsi="Arial"/>
          <w:sz w:val="16"/>
          <w:szCs w:val="16"/>
          <w:color w:val="auto"/>
        </w:rPr>
        <w:t xml:space="preserve"> allows the Company to elect to account for forfeitures either based on an estimate of the number of awards for which the requisite service period is not expected to be rendered with a true-up for actual forfeitures or to account for forfeitures as they occur. The amendment also requires cash outflows attributable to tax withholdings on the net settlement of equity-classified awards to be classified in financing cash flows, with any changes to be applied retrospectively. </w:t>
      </w:r>
      <w:r>
        <w:rPr>
          <w:rFonts w:ascii="Arial" w:cs="Arial" w:eastAsia="Arial" w:hAnsi="Arial"/>
          <w:sz w:val="16"/>
          <w:szCs w:val="16"/>
          <w:i w:val="1"/>
          <w:iCs w:val="1"/>
          <w:color w:val="auto"/>
        </w:rPr>
        <w:t>ASU 2016-09</w:t>
      </w:r>
      <w:r>
        <w:rPr>
          <w:rFonts w:ascii="Arial" w:cs="Arial" w:eastAsia="Arial" w:hAnsi="Arial"/>
          <w:sz w:val="16"/>
          <w:szCs w:val="16"/>
          <w:color w:val="auto"/>
        </w:rPr>
        <w:t xml:space="preserve"> is effective for all annual periods and interim reporting periods beginning after December 15, 2016. Early adoption is permitted.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elected to early adopt </w:t>
      </w:r>
      <w:r>
        <w:rPr>
          <w:rFonts w:ascii="Arial" w:cs="Arial" w:eastAsia="Arial" w:hAnsi="Arial"/>
          <w:sz w:val="18"/>
          <w:szCs w:val="18"/>
          <w:i w:val="1"/>
          <w:iCs w:val="1"/>
          <w:color w:val="auto"/>
        </w:rPr>
        <w:t>ASU 2016-09</w:t>
      </w:r>
      <w:r>
        <w:rPr>
          <w:rFonts w:ascii="Arial" w:cs="Arial" w:eastAsia="Arial" w:hAnsi="Arial"/>
          <w:sz w:val="18"/>
          <w:szCs w:val="18"/>
          <w:color w:val="auto"/>
        </w:rPr>
        <w:t xml:space="preserve"> during the quarter ended June 30, 2016, which requires any adjustments to be reflected as of January 1, 2016, the beginning of the annual period that includes the interim period of adoption. The Company elected to account for forfeitures as they occur. The impact in retained earnings as of December 31, 2015 from this provision was not significant. Amendments related to accounting for excess tax benefits have been adopted prospectively, resulting in recognition of excess tax benefits against income tax expenses rather than additional paid-in capital of $0.5 million and $3.4 million for the three and nine months ended September 30, 2016, respectively. Amendments related to the condensed consolidated statement of cash flows have been adopted retrospectively. As a result of this adoption, net cash provided by operating activities increased by $8.1 million and net cash provided by financing activities decreased by $8.1 million for the nine months ended September 30, 2016. The nine months ended September 30, 2015 was adjusted as follows: a $10.1 million increase to net cash provided by operating activities and a $10.1 million decrease in net cash provided by financing activities.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2016, the FASB issued Update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The guidance addresses the classification of cash flows related to debt repayment or extinguishment costs, settlement of zero-coupon debt instruments or debt instruments with coupon rate that are insignificant in relation to the effective interest rate of the borrowing, contingent consideration payments made after business combination, proceeds from the settlement of insurance claims and corporate-owned life insurance, distribution received from equity method investees and beneficial interest in securitization transaction. This update will become effective for all annual periods and interim reporting periods beginning after December 15, 2017. Early adoption is permitted. The Company is in the process of evaluating the impact of this standard on its financial statements.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the Company's financial position, results of operations or cash flows.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29, 2014, Integra's Board of Directors approved the announcement of a plan to separate the Company's spine and orthobiologics businesses, now known as SeaSpine Holdings Corporation, from Integra as a new, publicly traded medical technology company focused on the design, development and commercialization of surgical solutions for the treatment of patients suffering from spinal disorders. Integra's board of directors based this determination, in part, on its belief that the tax-free distribution of SeaSpine's shares to Integra stockholders was the most efficient manner to separate the business from Integra's other medical technology businesses. On November 3, 2014, the Company announced its intention to separate its spine business, which was previously a separate reportable segment. On July 1, 2015, the Company completed the distribution of 100% of the outstanding common stock of SeaSpine to Integra's stockholders, who received one share of SeaSpine common stock for every three shares of Integra common stock held as of the close of business on the record date, June 19, 2015. The Company and SeaSpine share three board members, including the chair of Integra’s board of directors, who is lead director for SeaSpine. The separation agreement provided SeaSpine with approximately $47.0 million of total cash immediately following the distribution. No gain or loss was recognized on the part of the Company or stockholders as a result of the distribution resulting from the separation of the spine business.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historical results of operations, cash flows, and statement of financial position of SeaSpine have been presented as discontinued operations in the condensed consolidated financial statements and prior periods have been restated. Discontinued operations include results of SeaSpine's business except for certain allocated corporate overhead costs and certain costs associated with transition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services provided by Integra to SeaSpine. These allocated costs remain part of continuing operations. Discontinued operations also include other costs incurred by Integra to separate SeaSpine from the fourth quarter of 2014 through the second quarter of 2015. These costs include transaction charges, advisory and consulting fees, and information system expenses. Since the third quarter of 2015, SeaSpine has been a stand-alone public company that separately reports its financial results. Due to differences between the basis of presentation for discontinued operations and the basis of presentation as a stand-alone company, the financial results of SeaSpine included within discontinued operations for the Company may not be indicative of actual financial results of SeaSpine as a stand-alone company.</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results from discontinued operations of SeaSpine included in the condensed consolidated statement of operations for the nine-month period ended September 30, 2015 (in thousands):</w:t>
      </w:r>
    </w:p>
    <w:p>
      <w:pPr>
        <w:spacing w:after="0" w:line="134" w:lineRule="exact"/>
        <w:rPr>
          <w:sz w:val="20"/>
          <w:szCs w:val="20"/>
          <w:color w:val="auto"/>
        </w:rPr>
      </w:pPr>
    </w:p>
    <w:tbl>
      <w:tblPr>
        <w:tblLayout w:type="fixed"/>
        <w:tblInd w:w="2240" w:type="dxa"/>
        <w:tblCellMar>
          <w:top w:w="0" w:type="dxa"/>
          <w:left w:w="0" w:type="dxa"/>
          <w:bottom w:w="0" w:type="dxa"/>
          <w:right w:w="0" w:type="dxa"/>
        </w:tblCellMar>
      </w:tblPr>
      <w:tr>
        <w:trPr>
          <w:trHeight w:val="206"/>
        </w:trPr>
        <w:tc>
          <w:tcPr>
            <w:tcW w:w="56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65,775</w:t>
            </w:r>
          </w:p>
        </w:tc>
      </w:tr>
      <w:tr>
        <w:trPr>
          <w:trHeight w:val="33"/>
        </w:trPr>
        <w:tc>
          <w:tcPr>
            <w:tcW w:w="5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80,618</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(14,843)</w:t>
            </w:r>
          </w:p>
        </w:tc>
      </w:tr>
      <w:tr>
        <w:trPr>
          <w:trHeight w:val="33"/>
        </w:trPr>
        <w:tc>
          <w:tcPr>
            <w:tcW w:w="5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Loss from discontinued operations before tax</w:t>
            </w: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(15,609)</w:t>
            </w:r>
          </w:p>
        </w:tc>
      </w:tr>
      <w:tr>
        <w:trPr>
          <w:trHeight w:val="33"/>
        </w:trPr>
        <w:tc>
          <w:tcPr>
            <w:tcW w:w="5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(5,239)</w:t>
            </w:r>
          </w:p>
        </w:tc>
      </w:tr>
      <w:tr>
        <w:trPr>
          <w:trHeight w:val="244"/>
        </w:trPr>
        <w:tc>
          <w:tcPr>
            <w:tcW w:w="5600" w:type="dxa"/>
            <w:vAlign w:val="bottom"/>
          </w:tcPr>
          <w:p>
            <w:pPr>
              <w:ind w:left="20"/>
              <w:spacing w:after="0"/>
              <w:rPr>
                <w:sz w:val="20"/>
                <w:szCs w:val="20"/>
                <w:color w:val="auto"/>
              </w:rPr>
            </w:pPr>
            <w:r>
              <w:rPr>
                <w:rFonts w:ascii="Arial" w:cs="Arial" w:eastAsia="Arial" w:hAnsi="Arial"/>
                <w:sz w:val="16"/>
                <w:szCs w:val="16"/>
                <w:color w:val="auto"/>
              </w:rPr>
              <w:t>Net loss from discontinued operations</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(10,370)</w:t>
            </w:r>
          </w:p>
        </w:tc>
      </w:tr>
      <w:tr>
        <w:trPr>
          <w:trHeight w:val="20"/>
        </w:trPr>
        <w:tc>
          <w:tcPr>
            <w:tcW w:w="5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removal of SeaSpine's net assets and unrealized accelerated currency translation adjustment was presented as a reduction in Integra's retained earnings.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effect the separation and govern Integra's relationship with SeaSpine after the separation, the Company entered into a Separation and Distribution Agreement and other agreements, including a Tax Matters Agreement, an Employee Matters Agreement, several supply agreements, and a Transition Services Agreement. The Separation and Distribution Agreement governs the separation of the spine business, the transfer of assets and other matters related to the Company's relationship with SeaSpine.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Matters Agreement governs the respective rights, responsibilities and obligations of SeaSpine and Integra with respect to taxes, tax attributes, tax returns, tax proceedings and certain other tax matters.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Employee Matters Agreement governs the compensation and employee benefit obligations with respect to the current and former employees and non-employee directors of SeaSpine and Integra, and generally allocates liabilities and responsibilities relating to employee compensation, benefit plans and programs. The Employee Matters Agreement provides that employees of SeaSpine will no longer participate in benefit plans sponsored or maintained by Integra. In addition, the Employee Matters Agreement provides that each of the parties will be responsible for their respective former and current employees and compensation plans for such current employees.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entered into several Supply Agreements in which SeaSpine engaged Integra to be the product supplier of Integra's former Integra Mozaik</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product line ("Mozaik") for a three-year period following the separation, after which there will be no defined terms and this will be considered a normal purchase/sale arrangement. This product line has been licensed to SeaSpine in conjunction with the spin-off. Prior to the spin-off, sales of Mozaik products from an Integra facility to a SeaSpine facility were eliminated in Integra's historical consolidated financial results of operations. The revenue and cost of goods sold related to prior sales of Mozaik to SeaSpine have been restated and are presented in Integra's continuing operations as results of operations. The Company has recorded $0.1 million and $1.9 million in revenue related to the sale of Mozaik products for the three-month periods ended September 30, 2016 and 2015, respectively, and $0.8 million and $7.5 million, respectively for the nine-month periods ended September 30, 2016 and 2015. The Company has recorded the related cost of goods sold of approximately $0.1 million and $1.1 million in for the three-months periods ended September 30, 2016 and 2015, respectively and $0.7 million and $2.4 million for the nine-month periods ended September 30, 2016 and 2015, respectively, in its continuing operations.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Transition Services Agreement, the Company agreed to provide administrative, site services, information technology systems and various other corporate and support services to SeaSpine over various periods after the separation on a cost or cost-plus basis. The most significant components of the service income are the provision of information systems and legal services, which were substantially completed during the first quarter of 2016. In the three- and nine-month periods ended September 30, 2016 other income (expense), net, includes a minimal amount and $0.3 million, respectively, and three- and nine-month period ended September 30, 2015 other income (expense), net, both include $1.8 million of income in respect of the provision of services to SeaSpine.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ind w:right="8980" w:firstLine="8"/>
        <w:spacing w:after="0" w:line="376"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ACQUISITIONS </w:t>
      </w:r>
      <w:r>
        <w:rPr>
          <w:rFonts w:ascii="Arial" w:cs="Arial" w:eastAsia="Arial" w:hAnsi="Arial"/>
          <w:sz w:val="18"/>
          <w:szCs w:val="18"/>
          <w:i w:val="1"/>
          <w:iCs w:val="1"/>
          <w:u w:val="single" w:color="auto"/>
          <w:color w:val="auto"/>
        </w:rPr>
        <w:t>Tekmed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15, 2015, the Company acquired the assets of Tekmed Instruments S.p.A ("Tekmed") for an aggregate purchase price of $14.1 million including a minimal amount of working capital and purchase adjustment which was recorded as an adjustment to assumed liabilities. Tekmed was a distributor of the Company's and third parties' products in Italy and focused on neurosurgery and neurotrauma, along with representation in plastic and reconstructive surgery, cardiovascular surgery, image diagnostics, general surgery, anesthesia and intensive care, interventional radiology, and proton therapy. This acquisition enables the Company to sell directly into the market to support our Specialty Surgical Solutions division's growth in Italy along with other key Integra franchises.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Tekmed of approximately $0.9 million and $3.3 million related to third-party products in the consolidated statements of operations for the three- and nine-month ended September 30, 2016, respectively. The net income or loss attributable to this acquisition cannot be identified on a stand-alone basis because it is in the process of being integrated into the Company's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as of September 30, 2016 based on the fair value of the assets acquired and liabilities assumed: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196"/>
              <w:spacing w:after="0"/>
              <w:rPr>
                <w:sz w:val="20"/>
                <w:szCs w:val="20"/>
                <w:color w:val="auto"/>
              </w:rPr>
            </w:pPr>
            <w:r>
              <w:rPr>
                <w:rFonts w:ascii="Arial" w:cs="Arial" w:eastAsia="Arial" w:hAnsi="Arial"/>
                <w:sz w:val="14"/>
                <w:szCs w:val="14"/>
                <w:b w:val="1"/>
                <w:bCs w:val="1"/>
                <w:color w:val="auto"/>
                <w:w w:val="96"/>
              </w:rPr>
              <w:t>Preliminary</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9"/>
        </w:trPr>
        <w:tc>
          <w:tcPr>
            <w:tcW w:w="7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6"/>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1,143</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98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7540" w:type="dxa"/>
            <w:vAlign w:val="bottom"/>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2"/>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7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Supplier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4,981</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2 -13 Years</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980" w:type="dxa"/>
            <w:vAlign w:val="bottom"/>
          </w:tcPr>
          <w:p>
            <w:pPr>
              <w:jc w:val="right"/>
              <w:ind w:right="16"/>
              <w:spacing w:after="0"/>
              <w:rPr>
                <w:sz w:val="20"/>
                <w:szCs w:val="20"/>
                <w:color w:val="auto"/>
              </w:rPr>
            </w:pPr>
            <w:r>
              <w:rPr>
                <w:rFonts w:ascii="Arial" w:cs="Arial" w:eastAsia="Arial" w:hAnsi="Arial"/>
                <w:sz w:val="18"/>
                <w:szCs w:val="18"/>
                <w:color w:val="auto"/>
              </w:rPr>
              <w:t>9,665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16,469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21"/>
                <w:szCs w:val="21"/>
                <w:color w:val="auto"/>
              </w:rPr>
            </w:pPr>
          </w:p>
        </w:tc>
        <w:tc>
          <w:tcPr>
            <w:tcW w:w="1980" w:type="dxa"/>
            <w:vAlign w:val="bottom"/>
          </w:tcPr>
          <w:p>
            <w:pPr>
              <w:jc w:val="right"/>
              <w:ind w:right="16"/>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1,564</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14,103</w:t>
            </w: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Tornier's United States Toe &amp; Ankle Business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October 2, 2015, the Company acquired the United States rights to Tornier's Salto Talaris® and Salto Talaris® XT ankle replacement products and Tornier's Futura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silastic toe replacement products (the "Salto and Futura") for $6.0 million in cash. Under the agreement, Integra acquired the U.S. rights to the Salto Talaris® Total Ankle Prosthesis, Salto Talaris® XT Revision Total Ankle Prosthesis, Futura™ Primus Flexible Great Toe system, Futura™ Classic Flexible Great Toe system, and Futura™ Lesser Metatarsal Phalangeal system. The agreement also includes an option to purchase, in the future, the rights to the Salto Talaris®, Salto Talaris® XT, Salto Mobile, and Futura™ silastic toe replacement products outside the United States. The estimated fair value of the net assets acquired exceeded the purchase price for the Salto and Futura product lines and resulted in the Company's recording a gain of $1.1 million for the year ended December 31, 2015 in Other Income. The acquired toe and ankle products enhance the Company's lower extremities product offering and accelerate its entry into the U.S. total ankle replacement market.</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Salto and Futura of approximately $3.2 million and $10.5 million in the consolidated statements of operations for the three- and nine-month period ended September 30, 2016, respectively. The net income or loss attributable to this acquisition cannot be identified on a stand-alone basis because it is in the process of being integrated into the Company's operations.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allocation of the purchase price as of September 30, 2016 based on the fair value of the assets acquired and liabilities assumed: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215"/>
              <w:spacing w:after="0"/>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2,688</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1,453</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243"/>
        </w:trPr>
        <w:tc>
          <w:tcPr>
            <w:tcW w:w="7540" w:type="dxa"/>
            <w:vAlign w:val="bottom"/>
            <w:tcBorders>
              <w:top w:val="single" w:sz="8" w:color="CCEEFF"/>
            </w:tcBorders>
          </w:tcPr>
          <w:p>
            <w:pPr>
              <w:ind w:left="260"/>
              <w:spacing w:after="0"/>
              <w:rPr>
                <w:sz w:val="20"/>
                <w:szCs w:val="20"/>
                <w:color w:val="auto"/>
              </w:rPr>
            </w:pPr>
            <w:r>
              <w:rPr>
                <w:rFonts w:ascii="Arial" w:cs="Arial" w:eastAsia="Arial" w:hAnsi="Arial"/>
                <w:sz w:val="18"/>
                <w:szCs w:val="18"/>
                <w:color w:val="auto"/>
              </w:rPr>
              <w:t>Ankle product family</w:t>
            </w:r>
          </w:p>
        </w:tc>
        <w:tc>
          <w:tcPr>
            <w:tcW w:w="3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tcPr>
          <w:p>
            <w:pPr>
              <w:jc w:val="right"/>
              <w:ind w:right="15"/>
              <w:spacing w:after="0"/>
              <w:rPr>
                <w:sz w:val="20"/>
                <w:szCs w:val="20"/>
                <w:color w:val="auto"/>
              </w:rPr>
            </w:pPr>
            <w:r>
              <w:rPr>
                <w:rFonts w:ascii="Arial" w:cs="Arial" w:eastAsia="Arial" w:hAnsi="Arial"/>
                <w:sz w:val="18"/>
                <w:szCs w:val="18"/>
                <w:color w:val="auto"/>
              </w:rPr>
              <w:t>3,210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 years</w:t>
            </w:r>
          </w:p>
        </w:tc>
        <w:tc>
          <w:tcPr>
            <w:tcW w:w="440" w:type="dxa"/>
            <w:vAlign w:val="bottom"/>
            <w:tcBorders>
              <w:top w:val="single" w:sz="8" w:color="CCEEFF"/>
            </w:tcBorders>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Toe product family</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460</w:t>
            </w:r>
          </w:p>
        </w:tc>
        <w:tc>
          <w:tcPr>
            <w:tcW w:w="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 years</w:t>
            </w:r>
          </w:p>
        </w:tc>
      </w:tr>
      <w:tr>
        <w:trPr>
          <w:trHeight w:val="237"/>
        </w:trPr>
        <w:tc>
          <w:tcPr>
            <w:tcW w:w="754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7,811</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700</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7,111</w:t>
            </w: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17, 2015, the Company executed the two merger agreements (collectively, the "Agreements") under which the Company acquired TEI Biosciences, Inc., a Delaware corporation ("TEI Bio"), and TEI Medical Inc., a Delaware corporation ("TEI Med", collectively "TEI") for an aggregate purchase price of approximately $312.2 million ($210.9 million for TEI Bio and $101.3 million for TEI Med) including a working capital and purchase price adjustment of $0.2 million ($0.5 million for TEI Bio offset by $0.7 million cash received for TEI Med) which was recorded as a reduction from goodwill. The purchase price consisted of a cash payment to the former shareholders of TEI Bio and TEI Med of approximately $312.4 million upon the closing of the transaction, net of $1.2 million of acquired cash.</w:t>
      </w:r>
    </w:p>
    <w:p>
      <w:pPr>
        <w:spacing w:after="0" w:line="1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TEI Bio was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recorded revenue for TEI of approximately $12.6 million and $38.6 million in the condensed consolidated statements of operations for the three- and nine-month ended September 30, 2016, respectively, and $13.2 million for the three- and nine-month ended September 30, 2015. The net income or loss attributable to this acquisition cannot be identified on a stand-alone basis because it is in the process of being integrated into the Company's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allocation of the purchase price as of September 30, 2016 based on the fair value of the assets acquired and liabilities assumed: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213"/>
              <w:spacing w:after="0"/>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3"/>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1,241</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9,011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23,223</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5,135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2,670</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c>
          <w:tcPr>
            <w:tcW w:w="0" w:type="dxa"/>
            <w:vAlign w:val="bottom"/>
          </w:tcPr>
          <w:p>
            <w:pPr>
              <w:spacing w:after="0"/>
              <w:rPr>
                <w:sz w:val="1"/>
                <w:szCs w:val="1"/>
                <w:color w:val="auto"/>
              </w:rPr>
            </w:pPr>
          </w:p>
        </w:tc>
      </w:tr>
      <w:tr>
        <w:trPr>
          <w:trHeight w:val="243"/>
        </w:trPr>
        <w:tc>
          <w:tcPr>
            <w:tcW w:w="4200" w:type="dxa"/>
            <w:vAlign w:val="bottom"/>
            <w:tcBorders>
              <w:top w:val="single" w:sz="8" w:color="CCEEFF"/>
            </w:tcBorders>
          </w:tcPr>
          <w:p>
            <w:pPr>
              <w:ind w:left="260"/>
              <w:spacing w:after="0"/>
              <w:rPr>
                <w:sz w:val="20"/>
                <w:szCs w:val="20"/>
                <w:color w:val="auto"/>
              </w:rPr>
            </w:pPr>
            <w:r>
              <w:rPr>
                <w:rFonts w:ascii="Arial" w:cs="Arial" w:eastAsia="Arial" w:hAnsi="Arial"/>
                <w:sz w:val="18"/>
                <w:szCs w:val="18"/>
                <w:color w:val="auto"/>
              </w:rPr>
              <w:t>Developed technology</w:t>
            </w:r>
          </w:p>
        </w:tc>
        <w:tc>
          <w:tcPr>
            <w:tcW w:w="33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167,400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14 -16 Years</w:t>
            </w: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Contractual relationships</w:t>
            </w:r>
          </w:p>
        </w:tc>
        <w:tc>
          <w:tcPr>
            <w:tcW w:w="3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51,345</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11 -14 Years</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Leasehold interest</w:t>
            </w: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147,704</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3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409,825</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3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9,732</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87,908</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3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312,185</w:t>
            </w:r>
          </w:p>
        </w:tc>
        <w:tc>
          <w:tcPr>
            <w:tcW w:w="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recognized a contingent receivable from TEI of $0.4 million included in Other assets as of December 31, 2015. The contingent receivable is measured at fair value and classified as a Level 3 financial instrument. For the nine-month period ended September 30, 2016, the fair value of the contingent receivable increased by $1.0 million to reflect a change in estimate and time value of money. As of September 30, 2016, the $1.4 million balance of this contingent receivable is included in Prepaid expenses and other current assets and Other assets of $0.9 million and $0.5 million ,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three and nine months ended September 30, 2015 as if the acquisitions completed by the Company during 2015 had been completed as of the beginning of the prior year. The pro forma results are based upon certain assumptions and estimates, and they give effect to actual operating results prior to the acquisition and adjustments to reflect (i) the change in interest expense, depreciation expense, and intangible asset amortization, (ii) certain external expenses related to the acquisition as if they were incurred on January 1 of the year prior to the acquisition that will not be recurring in the post-acquisition periods, and (iii) income taxes on the aforementioned adjustments at the Company’s statutory rate.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280"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42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42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September 30,</w:t>
            </w:r>
          </w:p>
        </w:tc>
      </w:tr>
      <w:tr>
        <w:trPr>
          <w:trHeight w:val="250"/>
        </w:trPr>
        <w:tc>
          <w:tcPr>
            <w:tcW w:w="42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2015</w:t>
            </w:r>
          </w:p>
        </w:tc>
      </w:tr>
      <w:tr>
        <w:trPr>
          <w:trHeight w:val="190"/>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4"/>
          </w:tcPr>
          <w:p>
            <w:pPr>
              <w:jc w:val="right"/>
              <w:ind w:right="263"/>
              <w:spacing w:after="0"/>
              <w:rPr>
                <w:sz w:val="20"/>
                <w:szCs w:val="20"/>
                <w:color w:val="auto"/>
              </w:rPr>
            </w:pPr>
            <w:r>
              <w:rPr>
                <w:rFonts w:ascii="Arial" w:cs="Arial" w:eastAsia="Arial" w:hAnsi="Arial"/>
                <w:sz w:val="14"/>
                <w:szCs w:val="14"/>
                <w:b w:val="1"/>
                <w:bCs w:val="1"/>
                <w:color w:val="auto"/>
                <w:w w:val="99"/>
              </w:rPr>
              <w:t>(In thousands, except per share amounts)</w:t>
            </w:r>
          </w:p>
        </w:tc>
      </w:tr>
      <w:tr>
        <w:trPr>
          <w:trHeight w:val="66"/>
        </w:trPr>
        <w:tc>
          <w:tcPr>
            <w:tcW w:w="4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235,523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696,559</w:t>
            </w: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Net loss from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(30,706)</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(14,493)</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(0.87)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(0.43)</w:t>
            </w: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2016</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129,412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125,869</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48,418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47,962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41,841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37,598</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219,671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211,429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240" w:type="dxa"/>
            <w:vAlign w:val="bottom"/>
            <w:vMerge w:val="restart"/>
          </w:tcPr>
          <w:p>
            <w:pPr>
              <w:jc w:val="right"/>
              <w:ind w:right="177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2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4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nine-month period ended September 30, 2016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Specialty</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Orthopedics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Surgical</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Tissue Technologies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284,976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227,413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512,389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TEI working capital and purchase price adjustment</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September 30, 2016</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287,179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228,457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515,636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September 30, 2016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277"/>
              <w:spacing w:after="0"/>
              <w:rPr>
                <w:sz w:val="20"/>
                <w:szCs w:val="20"/>
                <w:color w:val="auto"/>
              </w:rPr>
            </w:pPr>
            <w:r>
              <w:rPr>
                <w:rFonts w:ascii="Arial" w:cs="Arial" w:eastAsia="Arial" w:hAnsi="Arial"/>
                <w:sz w:val="18"/>
                <w:szCs w:val="18"/>
                <w:color w:val="auto"/>
                <w:w w:val="86"/>
              </w:rPr>
              <w:t>17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480,614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(88,567)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392,047</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277"/>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154,222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(75,708)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78,514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7"/>
              <w:spacing w:after="0"/>
              <w:rPr>
                <w:sz w:val="20"/>
                <w:szCs w:val="20"/>
                <w:color w:val="auto"/>
              </w:rPr>
            </w:pPr>
            <w:r>
              <w:rPr>
                <w:rFonts w:ascii="Arial" w:cs="Arial" w:eastAsia="Arial" w:hAnsi="Arial"/>
                <w:sz w:val="18"/>
                <w:szCs w:val="18"/>
                <w:color w:val="auto"/>
                <w:w w:val="86"/>
              </w:rPr>
              <w:t>30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91,400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72,696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Pr>
          <w:p>
            <w:pPr>
              <w:spacing w:after="0"/>
              <w:rPr>
                <w:sz w:val="21"/>
                <w:szCs w:val="21"/>
                <w:color w:val="auto"/>
              </w:rPr>
            </w:pPr>
          </w:p>
        </w:tc>
        <w:tc>
          <w:tcPr>
            <w:tcW w:w="1600" w:type="dxa"/>
            <w:vAlign w:val="bottom"/>
          </w:tcPr>
          <w:p>
            <w:pPr>
              <w:jc w:val="center"/>
              <w:ind w:right="277"/>
              <w:spacing w:after="0"/>
              <w:rPr>
                <w:sz w:val="20"/>
                <w:szCs w:val="20"/>
                <w:color w:val="auto"/>
              </w:rPr>
            </w:pPr>
            <w:r>
              <w:rPr>
                <w:rFonts w:ascii="Arial" w:cs="Arial" w:eastAsia="Arial" w:hAnsi="Arial"/>
                <w:sz w:val="18"/>
                <w:szCs w:val="18"/>
                <w:color w:val="auto"/>
                <w:w w:val="86"/>
              </w:rPr>
              <w:t>27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34,721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(13,307)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21,414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277"/>
              <w:spacing w:after="0"/>
              <w:rPr>
                <w:sz w:val="20"/>
                <w:szCs w:val="20"/>
                <w:color w:val="auto"/>
              </w:rPr>
            </w:pPr>
            <w:r>
              <w:rPr>
                <w:rFonts w:ascii="Arial" w:cs="Arial" w:eastAsia="Arial" w:hAnsi="Arial"/>
                <w:sz w:val="18"/>
                <w:szCs w:val="18"/>
                <w:color w:val="auto"/>
                <w:w w:val="88"/>
              </w:rPr>
              <w:t>5 years</w:t>
            </w: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11,134</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9,016</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772,091</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(198,404)</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573,687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December 31, 2015</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ind w:left="60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8"/>
                <w:szCs w:val="18"/>
                <w:color w:val="auto"/>
                <w:w w:val="86"/>
              </w:rPr>
              <w:t>17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480,684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(67,978)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412,706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117"/>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153,246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(68,811)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84,435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8"/>
                <w:szCs w:val="18"/>
                <w:color w:val="auto"/>
                <w:w w:val="86"/>
              </w:rPr>
              <w:t>30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90,837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74,463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Pr>
          <w:p>
            <w:pPr>
              <w:spacing w:after="0"/>
              <w:rPr>
                <w:sz w:val="21"/>
                <w:szCs w:val="21"/>
                <w:color w:val="auto"/>
              </w:rPr>
            </w:pPr>
          </w:p>
        </w:tc>
        <w:tc>
          <w:tcPr>
            <w:tcW w:w="1600" w:type="dxa"/>
            <w:vAlign w:val="bottom"/>
          </w:tcPr>
          <w:p>
            <w:pPr>
              <w:jc w:val="center"/>
              <w:ind w:right="117"/>
              <w:spacing w:after="0"/>
              <w:rPr>
                <w:sz w:val="20"/>
                <w:szCs w:val="20"/>
                <w:color w:val="auto"/>
              </w:rPr>
            </w:pPr>
            <w:r>
              <w:rPr>
                <w:rFonts w:ascii="Arial" w:cs="Arial" w:eastAsia="Arial" w:hAnsi="Arial"/>
                <w:sz w:val="18"/>
                <w:szCs w:val="18"/>
                <w:color w:val="auto"/>
                <w:w w:val="86"/>
              </w:rPr>
              <w:t>27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34,721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(12,236)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22,485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117"/>
              <w:spacing w:after="0"/>
              <w:rPr>
                <w:sz w:val="20"/>
                <w:szCs w:val="20"/>
                <w:color w:val="auto"/>
              </w:rPr>
            </w:pPr>
            <w:r>
              <w:rPr>
                <w:rFonts w:ascii="Arial" w:cs="Arial" w:eastAsia="Arial" w:hAnsi="Arial"/>
                <w:sz w:val="18"/>
                <w:szCs w:val="18"/>
                <w:color w:val="auto"/>
                <w:w w:val="88"/>
              </w:rPr>
              <w:t>5 years</w:t>
            </w: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10,958</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9,651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770,446</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(166,706)</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603,740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0" w:hanging="332"/>
        <w:spacing w:after="0" w:line="21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At September 30, 2016 and December 31, 2015, all other included in-process research and development ("IPR&amp;D") of $1.0 million in both periods, which was indefinite-lived.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in-process research and development) is expected to be approximately $41.5 million in 2016, $40.9 million in 2017, $40.4 million in 2018, $40.4 million in 2019 and $40.2 million in 2020. Identifiable intangible assets are initially recorded at fair market value at the time of acquisition using an income or cost approach.</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28, 2015, the Company entered into a second amendment (the “Second Amendment”) to the certain Third Amended and Restated Credit Agreement, dated as of July 2, 2014 among the Company, a syndicate of lending banks, Bank of America, N.A., as Administrative Agent, Swing Line Lender and L/C Issuer, Wells Fargo Bank, National Association, as Syndication Agent,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HSBC Bank USA, National Association, Royal Bank of Canada, Citizens Bank, National Association, DNB Capital LLC, Crédit Agricole-Corporate and Investment Bank, and TD Bank, N.A., as Co-Documentation Agents.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Second Amendment created an aggregate principal amount of up to $1.1 billion available to the Company through the following facilities:</w:t>
      </w:r>
    </w:p>
    <w:p>
      <w:pPr>
        <w:spacing w:after="0" w:line="63"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$750.0 million revolving credit facility, which includes a $60.0 million sublimit for the issuance of standby letters of credit and a $60.0 million sublimit for swingline loans,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$350.0 million term loan facility.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Second Amendment, the Company borrowed $200.0 million of incremental term loans as permitted under the original terms of the Senior Credit Facility to repay a portion of the Company's outstanding revolving loans. Additionally, the Second Amendment (i) enables the Company to incur up to $200.0 million of incremental loans in the future and (ii) modifies the consolidated leverage ratio covenant in the Credit Agreement. The July 2014 amended and restated Senior Credit Facility extended the maturity date of the prior facility from June 8, 2016 to July 2,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w:t>
      </w:r>
    </w:p>
    <w:p>
      <w:pPr>
        <w:spacing w:after="0" w:line="63"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Senior Credit Facility is collateralized by substantially all of the assets of the Company’s U.S. subsidiaries, excluding intangible assets. The Senior Credit Facility is subject to various financial and negative covenants and at September 30, 2016 the Company was in compliance with all such covenants. The Company capitalized $1.4 million of incremental financing costs in 2015 in connection with the modifications of the Senior Credit Facility.</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2016 and December 31, 2015, there were $120.0 million and $150.0 million outstanding, respectively, under the revolving credit component of the Senior Credit Facility at a weighted average interest rate of 2.2% and 1.9%, respectively. At September 30, 2016 and December 31, 2015, there were $342.5 million and $346.2 million outstanding, respectively, under the term loan component of the Senior Credit Facility at a weighted average interest rate of 2.1% and 1.8%, respectively. At September 30, 2016, there was approximately $630.0 million available for borrowing under the Senior Credit Facility.</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outstanding borrowings of the Senior Credit Facility's revolving credit facility and term loan components at September 30, 2016 was approximately $119.1 million and $340.0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long-term in nature based on its current intent and ability to repay the borrowing outside of the next twelve-month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began September 30, 2015 and are due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40" w:type="dxa"/>
            <w:vAlign w:val="bottom"/>
            <w:gridSpan w:val="3"/>
          </w:tcPr>
          <w:p>
            <w:pPr>
              <w:jc w:val="right"/>
              <w:ind w:right="4240"/>
              <w:spacing w:after="0"/>
              <w:rPr>
                <w:sz w:val="20"/>
                <w:szCs w:val="20"/>
                <w:color w:val="auto"/>
              </w:rPr>
            </w:pPr>
            <w:r>
              <w:rPr>
                <w:rFonts w:ascii="Arial" w:cs="Arial" w:eastAsia="Arial" w:hAnsi="Arial"/>
                <w:sz w:val="14"/>
                <w:szCs w:val="14"/>
                <w:b w:val="1"/>
                <w:bCs w:val="1"/>
                <w:color w:val="auto"/>
                <w:w w:val="91"/>
              </w:rPr>
              <w:t>Year Ended December 31,</w:t>
            </w: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2016</w:t>
            </w:r>
          </w:p>
        </w:tc>
        <w:tc>
          <w:tcPr>
            <w:tcW w:w="74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10,625</w:t>
            </w:r>
          </w:p>
        </w:tc>
      </w:tr>
      <w:tr>
        <w:trPr>
          <w:trHeight w:val="243"/>
        </w:trPr>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2017</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25,625</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2018</w:t>
            </w:r>
          </w:p>
        </w:tc>
        <w:tc>
          <w:tcPr>
            <w:tcW w:w="16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32,500</w:t>
            </w:r>
          </w:p>
        </w:tc>
      </w:tr>
      <w:tr>
        <w:trPr>
          <w:trHeight w:val="243"/>
        </w:trPr>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2019</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273,750</w:t>
            </w:r>
          </w:p>
        </w:tc>
      </w:tr>
      <w:tr>
        <w:trPr>
          <w:trHeight w:val="27"/>
        </w:trPr>
        <w:tc>
          <w:tcPr>
            <w:tcW w:w="20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2000" w:type="dxa"/>
            <w:vAlign w:val="bottom"/>
            <w:tcBorders>
              <w:bottom w:val="single" w:sz="8" w:color="CCEEFF"/>
            </w:tcBorders>
            <w:shd w:val="clear" w:color="auto" w:fill="CCEEFF"/>
          </w:tcPr>
          <w:p>
            <w:pPr>
              <w:spacing w:after="0"/>
              <w:rPr>
                <w:sz w:val="22"/>
                <w:szCs w:val="22"/>
                <w:color w:val="auto"/>
              </w:rPr>
            </w:pPr>
          </w:p>
        </w:tc>
        <w:tc>
          <w:tcPr>
            <w:tcW w:w="74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342,500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revolving credit component of the Senior Credit Facility is due on July 2,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2016, the carrying amount of the liability component was $225.2 million, the remaining unamortized discount was $1.9 million, the unamortized debt issuance cost was fully amortized and the principal amount outstanding was $227.1 million. At December 31, 2015, the carrying amount of the liability component was $218.2 million, the remaining unamortized discount was $8.4 million, the remaining unamortized debt issuance cost was $0.5 million and the principal amount outstanding was $227.1 million.</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2016 Notes at September 30, 2016 was approximately $356.0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 of the fair value hierarchy.</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18.9287 shares per $1,000 principal amount of 2016 Notes (which represents an initial conversion price of approximately $52.83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which included the spin-off of the spine business. The issue price of the 2016 Notes was equal to their face amount, which is also the amount holders are entitled to receive at maturity if the 2016 Notes are not converted. As of March 31, 2015, certain conversion features were triggered due to the announced spin-off of the Company's subsidiary, SeaSpine Holdings Corporation, which allowed the holders to convert all or any of the 2016 Notes subject to certain conditions. The 2016 Notes were convertible through June 10, 2015 and as of the close of the conversion window, note holders provided notice to convert 2,903 notes representing aggregate principal amount of $2.9 million. During 2015, the Company paid $2.9 million in cash and issued 8,457 shares to settle the obligation to the note holders that converted. The Company considers the balance to be long-term in nature based on its current intent and ability to refinance the borrowing.</w:t>
      </w:r>
    </w:p>
    <w:p>
      <w:pPr>
        <w:spacing w:after="0" w:line="13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$52.83 per share, subject to customary anti-dilution adjustments. The initial strike price of the warrant transaction is approximately $64.43 per share, subject to customary anti-dilution adjustments.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 (net of capitalized interest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 (1)</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5,874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 (2)</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2,548</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8,971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8,422</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8"/>
        <w:spacing w:after="0" w:line="311" w:lineRule="auto"/>
        <w:tabs>
          <w:tab w:leader="none" w:pos="85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amortization of the discount on the liability component of the 2016 Notes is presented net of capitalized interest of $0.1 million for both of the three months ended September 30, 2016 and 2015, and $0.2 million and $0.5 million for the nine months ended September 30, 2016 and 2015, respectively.</w:t>
      </w:r>
    </w:p>
    <w:p>
      <w:pPr>
        <w:spacing w:after="0" w:line="127" w:lineRule="exact"/>
        <w:rPr>
          <w:rFonts w:ascii="Arial" w:cs="Arial" w:eastAsia="Arial" w:hAnsi="Arial"/>
          <w:sz w:val="18"/>
          <w:szCs w:val="18"/>
          <w:color w:val="auto"/>
        </w:rPr>
      </w:pPr>
    </w:p>
    <w:p>
      <w:pPr>
        <w:ind w:firstLine="8"/>
        <w:spacing w:after="0" w:line="395" w:lineRule="auto"/>
        <w:tabs>
          <w:tab w:leader="none" w:pos="85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cash interest related to the contractual interest coupon on the 2016 Notes is presented net of a minimal amount of capitalized interest for the three months ended September 30, 2016 and 2015 and $0.1 million and $0.2 million for the nine months ended September 30, 2016 and 2015,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interest rate risk relates to U.S. dollar denominated variable interest rate borrowings. On June 22, 2016, the Company entered into two $50.0 million interest rate swap derivative instruments with separate financial institutions, each with an effective date of December 31, 2016 to manage its earnings and cash flow exposure to changes in interest rates covering a portion of its floating-rate debt. These interest rate swaps expire on June 30, 2019.</w:t>
      </w:r>
    </w:p>
    <w:p>
      <w:pPr>
        <w:spacing w:after="0" w:line="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12, 2016, the Company entered into an additional $50.0 million interest rate swap derivative instruments with a separate financial institution with an effective date of December 31, 2016 to manage its earnings and cash flow exposure to changes in interest rates covering a portion of its floating-rate debt. This interest rate swap was also designated as a cash flow hedge and expires on June 30, 2019.</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10, 2015 the interest rate swap derivative instrument the Company entered into on August 10, 2010 with an effective date of December 31, 2010 expired. The interest rate swap was used to manage the Company's earnings and cash flow exposure to changes in interest rates by converting a portion of its floating-rate debt into fixed-rate debt.</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designated these derivative instruments as cash flow hedges. The Company recorded the effective portion of any change in the fair value of a derivative instrument designated as a cash flow hedge as unrealized gains or losses in accumulated other comprehensive income (“AOCI”), net of tax, until the hedged item affected earnings, at which point the effective portion of any gain or loss was reclassified to earnings. If the hedged cash flow does not occur, or if it becomes probable that it will not occur, the Company will reclassify the amount of any gain or loss on the related cash flow hedge to interest expense at that time.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2016, the Company had total outstanding interest rate swaps of $150.0 million with an effective date of December 31, 2016.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September 30, 2016: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52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Fair Value as of</w:t>
            </w:r>
          </w:p>
        </w:tc>
        <w:tc>
          <w:tcPr>
            <w:tcW w:w="0" w:type="dxa"/>
            <w:vAlign w:val="bottom"/>
          </w:tcPr>
          <w:p>
            <w:pPr>
              <w:spacing w:after="0"/>
              <w:rPr>
                <w:sz w:val="1"/>
                <w:szCs w:val="1"/>
                <w:color w:val="auto"/>
              </w:rPr>
            </w:pPr>
          </w:p>
        </w:tc>
      </w:tr>
      <w:tr>
        <w:trPr>
          <w:trHeight w:val="192"/>
        </w:trPr>
        <w:tc>
          <w:tcPr>
            <w:tcW w:w="9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September 30, 2016</w:t>
            </w:r>
          </w:p>
        </w:tc>
        <w:tc>
          <w:tcPr>
            <w:tcW w:w="0" w:type="dxa"/>
            <w:vAlign w:val="bottom"/>
          </w:tcPr>
          <w:p>
            <w:pPr>
              <w:spacing w:after="0"/>
              <w:rPr>
                <w:sz w:val="1"/>
                <w:szCs w:val="1"/>
                <w:color w:val="auto"/>
              </w:rPr>
            </w:pPr>
          </w:p>
        </w:tc>
      </w:tr>
      <w:tr>
        <w:trPr>
          <w:trHeight w:val="244"/>
        </w:trPr>
        <w:tc>
          <w:tcPr>
            <w:tcW w:w="9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5"/>
        </w:trPr>
        <w:tc>
          <w:tcPr>
            <w:tcW w:w="97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assets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97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9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9720" w:type="dxa"/>
            <w:vAlign w:val="bottom"/>
            <w:tcBorders>
              <w:bottom w:val="single" w:sz="8" w:color="CCEEFF"/>
            </w:tcBorders>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liabilities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Company classifies derivative assets and liabilities as non-current based on the cash flows expected to be incurred within the following 12 months.</w:t>
      </w:r>
    </w:p>
    <w:p>
      <w:pPr>
        <w:spacing w:after="0" w:line="1" w:lineRule="exact"/>
        <w:rPr>
          <w:rFonts w:ascii="Arial" w:cs="Arial" w:eastAsia="Arial" w:hAnsi="Arial"/>
          <w:sz w:val="22"/>
          <w:szCs w:val="22"/>
          <w:color w:val="auto"/>
          <w:vertAlign w:val="superscript"/>
        </w:rPr>
      </w:pPr>
    </w:p>
    <w:p>
      <w:pPr>
        <w:ind w:left="340" w:right="20" w:hanging="332"/>
        <w:spacing w:after="0" w:line="208"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At September 30, 2016, the notional amount related to the Company’s interest rate swaps was $150.0 million. There is no expected reduction in notional amount in the next twelve months.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instruments outstanding as of December 31, 2015.</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statements of operations during the three and nine months ended September 30, 2016 and 2015: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 of Loss</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vMerge w:val="restart"/>
          </w:tcPr>
          <w:p>
            <w:pPr>
              <w:jc w:val="center"/>
              <w:ind w:left="44"/>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Portion</w:t>
            </w: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End of Quarter</w:t>
            </w:r>
          </w:p>
        </w:tc>
        <w:tc>
          <w:tcPr>
            <w:tcW w:w="158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2016</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40"/>
              <w:spacing w:after="0"/>
              <w:rPr>
                <w:sz w:val="20"/>
                <w:szCs w:val="20"/>
                <w:color w:val="auto"/>
              </w:rPr>
            </w:pPr>
            <w:r>
              <w:rPr>
                <w:rFonts w:ascii="Arial" w:cs="Arial" w:eastAsia="Arial" w:hAnsi="Arial"/>
                <w:sz w:val="18"/>
                <w:szCs w:val="18"/>
                <w:color w:val="auto"/>
              </w:rPr>
              <w:t>618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6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Amount of Loss</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vMerge w:val="restart"/>
          </w:tcPr>
          <w:p>
            <w:pPr>
              <w:jc w:val="center"/>
              <w:ind w:left="44"/>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Portion</w:t>
            </w: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End of Quarter</w:t>
            </w:r>
          </w:p>
        </w:tc>
        <w:tc>
          <w:tcPr>
            <w:tcW w:w="158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ind w:left="10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2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5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 2015</w:t>
            </w:r>
          </w:p>
        </w:tc>
        <w:tc>
          <w:tcPr>
            <w:tcW w:w="2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0"/>
                <w:szCs w:val="20"/>
                <w:color w:val="auto"/>
              </w:rPr>
            </w:pPr>
          </w:p>
        </w:tc>
        <w:tc>
          <w:tcPr>
            <w:tcW w:w="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no gains or losses resulting from ineffectiveness of cash flow hedges during the three and nine months ended September 30,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2016, the Company had stock options, restricted stock awards, performance stock units,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eight years from the grant date for employees, and from eight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contract stock were adjusted to provide holders performance stock, restricted stock, and contract stock in the company that employs such employee following the separation. The adjustments to the Company's stock-based compensation awards resulted in an increase in incremental fair value of $4.4 million, of which $3.3 million has been previously recorded and $0.1 million and $0.5 million were recorded in the three and nine months ended September 30, 2016. The remaining $0.6 million will be recognized prospectively over the remaining term of outstanding awards.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2016, there were approximately $3.4 million of total unrecognized compensation costs related to unvested stock options, including the additional incremental fair value expense discussed above. These costs are expected to be recognized over a weighted-average period of approximately two years. There were 111,662 stock options granted during the nine months ended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Performance stock, restricted stock and contract stock awards generally have requisite service periods of three years. Performance stock units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As of September 30, 2016, there were approximately $17.8 million of total unrecognized compensation costs related to these unvested awards, including the additional incremental fair value expense discussed above. The Company expects to recognize these costs over a weighted-average period of approximately two years. The Company granted 157,131 restricted stock awards/stock units and 78,177 performance shares during the nine months ended September 30,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TREASURY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October 28, 2014, the Board of Directors authorized a repurchase plan of up to $75.0 million of its outstanding common stock through December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there remained $75.0 million available for repurchases under this authorization.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treasury stock repurchases during the nine months ended September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regarding changes to this share repurchase plan made after September 30,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22"/>
                <w:szCs w:val="22"/>
                <w:color w:val="auto"/>
              </w:rPr>
            </w:pPr>
          </w:p>
        </w:tc>
        <w:tc>
          <w:tcPr>
            <w:tcW w:w="1520" w:type="dxa"/>
            <w:vAlign w:val="bottom"/>
          </w:tcPr>
          <w:p>
            <w:pPr>
              <w:jc w:val="right"/>
              <w:ind w:right="54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520" w:type="dxa"/>
            <w:vAlign w:val="bottom"/>
          </w:tcPr>
          <w:p>
            <w:pPr>
              <w:jc w:val="right"/>
              <w:ind w:right="539"/>
              <w:spacing w:after="0"/>
              <w:rPr>
                <w:sz w:val="20"/>
                <w:szCs w:val="20"/>
                <w:color w:val="auto"/>
              </w:rPr>
            </w:pPr>
            <w:r>
              <w:rPr>
                <w:rFonts w:ascii="Arial" w:cs="Arial" w:eastAsia="Arial" w:hAnsi="Arial"/>
                <w:sz w:val="14"/>
                <w:szCs w:val="14"/>
                <w:b w:val="1"/>
                <w:bCs w:val="1"/>
                <w:color w:val="auto"/>
              </w:rPr>
              <w:t>2015</w:t>
            </w:r>
          </w:p>
        </w:tc>
      </w:tr>
      <w:tr>
        <w:trPr>
          <w:trHeight w:val="135"/>
        </w:trPr>
        <w:tc>
          <w:tcPr>
            <w:tcW w:w="53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r>
      <w:tr>
        <w:trPr>
          <w:trHeight w:val="243"/>
        </w:trPr>
        <w:tc>
          <w:tcPr>
            <w:tcW w:w="6120" w:type="dxa"/>
            <w:vAlign w:val="bottom"/>
            <w:gridSpan w:val="2"/>
            <w:shd w:val="clear" w:color="auto" w:fill="CCEEFF"/>
          </w:tcPr>
          <w:p>
            <w:pPr>
              <w:jc w:val="right"/>
              <w:ind w:right="4768"/>
              <w:spacing w:after="0"/>
              <w:rPr>
                <w:sz w:val="20"/>
                <w:szCs w:val="20"/>
                <w:color w:val="auto"/>
              </w:rPr>
            </w:pPr>
            <w:r>
              <w:rPr>
                <w:rFonts w:ascii="Arial" w:cs="Arial" w:eastAsia="Arial" w:hAnsi="Arial"/>
                <w:sz w:val="18"/>
                <w:szCs w:val="18"/>
                <w:color w:val="auto"/>
                <w:w w:val="90"/>
              </w:rPr>
              <w:t>Reported tax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7"/>
        </w:trPr>
        <w:tc>
          <w:tcPr>
            <w:tcW w:w="5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effective income tax rates for the three months ended September 30, 2016 and 2015 were 19.4% and 694.6%, respectively. In the three months ended September 30, 2016, the primary drivers of the lower tax rate are excess tax benefits of $0.5 million as a result of early adoption of </w:t>
      </w:r>
      <w:r>
        <w:rPr>
          <w:rFonts w:ascii="Arial" w:cs="Arial" w:eastAsia="Arial" w:hAnsi="Arial"/>
          <w:sz w:val="18"/>
          <w:szCs w:val="18"/>
          <w:i w:val="1"/>
          <w:iCs w:val="1"/>
          <w:color w:val="auto"/>
        </w:rPr>
        <w:t xml:space="preserve">ASU 2016-09 </w:t>
      </w:r>
      <w:r>
        <w:rPr>
          <w:rFonts w:ascii="Arial" w:cs="Arial" w:eastAsia="Arial" w:hAnsi="Arial"/>
          <w:sz w:val="18"/>
          <w:szCs w:val="18"/>
          <w:color w:val="auto"/>
        </w:rPr>
        <w:t>and a benefit of $0.5 million for a Federal research credit study, offset by an expense of $0.4 million related to an uncertain tax position.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driver of the higher tax rate for the three months ended September 30, 2015, compared to the three months ended September 30, 2016, was a $35.6 million valuation allowance recorded as a result of the spin-off of the spine business. Excluding the valuation allowance, the primary driver of the higher tax rate for the three months ended September 30, 2015, compared to the three months ended September 30, 2016, was tax expense of $0.3 million relating to the filing of foreign tax returns and the settlement of foreign audits.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Company's effective income tax rates for the nine months ended September 30, 2016 and 2015 were 15.7% and 119.7%, respectively. In the nine months ended September 30, 2016, the primary drivers of the lower tax rate are excess tax benefits of $3.4 million as a result of early adoption of </w:t>
      </w:r>
      <w:r>
        <w:rPr>
          <w:rFonts w:ascii="Arial" w:cs="Arial" w:eastAsia="Arial" w:hAnsi="Arial"/>
          <w:sz w:val="18"/>
          <w:szCs w:val="18"/>
          <w:i w:val="1"/>
          <w:iCs w:val="1"/>
          <w:color w:val="auto"/>
        </w:rPr>
        <w:t>ASU 2016-09,</w:t>
      </w:r>
      <w:r>
        <w:rPr>
          <w:rFonts w:ascii="Arial" w:cs="Arial" w:eastAsia="Arial" w:hAnsi="Arial"/>
          <w:sz w:val="18"/>
          <w:szCs w:val="18"/>
          <w:color w:val="auto"/>
        </w:rPr>
        <w:t xml:space="preserve"> a benefit of $0.7 million for the release of uncertain tax positions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benefit of $0.5 million for the Federal research credit study, offset by an expense of $0.4 million related to an uncertain tax position. The income tax rate expense for both the three and nine months periods ended September 30, 2015 includes an expense of $35.6 million expense relating to a valuation allowance recorded as a result of the spin-off of the spine business. The Company determined that upon spin-off, the deferred tax assets of the spine business would be unrealizable due to impact of the historic operations.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17.0%, resulting largely from excess tax benefits as a result of the early adoption of ASU 2016-09, the Federal research credit benefits and the jurisdictional mix of income before tax in U.S.-based operations relative to foreign operations. This estimate could be revised in the future as additional information is presented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352"/>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gridSpan w:val="7"/>
          </w:tcPr>
          <w:p>
            <w:pPr>
              <w:ind w:left="20"/>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5"/>
        </w:trPr>
        <w:tc>
          <w:tcPr>
            <w:tcW w:w="652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(loss) per share: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20,144</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(8,129)</w:t>
            </w: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Net loss from discontinued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(10,370)</w:t>
            </w: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20,144</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(18,499)</w:t>
            </w:r>
          </w:p>
        </w:tc>
      </w:tr>
      <w:tr>
        <w:trPr>
          <w:trHeight w:val="324"/>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33,682</w:t>
            </w:r>
          </w:p>
        </w:tc>
      </w:tr>
      <w:tr>
        <w:trPr>
          <w:trHeight w:val="324"/>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(loss) per common share from continuing operations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Basic net loss per common share from discontinued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(loss) per common share</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38"/>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5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Diluted net income (loss) per share:</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20,144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(31,881)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46,316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(8,129)</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(10,370)</w:t>
            </w:r>
          </w:p>
        </w:tc>
      </w:tr>
      <w:tr>
        <w:trPr>
          <w:trHeight w:val="237"/>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20,144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(31,881)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46,316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(18,499)</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37,267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35,279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33,682</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2016 Convertible notes and warrants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40,516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35,279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39,402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33,682</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Diluted net income (loss) per common share from continuing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Diluted net loss per common share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37"/>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(0.55)</w:t>
            </w:r>
          </w:p>
        </w:tc>
      </w:tr>
    </w:tbl>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was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contract stock were adjusted to provide holders performance stock, restricted stock, and contract stock in the company that employs such employee following the separation.</w:t>
      </w:r>
    </w:p>
    <w:p>
      <w:pPr>
        <w:spacing w:after="0" w:line="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Common stock of approximately 0.1 million and 0.6 million of shares at September 30, 2016 and 2015, respectively, that are issuable through exercise of dilutive securities were not included in the computation of diluted net income per share because their effect would have been antidilutive.</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and nine months ended September 30, 2016 and 2015, the potential excess conversion value on the 2016 Notes and warrants were included in the Company's dilutive share calculation because the average stock price for the three and nine months ended September 30, 2016 and 2015 exceeded the conversion price.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Units that entitle the holders to approximately 0.1 million shares of common stock are included in the diluted weighted average shares outstanding calculation.</w:t>
      </w:r>
    </w:p>
    <w:p>
      <w:pPr>
        <w:spacing w:after="0" w:line="166" w:lineRule="exact"/>
        <w:rPr>
          <w:sz w:val="20"/>
          <w:szCs w:val="20"/>
          <w:color w:val="auto"/>
        </w:rPr>
      </w:pPr>
    </w:p>
    <w:p>
      <w:pPr>
        <w:jc w:val="both"/>
        <w:ind w:right="8100" w:firstLine="8"/>
        <w:spacing w:after="0" w:line="453" w:lineRule="auto"/>
        <w:tabs>
          <w:tab w:leader="none" w:pos="27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(LOSS) </w:t>
      </w:r>
      <w:r>
        <w:rPr>
          <w:rFonts w:ascii="Arial" w:cs="Arial" w:eastAsia="Arial" w:hAnsi="Arial"/>
          <w:sz w:val="16"/>
          <w:szCs w:val="16"/>
          <w:color w:val="auto"/>
        </w:rPr>
        <w:t>Comprehensive income (loss)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190"/>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20,144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(31,881)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46,316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(18,499)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Unrealized currency translation adjustment recognized upon spin</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758</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(33,315)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53,908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Accumulated Other Comprehensive Loss by component between December 31, 2015 and September 30, 2016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Gain on Cash Flow</w:t>
            </w:r>
          </w:p>
        </w:tc>
        <w:tc>
          <w:tcPr>
            <w:tcW w:w="1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26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(47,911)</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(47,902)</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internally manages two global reportable segments and reports the results of its businesses to its chief operating decision maker. The two reportable segments and their activities are described below:</w:t>
      </w:r>
    </w:p>
    <w:p>
      <w:pPr>
        <w:spacing w:after="0" w:line="224"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Specialty Surgical Solutions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60,000 instrument patterns and surgical and lighting products to hospitals, surgery centers, and dental, podiatry, and veterinary offices.</w:t>
      </w:r>
    </w:p>
    <w:p>
      <w:pPr>
        <w:spacing w:after="0" w:line="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products, bone and joint fixation implants in the upper and lower extremities, bone grafts, plastic and reconstruction and nerve and tendon repair collagen implants.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Corporate and other category includes (i) various legal, finance, information systems, executive, and human resource functions, (ii) brand management, and (iii) share-based compensation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three and nine months ended September 30, 2016 and 2015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65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80" w:type="dxa"/>
            <w:vAlign w:val="bottom"/>
            <w:tcBorders>
              <w:bottom w:val="single" w:sz="8" w:color="BFE4FF"/>
            </w:tcBorders>
            <w:shd w:val="clear" w:color="auto" w:fill="BFE4FF"/>
          </w:tcPr>
          <w:p>
            <w:pPr>
              <w:spacing w:after="0"/>
              <w:rPr>
                <w:sz w:val="22"/>
                <w:szCs w:val="22"/>
                <w:color w:val="auto"/>
              </w:rPr>
            </w:pPr>
          </w:p>
        </w:tc>
        <w:tc>
          <w:tcPr>
            <w:tcW w:w="9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86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159,409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147,085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468,767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433,834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28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90,923</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79,282</w:t>
            </w:r>
          </w:p>
        </w:tc>
        <w:tc>
          <w:tcPr>
            <w:tcW w:w="10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267,644</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207,740</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250,332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226,367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736,411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641,574</w:t>
            </w:r>
          </w:p>
        </w:tc>
      </w:tr>
      <w:tr>
        <w:trPr>
          <w:trHeight w:val="67"/>
        </w:trPr>
        <w:tc>
          <w:tcPr>
            <w:tcW w:w="6520" w:type="dxa"/>
            <w:vAlign w:val="bottom"/>
            <w:tcBorders>
              <w:bottom w:val="single" w:sz="8" w:color="BFE4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6520" w:type="dxa"/>
            <w:vAlign w:val="bottom"/>
            <w:tcBorders>
              <w:bottom w:val="single" w:sz="8" w:color="BFE4FF"/>
            </w:tcBorders>
            <w:shd w:val="clear" w:color="auto" w:fill="BFE4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280" w:type="dxa"/>
            <w:vAlign w:val="bottom"/>
            <w:tcBorders>
              <w:bottom w:val="single" w:sz="8" w:color="BFE4FF"/>
            </w:tcBorders>
            <w:shd w:val="clear" w:color="auto" w:fill="BFE4FF"/>
          </w:tcPr>
          <w:p>
            <w:pPr>
              <w:spacing w:after="0"/>
              <w:rPr>
                <w:sz w:val="20"/>
                <w:szCs w:val="20"/>
                <w:color w:val="auto"/>
              </w:rPr>
            </w:pPr>
          </w:p>
        </w:tc>
        <w:tc>
          <w:tcPr>
            <w:tcW w:w="9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8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shd w:val="clear" w:color="auto" w:fill="BFE4FF"/>
          </w:tcPr>
          <w:p>
            <w:pPr>
              <w:spacing w:after="0"/>
              <w:rPr>
                <w:sz w:val="20"/>
                <w:szCs w:val="20"/>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67,148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61,017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188,126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183,674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28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27,727</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20,072</w:t>
            </w:r>
          </w:p>
        </w:tc>
        <w:tc>
          <w:tcPr>
            <w:tcW w:w="10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74,027</w:t>
            </w:r>
          </w:p>
        </w:tc>
        <w:tc>
          <w:tcPr>
            <w:tcW w:w="100" w:type="dxa"/>
            <w:vAlign w:val="bottom"/>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59,095</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94,875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81,089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262,153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242,769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(10,410)</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(6,418)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(177,173)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(180,772)</w:t>
            </w:r>
          </w:p>
        </w:tc>
      </w:tr>
      <w:tr>
        <w:trPr>
          <w:trHeight w:val="27"/>
        </w:trPr>
        <w:tc>
          <w:tcPr>
            <w:tcW w:w="65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28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30,095</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9,994</w:t>
            </w:r>
          </w:p>
        </w:tc>
        <w:tc>
          <w:tcPr>
            <w:tcW w:w="10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74,570</w:t>
            </w:r>
          </w:p>
        </w:tc>
        <w:tc>
          <w:tcPr>
            <w:tcW w:w="360" w:type="dxa"/>
            <w:vAlign w:val="bottom"/>
            <w:tcBorders>
              <w:bottom w:val="single" w:sz="8" w:color="BFE4FF"/>
            </w:tcBorders>
            <w:gridSpan w:val="2"/>
            <w:shd w:val="clear" w:color="auto" w:fill="BFE4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55,579</w:t>
            </w:r>
          </w:p>
        </w:tc>
      </w:tr>
      <w:tr>
        <w:trPr>
          <w:trHeight w:val="20"/>
        </w:trPr>
        <w:tc>
          <w:tcPr>
            <w:tcW w:w="65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194,346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178,290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567,103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493,559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28,553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24,275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89,623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75,046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79,685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72,969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250,332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226,367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736,411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641,574</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relating to a variety of matters, including half of certain products liability claims (including those related to the product it manufactures for BSC) not covered by insurance. As of October 28, 2016, no indemnification payments were received nor owed in relation to the lawsuits for the initial indemnification time period, which cover the first fifteen months after closing.</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increased the fair value of contingent consideration during the nine-month period ended September 30, 2016 to reflect the change in estimate and the time value of money during the period. A reconciliation of the opening balances to the closing balances of these Level 3 measurements is as follows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 in Financial Statements</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21,831</w:t>
            </w: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from increase in fair value of contingent consideration liabilities</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36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September 30, 2016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21,905</w:t>
            </w:r>
          </w:p>
        </w:tc>
        <w:tc>
          <w:tcPr>
            <w:tcW w:w="3640" w:type="dxa"/>
            <w:vAlign w:val="bottom"/>
            <w:tcBorders>
              <w:bottom w:val="single" w:sz="8" w:color="CCEEFF"/>
            </w:tcBorders>
            <w:shd w:val="clear" w:color="auto" w:fill="CCEEFF"/>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contingent consideration were estimated using a discounted cash flow model using discount rate of 2.20%. The Company assesses these assumptions on an ongoing basis as additional information impacting the assumptions is obtained. The entire contingent consideration balance was included in Other liabilities at September 30, 2016 and December 31, 2015.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Agreement Liability and Above Market Supply Agreement Liability</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determined the fair value of its supply agreement liability and above market supply agreement liability the nine-month period ended September 30, 2016 to reflect the payments, change in estimate and the time value of money during the period. A reconciliation of the opening balances to the closing balances of these Level 3 measurements is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Supply</w:t>
            </w:r>
          </w:p>
        </w:tc>
        <w:tc>
          <w:tcPr>
            <w:tcW w:w="160" w:type="dxa"/>
            <w:vAlign w:val="bottom"/>
          </w:tcPr>
          <w:p>
            <w:pPr>
              <w:spacing w:after="0"/>
              <w:rPr>
                <w:sz w:val="14"/>
                <w:szCs w:val="14"/>
                <w:color w:val="auto"/>
              </w:rPr>
            </w:pPr>
          </w:p>
        </w:tc>
        <w:tc>
          <w:tcPr>
            <w:tcW w:w="9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4"/>
              </w:rPr>
              <w:t>Supply</w:t>
            </w:r>
          </w:p>
        </w:tc>
        <w:tc>
          <w:tcPr>
            <w:tcW w:w="120" w:type="dxa"/>
            <w:vAlign w:val="bottom"/>
          </w:tcPr>
          <w:p>
            <w:pPr>
              <w:spacing w:after="0"/>
              <w:rPr>
                <w:sz w:val="14"/>
                <w:szCs w:val="14"/>
                <w:color w:val="auto"/>
              </w:rPr>
            </w:pPr>
          </w:p>
        </w:tc>
        <w:tc>
          <w:tcPr>
            <w:tcW w:w="102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Above Market</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Agreement</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Supply</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Liability -</w:t>
            </w:r>
          </w:p>
        </w:tc>
        <w:tc>
          <w:tcPr>
            <w:tcW w:w="160" w:type="dxa"/>
            <w:vAlign w:val="bottom"/>
          </w:tcPr>
          <w:p>
            <w:pPr>
              <w:spacing w:after="0"/>
              <w:rPr>
                <w:sz w:val="12"/>
                <w:szCs w:val="12"/>
                <w:color w:val="auto"/>
              </w:rPr>
            </w:pPr>
          </w:p>
        </w:tc>
        <w:tc>
          <w:tcPr>
            <w:tcW w:w="9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Agreement -</w:t>
            </w:r>
          </w:p>
        </w:tc>
        <w:tc>
          <w:tcPr>
            <w:tcW w:w="120" w:type="dxa"/>
            <w:vAlign w:val="bottom"/>
          </w:tcPr>
          <w:p>
            <w:pPr>
              <w:spacing w:after="0"/>
              <w:rPr>
                <w:sz w:val="12"/>
                <w:szCs w:val="12"/>
                <w:color w:val="auto"/>
              </w:rPr>
            </w:pPr>
          </w:p>
        </w:tc>
        <w:tc>
          <w:tcPr>
            <w:tcW w:w="10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Agreement</w:t>
            </w:r>
          </w:p>
        </w:tc>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 Statements</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center"/>
              <w:ind w:right="97"/>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center"/>
              <w:ind w:right="56"/>
              <w:spacing w:after="0"/>
              <w:rPr>
                <w:sz w:val="20"/>
                <w:szCs w:val="20"/>
                <w:color w:val="auto"/>
              </w:rPr>
            </w:pPr>
            <w:r>
              <w:rPr>
                <w:rFonts w:ascii="Arial" w:cs="Arial" w:eastAsia="Arial" w:hAnsi="Arial"/>
                <w:sz w:val="14"/>
                <w:szCs w:val="14"/>
                <w:b w:val="1"/>
                <w:bCs w:val="1"/>
                <w:color w:val="auto"/>
                <w:w w:val="98"/>
              </w:rPr>
              <w:t>Long-term</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center"/>
              <w:ind w:right="37"/>
              <w:spacing w:after="0"/>
              <w:rPr>
                <w:sz w:val="20"/>
                <w:szCs w:val="20"/>
                <w:color w:val="auto"/>
              </w:rPr>
            </w:pPr>
            <w:r>
              <w:rPr>
                <w:rFonts w:ascii="Arial" w:cs="Arial" w:eastAsia="Arial" w:hAnsi="Arial"/>
                <w:sz w:val="14"/>
                <w:szCs w:val="14"/>
                <w:b w:val="1"/>
                <w:bCs w:val="1"/>
                <w:color w:val="auto"/>
              </w:rPr>
              <w:t>Liability</w:t>
            </w:r>
          </w:p>
        </w:tc>
        <w:tc>
          <w:tcPr>
            <w:tcW w:w="3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931</w:t>
            </w:r>
          </w:p>
        </w:tc>
        <w:tc>
          <w:tcPr>
            <w:tcW w:w="3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Payments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from long-term to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161</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Loss from increase in fair value</w:t>
            </w: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1,009</w:t>
            </w:r>
          </w:p>
        </w:tc>
        <w:tc>
          <w:tcPr>
            <w:tcW w:w="30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681</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Fair value at September 30,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665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2,621</w:t>
            </w: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values of supply agreement liability and above market supply agreement liability were estimated using a discounted cash flow model using discount rate of 12.0%. The Company assesses these assumptions on an ongoing basis as additional information impacting the assumptions is obtained. The supply agreement liability-current was included in Accrued expenses and other current liabilities and the supply agreement-long term and above market supply agreement liability were included in Other liabilities at September 30, 2016 and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Termination of Share Repurchase Plan</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25, 2016, our Board of Directors terminated the previous share repurchase plan dated October 28, 2014, and authorized a new repurchase of up to $150.0 million of outstanding common stock through December 2018. Shares may be repurchased either in the open market or in privately negotiated transactions.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Retiring Treasury Shares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25, 2016, the Company's Board of Directors approved a resolution to retire approximately 8.9 million treasury shares and return such shares to authorized, but unissued shares of common stock. These shares will become available for issue on or about October 28,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Amendment to the Certificate of Incorporation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25, 2016, our Board of Directors recommended, subject to stockholder approval, an Amendment to the Company’s Certificate of Incorporation (the “Amendment”) to increase the number of authorized shares of common stock from 60.0 million shares to 240.0 million shares with $0.01 per share par value, for the purpose of, among other things, affecting a two-for-one stock split. A special meeting of stockholders will be on December 21, 2016 to consider and vote upon the Amendment.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2015 included in our Annual Report on Form 10-K.</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under the heading “Risk Factors” in our Annual Report on Form 10-K for the year ended December 31, 2015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Integra is a world leader in medical technology focused on limiting uncertainty for surgeons so that they can concentrate on providing the best patient care. Integra provides customers with clinically relevant, innovative and cost-effective products that improve the quality of life for patients. We focus on cranial procedures, small bone and joint reconstruction, the repair and reconstruction of soft tissue, and instruments for surgery.</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manufacture many of our products in plants located in the United States, Puerto Rico, France, Germany, Ireland, and Mexico. We also source most of our handheld surgical instruments and specialty metal and pyrocarbon implants through specialized third-party vendors.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we have several sales channels. Specialty Surgical Solutions products are sold through a combination of directly employed sales representatives, distributors and wholesalers, depending on the customer call point. Orthopedics and Tissue Technologies products are sold through directly employed sales representatives and specialty distributors focused on their respective surgical specialties. We sell in the international markets through a combination of direct sales organizations and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objective is to become a multi-billion dollar diversified global medical technology company that helps patients by limiting uncertainty for medical professionals, and is a high-quality investment for shareholders. We will achieve these goals by delivering on our Brand Promises to our customers so they can concentrate on providing the best care for their patients and by becoming a company recognized as a leader by our customers worldwide in specialty surgical applications, regenerative technologies and extremities orthopedics. Our strategy is built around three pillars - execute, optimize, and accelerate growth. These three pillars support our strategic initiatives to deliver on our commitments through improved planning and communication, optimize our infrastructure, and grow by introducing new products to the market through internal development, geographic expansion, and strategic acquisitions.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through acquisitions), (2) gross margins on total revenues,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8"/>
        <w:spacing w:after="0" w:line="277" w:lineRule="auto"/>
        <w:tabs>
          <w:tab w:leader="none" w:pos="2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margins (which we aim to continually expand as we leverage our existing infrastructure), (4) earnings before interest, taxes, depreciation, and amortization, and (5) earnings per diluted share of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252" w:lineRule="exact"/>
        <w:rPr>
          <w:sz w:val="20"/>
          <w:szCs w:val="20"/>
          <w:color w:val="auto"/>
        </w:rPr>
      </w:pPr>
    </w:p>
    <w:p>
      <w:pPr>
        <w:ind w:left="620" w:hanging="315"/>
        <w:spacing w:after="0" w:line="27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Regenerative Technology Platform</w:t>
      </w:r>
      <w:r>
        <w:rPr>
          <w:rFonts w:ascii="Arial" w:cs="Arial" w:eastAsia="Arial" w:hAnsi="Arial"/>
          <w:sz w:val="18"/>
          <w:szCs w:val="18"/>
          <w:color w:val="auto"/>
        </w:rPr>
        <w:t>. We have developed numerous product lines through our proprietary collagen and polyethylene glycol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all of our sales channels.</w:t>
      </w:r>
    </w:p>
    <w:p>
      <w:pPr>
        <w:spacing w:after="0" w:line="116" w:lineRule="exact"/>
        <w:rPr>
          <w:rFonts w:ascii="Arial" w:cs="Arial" w:eastAsia="Arial" w:hAnsi="Arial"/>
          <w:sz w:val="18"/>
          <w:szCs w:val="18"/>
          <w:color w:val="auto"/>
        </w:rPr>
      </w:pPr>
    </w:p>
    <w:p>
      <w:pPr>
        <w:jc w:val="both"/>
        <w:ind w:left="620" w:hanging="315"/>
        <w:spacing w:after="0" w:line="293"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Diversification and Platform Synergies</w:t>
      </w:r>
      <w:r>
        <w:rPr>
          <w:rFonts w:ascii="Arial" w:cs="Arial" w:eastAsia="Arial" w:hAnsi="Arial"/>
          <w:sz w:val="16"/>
          <w:szCs w:val="16"/>
          <w:color w:val="auto"/>
        </w:rPr>
        <w:t>. The Specialty Surgical Solutions and Orthopedics and Tissue Technologies selling platforms each contribute</w:t>
      </w:r>
      <w:r>
        <w:rPr>
          <w:rFonts w:ascii="Arial" w:cs="Arial" w:eastAsia="Arial" w:hAnsi="Arial"/>
          <w:sz w:val="16"/>
          <w:szCs w:val="16"/>
          <w:i w:val="1"/>
          <w:iCs w:val="1"/>
          <w:color w:val="auto"/>
        </w:rPr>
        <w:t xml:space="preserve"> </w:t>
      </w:r>
      <w:r>
        <w:rPr>
          <w:rFonts w:ascii="Arial" w:cs="Arial" w:eastAsia="Arial" w:hAnsi="Arial"/>
          <w:sz w:val="16"/>
          <w:szCs w:val="16"/>
          <w:color w:val="auto"/>
        </w:rPr>
        <w:t>a different strength to our core business. Specialty Surgical Solutions has a strong presence in the hospital, with market-leading products and comprehensive solutions for surgical specialties, such as neurosurgery, as well as a strong capacity to generate cash flows. Orthopedics and Tissue Technologies enables us to grow our top line by continuing to introduce new, differentiated products in fast-growing markets, such as joint replacement, plastic and reconstruction and advanced wound care, as well as to increase gross margins. We have unique synergies between these platforms, such as our regenerative technology, instrument sourcing capabilities, and enterprise contract management.</w:t>
      </w:r>
    </w:p>
    <w:p>
      <w:pPr>
        <w:spacing w:after="0" w:line="110" w:lineRule="exact"/>
        <w:rPr>
          <w:rFonts w:ascii="Arial" w:cs="Arial" w:eastAsia="Arial" w:hAnsi="Arial"/>
          <w:sz w:val="16"/>
          <w:szCs w:val="16"/>
          <w:color w:val="auto"/>
        </w:rPr>
      </w:pPr>
    </w:p>
    <w:p>
      <w:pPr>
        <w:jc w:val="both"/>
        <w:ind w:left="620" w:hanging="315"/>
        <w:spacing w:after="0" w:line="255"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Specialized Sales Footprint</w:t>
      </w:r>
      <w:r>
        <w:rPr>
          <w:rFonts w:ascii="Arial" w:cs="Arial" w:eastAsia="Arial" w:hAnsi="Arial"/>
          <w:sz w:val="18"/>
          <w:szCs w:val="18"/>
          <w:color w:val="auto"/>
        </w:rPr>
        <w:t>. Our medical technology investment and manufacturing strategy provide us with a specialized set of customer call-points</w:t>
      </w:r>
      <w:r>
        <w:rPr>
          <w:rFonts w:ascii="Arial" w:cs="Arial" w:eastAsia="Arial" w:hAnsi="Arial"/>
          <w:sz w:val="18"/>
          <w:szCs w:val="18"/>
          <w:i w:val="1"/>
          <w:iCs w:val="1"/>
          <w:color w:val="auto"/>
        </w:rPr>
        <w:t xml:space="preserve"> </w:t>
      </w:r>
      <w:r>
        <w:rPr>
          <w:rFonts w:ascii="Arial" w:cs="Arial" w:eastAsia="Arial" w:hAnsi="Arial"/>
          <w:sz w:val="18"/>
          <w:szCs w:val="18"/>
          <w:color w:val="auto"/>
        </w:rPr>
        <w:t>and synergies. We have market-leading products across our portfolios that provide both scale and depth in solutions for a broad set of clinical needs. We also have clinical expertise across all of our channels in the United States, and an opportunity to expand and leverage this expertise in markets worldwide. Many of our customers are facing pressure placed upon them by healthcare reform worldwide. In response to our customers’ needs for clinical and technical solutions across multiple departments and clinical areas, we have developed and deployed our Enterprise Selling initiative to bring unique clinical solutions to even the most difficult healthcare issues in key accounts across multiple sites and multi-hospital integrated delivery networks.</w:t>
      </w:r>
    </w:p>
    <w:p>
      <w:pPr>
        <w:spacing w:after="0" w:line="135" w:lineRule="exact"/>
        <w:rPr>
          <w:rFonts w:ascii="Arial" w:cs="Arial" w:eastAsia="Arial" w:hAnsi="Arial"/>
          <w:sz w:val="18"/>
          <w:szCs w:val="18"/>
          <w:color w:val="auto"/>
        </w:rPr>
      </w:pPr>
    </w:p>
    <w:p>
      <w:pPr>
        <w:jc w:val="both"/>
        <w:ind w:left="620" w:hanging="315"/>
        <w:spacing w:after="0" w:line="264"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what enables us to adapt and evolve. We have demonstrated that we can quickly and profitably</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new products and businesses. This core strength has made it possible for us to grow over the years, and is key to our ability to grow into a multi-billion dollar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Tekmed</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15, 2015, the Company acquired the assets of Tekmed Instruments S.p.A ("Tekmed") for an aggregate purchase price of $14.1 million. Tekmed was a distributor of the Company's products in Italy and has a specialty focus on neurosurgery and neurotrauma, along with representation in plastic and reconstructive surgery, cardiovascular surgery, image diagnostics, general surgery, anesthesia and intensive care, interventional radiology, and proton therapy. This acquisition enables the Company to support Specialty Surgical Solutions growth in Italy along with other key Integra franchises.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Tornier's United States Toe &amp; Ankle Business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October 2, 2015, the Company acquired the United States rights to Tornier's Salto Talaris® and Salto Talaris® XT ankle replacement products and Tornier's Futura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silastic toe replacement products (the "Salto and Futura") for $6.0 million in cash. Under the agreement, Integra acquired the U.S. rights to the Salto Talaris® Total Ankle Prosthesis, Salto Talaris® XT Revision Total Ankle Prosthesis, Futura™ Primus Flexible Great Toe system, Futura™ Classic Flexible Great Toe system, and Futura™ Lesser Metatarsal Phalangeal system. The agreement also includes an option to purchase, in the future, the rights to the Salto Talaris®, Salto Talaris® XT, Salto Mobile, and Futura™ silastic toe replacement products outside the United States. The estimated fair value of the net assets acquired exceeded the purchase price for the Salto and Futura product lines and resulted in the Company recording a gain of $1.1 million for the year-ended December 31, 2015 in Other Income. The acquired toe and ankle products enhance the Company's lower extremities product offering and accelerates its entry into the U.S. total ankle replacement market.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 Biosciences, Inc. and TEI Medical, Inc.</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2015, we executed the two merger agreements (collectively, the "Agreements") under which we acquired TEI Biosciences, Inc., a Delaware corporation ("TEI Bio"), and TEI Medical Inc., a Delaware corporation ("TEI Med"). The purchase price consists of a cash payment to the former shareholders of TEI Bio and TEI Med of approximately $312.4 million upon the closing of the transaction and purchase price adjustment of $0.2 million ($0.5 million for TEI Bio offset by $0.7 million cash received for TEI Med) which was recorded as a reduction from goodwill. The $312.2 million ($210.9 million for TEI Bio and $101.3 million for TEI Med) has been allocated based on management's estimate of the fair values of TEI Bio assets and liabilities assumed as of July 17, 2015. The purchase price includes $1.2 million of acquired cash.</w:t>
      </w:r>
    </w:p>
    <w:p>
      <w:pPr>
        <w:spacing w:after="0" w:line="13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July 2014, we completed our multi-center clinical trial evaluating the safety and effectiveness of the INTEGRA® Dermal Regeneration Template for the Treatment of Diabetic Foot Ulcers (“DFU”). The data collected formed the foundation for the Premarket Approval ("PMA") Supplement application that we filed with the FDA. The FDA approved the PMA on January 7, 2016, and the Company commenced commercialization of the resulting DFU product, Omnigraft TM, in May 2016. We are also investing in next generation nerve products, additional clinical studies for indications to support existing products, and longer term research programs to evaluate combination products.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the Spine Business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July 1, 2015, we completed the separation of SeaSpine from Integra through the pro rata distribution of 100% of the common stock of SeaSpine to Integra's stockholders of record as of the close of business on June 19, 2015. The distribution was structured to be tax-free to Integra and its shareholders for U.S. Federal income tax purposes. Unless indicated otherwise, the information in the management discussion and analysis of financial condition and results of operations relates to the Company’s continuing operations. Further information regarding the SeaSpine separation and discontinued operations reporting may be found in Note 2, </w:t>
      </w:r>
      <w:r>
        <w:rPr>
          <w:rFonts w:ascii="Arial" w:cs="Arial" w:eastAsia="Arial" w:hAnsi="Arial"/>
          <w:sz w:val="18"/>
          <w:szCs w:val="18"/>
          <w:i w:val="1"/>
          <w:iCs w:val="1"/>
          <w:color w:val="auto"/>
        </w:rPr>
        <w:t>Discontinued Operations</w:t>
      </w:r>
      <w:r>
        <w:rPr>
          <w:rFonts w:ascii="Arial" w:cs="Arial" w:eastAsia="Arial" w:hAnsi="Arial"/>
          <w:sz w:val="18"/>
          <w:szCs w:val="18"/>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(loss) for the three months ended September 30, 2016, was $20.1 million, or $0.50 per diluted share as compared to $(31.9) million or $(0.90) per diluted share for the three months ended September 30, 2015.</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(loss) for the nine months ended September 30, 2016, was $46.3 million, or $1.18 per diluted share as compared to $(8.1) million or $(0.24) per diluted share for the nine months ended September 30, 2015.</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income for the nine months ended September 30, 2016 increased from the same period last year primarily as a result of a $35.6 million tax expense relating to a valuation allowance recorded resulting from the spin-off of the SeaSpine in July 2015 and increased revenues partially offset by investments in our growing sales channel and research and development. The operations reflect strong growth in our dural repair and regenerative technology franchises as well as the entire year-to-date inclusion of the Tekmed, Tornier's U.S. Foot and Ankle, and TEI activities which were acquired during the second half of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2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11,891</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2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13,965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severance charges</w:t>
            </w:r>
          </w:p>
        </w:tc>
        <w:tc>
          <w:tcPr>
            <w:tcW w:w="2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Acquisition-related charges</w:t>
            </w:r>
          </w:p>
        </w:tc>
        <w:tc>
          <w:tcPr>
            <w:tcW w:w="2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5,061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Spine spin-off charges</w:t>
            </w:r>
          </w:p>
        </w:tc>
        <w:tc>
          <w:tcPr>
            <w:tcW w:w="2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Convertible debt non-cash interest</w:t>
            </w:r>
          </w:p>
        </w:tc>
        <w:tc>
          <w:tcPr>
            <w:tcW w:w="2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47,820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11,076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31,294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5,828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6520" w:type="dxa"/>
            <w:vAlign w:val="bottom"/>
          </w:tcPr>
          <w:p>
            <w:pPr>
              <w:ind w:left="120"/>
              <w:spacing w:after="0"/>
              <w:rPr>
                <w:sz w:val="20"/>
                <w:szCs w:val="20"/>
                <w:color w:val="auto"/>
              </w:rPr>
            </w:pPr>
            <w:r>
              <w:rPr>
                <w:rFonts w:ascii="Arial" w:cs="Arial" w:eastAsia="Arial" w:hAnsi="Arial"/>
                <w:sz w:val="18"/>
                <w:szCs w:val="18"/>
                <w:color w:val="auto"/>
              </w:rPr>
              <w:t>Total from continuing operations</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12,579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23,566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42,642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47,820</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We are engaged in a multi-year implementation of a new global enterprise resource planning ("ERP") system to improve our operational efficiency and have made progress in implementing the ERP across multiple sites. We expect the additional capital and integration expense associated with our ERP system to be completed within the next year.</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comparing our operating performance from period to period, assessing the business model objectives that management has established, and comparing our results against those of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outstanding FDA warning letter related to TEI, acquired by Integra on July 17, 2015. TEI received a Warning Letter from the FDA dated May 29, 2015 for promoting the product SurgiMend for breast surgery applications that were not cleared in the 510(k) process and do not have a PMA Approval for the indication. The FDA requested that TEI immediately cease all activities that resulted in misbranding or adulteration of the product in commercial distribution. The FDA also required TEI to cease all violations regarding promotion of the product for an indication that was not cleared or approved. TEI responded with a corrective action plan to the FDA and took action to address the issues prior to the completion of the acquisition. We will continue to monitor this activity and address all corrective actions submitted to the FDA. The FDA might not accept our corrective action plan or it might choose to scrutinize other promotional claims on products and require additional corrective actions. We do not expect to incur material operating expenses to complete the corrective action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remediation expenses incurred in the three and nine months ended September 30, 2016.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0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Surgical Solutions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159,409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147,085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468,767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433,834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Orthopedics &amp; Tissue Technologies</w:t>
            </w:r>
          </w:p>
        </w:tc>
        <w:tc>
          <w:tcPr>
            <w:tcW w:w="14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90,923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79,282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267,644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207,740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250,332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226,367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736,411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641,574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89,329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86,069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263,667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236,541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on 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161,003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140,298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472,744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405,033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Gross margin as a percentage of total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2016 as Compared to Three Months Ended September 30,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2016 total revenues increased by $24.0 million to $250.3 million from $226.4 million for the same period in 2015.</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Specialty Surgical Solutions revenues were $159.4 million, an increase of 8.4% from the prior-year period. The increase resulted from the growth in all of our major franchises, led by our dural repair products which increased in the low double digits for the quarter, precision tools and instruments which increased mid-single digits, and tissue ablation and neuro critical care, which together grew in the high single digits, driven by strong growth from international orders. This increase is driven by new product introductions. Specialty instruments and our next generation Mayfield 2 cranial stabilization device also contributed to the increase. International sales increased as a result of strong orders from several markets in Europe and China.</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Orthopedics and Tissue Technologies revenues were $90.9 million, an increase of 14.7% from the prior-year period. Revenue from non-acquired product grew by 9.2% led by strong demand and market adoption in our regenerative products, which comprise over 70% of sales in this segment, driven by success from commercial and channel investments, as well as increased end user market demand in certain parts of our private label business. Sales in our extremities franchise increased by approximately 20%, driven by contributions from the Salto acquisition. Excluding this acquisition, extremities hardware sales were up slightly, led by growth in shoulder arthroplasty products.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increased to $161.0 million for the three-month period ended September 30, 2016, up from $140.3 million for the same period last year. Gross margin as a percentage of total revenue increased to 64.3% for the third quarter of 2016 from 62.0% for the same period last year. The increase in gross margin percentage resulted from an increase in sales of higher margin products such as dural repair, skin and wound products, and improvements in the utilization of our manufacturing facilities.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consolidated gross margin percentage for the full year 2016 to be approximately 64.5% to 65.0%. We expect the increase in gross margin to occur because of the full-year contribution from TEI and continued favorable product mix, which is expected to more than offset the costs associated with operating our new collagen manufacturing center.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gridSpan w:val="2"/>
          </w:tcPr>
          <w:p>
            <w:pPr>
              <w:ind w:left="874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5620"/>
              <w:spacing w:after="0"/>
              <w:rPr>
                <w:sz w:val="20"/>
                <w:szCs w:val="20"/>
                <w:color w:val="auto"/>
              </w:rPr>
            </w:pPr>
            <w:r>
              <w:rPr>
                <w:rFonts w:ascii="Arial" w:cs="Arial" w:eastAsia="Arial" w:hAnsi="Arial"/>
                <w:sz w:val="18"/>
                <w:szCs w:val="18"/>
                <w:color w:val="auto"/>
              </w:rPr>
              <w:t>28</w:t>
            </w: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1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$0.6 million, or 0.5%, to $130.9 million in the three months ended September 30, 2016, compared to $130.3 million in the same period last year.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 the third quarter of 2016 increased compared to the same period last year. This increase primarily resulted from additional spending on new product development and clinical studies. We expect full-year 2016 spending on research and development to be approximately 6.0% of total revenues.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expenses in the third quarter of 2016 decreased by $1.1 million to $112.3 million compared to $113.4 million in the same period last year. Selling and marketing expenses increased by $8.8 million compared to last year resulting primarily from additional investments in adding direct sales representatives and distributors. General and administrative costs decreased by $10.0 million, resulting from the elimination of the Medical Device Excise Tax expenses for the third quarter of 2016, which was $2.5 million in the third quarter of 2015, expenses totaling approximately $5.6 million in conjunction with the buy-out of the U.K. pension plan recorded in September 2015, decreases in expenses related to facility restructuring and spin-off related expenses offset by increases in ongoing projects, employee compensation, and benefit plans. We expect full year selling, general and administrative expenses to be approximately 46.0% of revenue in 2016, as we make additional investments in our commercial channels as a result of the benefit of the Medical Device Excise Tax suspension.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as a percentage of revenues in the third quarter of 2016 increased compared to the same period last year. This was primarily related to the increase in intangibles from TEI acquisitions in the second half of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3"/>
              </w:rPr>
              <w:t>Three Months Ended September 30,</w:t>
            </w:r>
          </w:p>
        </w:tc>
        <w:tc>
          <w:tcPr>
            <w:tcW w:w="68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r>
      <w:tr>
        <w:trPr>
          <w:trHeight w:val="196"/>
        </w:trPr>
        <w:tc>
          <w:tcPr>
            <w:tcW w:w="7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(6,295)</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(6,464)</w:t>
            </w:r>
          </w:p>
        </w:tc>
      </w:tr>
      <w:tr>
        <w:trPr>
          <w:trHeight w:val="27"/>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1,192</w:t>
            </w: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1,827</w:t>
            </w:r>
          </w:p>
        </w:tc>
      </w:tr>
      <w:tr>
        <w:trPr>
          <w:trHeight w:val="27"/>
        </w:trPr>
        <w:tc>
          <w:tcPr>
            <w:tcW w:w="7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 the three months ended September 30, 2016 decreased by $0.2 million, primarily due to lower outstanding balance on our Senior Credit Facility for the period compared to the same period. Our reported interest expense for the three-month periods ended September 30, 2016 and 2015 includes non-cash interest related to the accounting for convertible securities of $2.1 million in both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three months ended September 30, 2016 and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for the three months ended September 30, 2015 includes approximately $1.8 million of certain services to SeaSpin under Transition Service Agreement. Other income for the three months ended September 30, 2016 and 2015 mainly includes the impact of transactional foreign exchange gains and losses.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260" w:type="dxa"/>
            <w:vAlign w:val="bottom"/>
            <w:tcBorders>
              <w:bottom w:val="single" w:sz="8" w:color="auto"/>
            </w:tcBorders>
            <w:gridSpan w:val="3"/>
          </w:tcPr>
          <w:p>
            <w:pPr>
              <w:jc w:val="center"/>
              <w:ind w:left="682"/>
              <w:spacing w:after="0"/>
              <w:rPr>
                <w:sz w:val="20"/>
                <w:szCs w:val="20"/>
                <w:color w:val="auto"/>
              </w:rPr>
            </w:pPr>
            <w:r>
              <w:rPr>
                <w:rFonts w:ascii="Arial" w:cs="Arial" w:eastAsia="Arial" w:hAnsi="Arial"/>
                <w:sz w:val="14"/>
                <w:szCs w:val="14"/>
                <w:b w:val="1"/>
                <w:bCs w:val="1"/>
                <w:color w:val="auto"/>
                <w:w w:val="93"/>
              </w:rPr>
              <w:t>Three Months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r>
      <w:tr>
        <w:trPr>
          <w:trHeight w:val="196"/>
        </w:trPr>
        <w:tc>
          <w:tcPr>
            <w:tcW w:w="7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4"/>
              </w:rPr>
              <w:t>24,994</w:t>
            </w:r>
          </w:p>
        </w:tc>
        <w:tc>
          <w:tcPr>
            <w:tcW w:w="12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5,362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160" w:type="dxa"/>
            <w:vAlign w:val="bottom"/>
          </w:tcPr>
          <w:p>
            <w:pPr>
              <w:spacing w:after="0"/>
              <w:rPr>
                <w:sz w:val="21"/>
                <w:szCs w:val="21"/>
                <w:color w:val="auto"/>
              </w:rPr>
            </w:pPr>
          </w:p>
        </w:tc>
        <w:tc>
          <w:tcPr>
            <w:tcW w:w="840" w:type="dxa"/>
            <w:vAlign w:val="bottom"/>
          </w:tcPr>
          <w:p>
            <w:pPr>
              <w:jc w:val="right"/>
              <w:ind w:right="214"/>
              <w:spacing w:after="0"/>
              <w:rPr>
                <w:sz w:val="20"/>
                <w:szCs w:val="20"/>
                <w:color w:val="auto"/>
              </w:rPr>
            </w:pPr>
            <w:r>
              <w:rPr>
                <w:rFonts w:ascii="Arial" w:cs="Arial" w:eastAsia="Arial" w:hAnsi="Arial"/>
                <w:sz w:val="18"/>
                <w:szCs w:val="18"/>
                <w:color w:val="auto"/>
              </w:rPr>
              <w:t>4,850</w:t>
            </w:r>
          </w:p>
        </w:tc>
        <w:tc>
          <w:tcPr>
            <w:tcW w:w="12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w w:val="98"/>
              </w:rPr>
              <w:t>37,243</w:t>
            </w:r>
          </w:p>
        </w:tc>
      </w:tr>
      <w:tr>
        <w:trPr>
          <w:trHeight w:val="27"/>
        </w:trPr>
        <w:tc>
          <w:tcPr>
            <w:tcW w:w="7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19.4%</w:t>
            </w:r>
          </w:p>
        </w:tc>
        <w:tc>
          <w:tcPr>
            <w:tcW w:w="1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w:t>
            </w:r>
          </w:p>
        </w:tc>
      </w:tr>
      <w:tr>
        <w:trPr>
          <w:trHeight w:val="27"/>
        </w:trPr>
        <w:tc>
          <w:tcPr>
            <w:tcW w:w="7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effective income tax rates for the three months ended September 30, 2016 and 2015 were 19.4% and 694.6%, respectively. In the three months ended September 30, 2016, the primary drivers of the lower tax rate are excess tax benefits of $0.5 million as a result of early adoption of </w:t>
      </w:r>
      <w:r>
        <w:rPr>
          <w:rFonts w:ascii="Arial" w:cs="Arial" w:eastAsia="Arial" w:hAnsi="Arial"/>
          <w:sz w:val="18"/>
          <w:szCs w:val="18"/>
          <w:i w:val="1"/>
          <w:iCs w:val="1"/>
          <w:color w:val="auto"/>
        </w:rPr>
        <w:t xml:space="preserve">ASU 2016-09 </w:t>
      </w:r>
      <w:r>
        <w:rPr>
          <w:rFonts w:ascii="Arial" w:cs="Arial" w:eastAsia="Arial" w:hAnsi="Arial"/>
          <w:sz w:val="18"/>
          <w:szCs w:val="18"/>
          <w:color w:val="auto"/>
        </w:rPr>
        <w:t>and a $0.5 million benefit for a Federal research credit study, offset by an expense of $0.4 million related to an uncertain tax position. The primary driver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higher tax rate for the three months ended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September 30, 2015, compared to the three months ended September 30, 2016, was a $35.6 million valuation allowance recorded as a result of the spin-off of the spine business. Excluding the valuation allowance, the primary driver of the higher tax rate for the three months ended September 30, 2015 compared to the three months ended September 30, 2016, was a tax expense of $0.3 million relating to the filing of foreign income tax returns and the settlement of foreign audits.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expects its effective income tax rate for the full year to be approximately 17.0%, resulting largely from excess tax benefits as a result of the early adoption of </w:t>
      </w:r>
      <w:r>
        <w:rPr>
          <w:rFonts w:ascii="Arial" w:cs="Arial" w:eastAsia="Arial" w:hAnsi="Arial"/>
          <w:sz w:val="18"/>
          <w:szCs w:val="18"/>
          <w:i w:val="1"/>
          <w:iCs w:val="1"/>
          <w:color w:val="auto"/>
        </w:rPr>
        <w:t>ASU 2016-09</w:t>
      </w:r>
      <w:r>
        <w:rPr>
          <w:rFonts w:ascii="Arial" w:cs="Arial" w:eastAsia="Arial" w:hAnsi="Arial"/>
          <w:sz w:val="18"/>
          <w:szCs w:val="18"/>
          <w:color w:val="auto"/>
        </w:rPr>
        <w:t>, the Federal research credit benefit, and the jurisdictional mix of pretax income in U.S.-based operations relative to foreign operations. This estimate could be revised in the future as additional information is presented to the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would be classified as current income taxes payable.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2016 as Compared to Nine Months Ended September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2016, total revenues increased by $94.8 million to $736.4 million from $641.6 million during the prior-year period.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Specialty Surgical Solutions revenues were $468.8 million, an increase of 8.1% from the prior-year period. Our dural repair franchise experienced strong demand across both our leading products, DuraGen and DuraSeal. Revenue in our Tissue Ablation franchise and Precision Tools and Instruments business, which includes the former Instruments product portfolio as well as our cranial stabilization and stereotaxy product lines, also increased in part due to new product introductions. Specialty instruments and upgrade cycle associated with out Mayfield 2 cranial stabilization device also contributed to the increase. Neuro critical care revenues remained relatively flat year over year.</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Orthopedics and Tissue Technologies revenues were $267.6 million, an increase of 28.8% from the prior-year period. The increase partially resulted from the impact of the TEI, Salto and Futura product sales arising out of the acquisitions, which added $37.5 million for the nine months ended September 30, 2016. The increase was also driven by strong demand in our regenerative technologies franchise as a result of additional headcount in our sales force, an increase in market adoption of regenerative products and end user demand in certain parts of our private label business. Excluding acquisitions, our extremity franchises were relatively flat.</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margin increased to $472.7 million for the nine-month period ended September 30, 2016 from $405.0 million for the same period last year. Gross margin as a percentage of total revenue increased to 64.2% for the year to date period from 63.1% for the same period last year. The increase in gross margin percentage resulted primarily from an increase in sales of higher margin products such as DuraSeal, DuraGen, skin and wound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23495</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ind w:left="220"/>
        <w:spacing w:after="0"/>
        <w:tabs>
          <w:tab w:leader="none" w:pos="16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23495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3"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6"/>
          <w:szCs w:val="16"/>
          <w:color w:val="auto"/>
        </w:rPr>
        <w:t>5.8%</w:t>
      </w:r>
    </w:p>
    <w:p>
      <w:pPr>
        <w:spacing w:after="0" w:line="63" w:lineRule="exact"/>
        <w:rPr>
          <w:sz w:val="20"/>
          <w:szCs w:val="20"/>
          <w:color w:val="auto"/>
        </w:rPr>
      </w:pPr>
    </w:p>
    <w:p>
      <w:pPr>
        <w:jc w:val="right"/>
        <w:ind w:right="60"/>
        <w:spacing w:after="0"/>
        <w:tabs>
          <w:tab w:leader="none" w:pos="460" w:val="left"/>
        </w:tabs>
        <w:rPr>
          <w:sz w:val="20"/>
          <w:szCs w:val="20"/>
          <w:color w:val="auto"/>
        </w:rPr>
      </w:pPr>
      <w:r>
        <w:rPr>
          <w:rFonts w:ascii="Arial" w:cs="Arial" w:eastAsia="Arial" w:hAnsi="Arial"/>
          <w:sz w:val="18"/>
          <w:szCs w:val="18"/>
          <w:color w:val="auto"/>
        </w:rPr>
        <w:t>46.6%</w:t>
      </w:r>
      <w:r>
        <w:rPr>
          <w:sz w:val="20"/>
          <w:szCs w:val="20"/>
          <w:color w:val="auto"/>
        </w:rPr>
        <w:tab/>
      </w:r>
      <w:r>
        <w:rPr>
          <w:rFonts w:ascii="Arial" w:cs="Arial" w:eastAsia="Arial" w:hAnsi="Arial"/>
          <w:sz w:val="16"/>
          <w:szCs w:val="16"/>
          <w:color w:val="auto"/>
        </w:rPr>
        <w:t>47.7%</w:t>
      </w:r>
    </w:p>
    <w:p>
      <w:pPr>
        <w:spacing w:after="0" w:line="63"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1.0%</w:t>
      </w:r>
    </w:p>
    <w:p>
      <w:pPr>
        <w:spacing w:after="0" w:line="77" w:lineRule="exact"/>
        <w:rPr>
          <w:sz w:val="20"/>
          <w:szCs w:val="20"/>
          <w:color w:val="auto"/>
        </w:rPr>
      </w:pPr>
    </w:p>
    <w:p>
      <w:pPr>
        <w:jc w:val="right"/>
        <w:ind w:right="60"/>
        <w:spacing w:after="0"/>
        <w:tabs>
          <w:tab w:leader="none" w:pos="460" w:val="left"/>
        </w:tabs>
        <w:rPr>
          <w:sz w:val="20"/>
          <w:szCs w:val="20"/>
          <w:color w:val="auto"/>
        </w:rPr>
      </w:pPr>
      <w:r>
        <w:rPr>
          <w:rFonts w:ascii="Arial" w:cs="Arial" w:eastAsia="Arial" w:hAnsi="Arial"/>
          <w:sz w:val="18"/>
          <w:szCs w:val="18"/>
          <w:color w:val="auto"/>
        </w:rPr>
        <w:t>54.0%</w:t>
      </w:r>
      <w:r>
        <w:rPr>
          <w:sz w:val="20"/>
          <w:szCs w:val="20"/>
          <w:color w:val="auto"/>
        </w:rPr>
        <w:tab/>
      </w:r>
      <w:r>
        <w:rPr>
          <w:rFonts w:ascii="Arial" w:cs="Arial" w:eastAsia="Arial" w:hAnsi="Arial"/>
          <w:sz w:val="16"/>
          <w:szCs w:val="16"/>
          <w:color w:val="auto"/>
        </w:rPr>
        <w:t>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48895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125" w:right="239" w:bottom="1440" w:gutter="0" w:footer="0" w:header="0"/>
          <w:type w:val="continuous"/>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operating expenses, which consist of research and development expenses, selling, general and administrative expenses, and amortization expense, increased $48.7 million, or 13.9%, to $398.2 million in the first nine months of 2016, compared to $349.5 million in the same period last year.</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 the first nine months of 2016 increased approximately $7.2 million and increased as a percentage of sales from 5.8% to 6.0%. This increase resulted from additional spending on new product development and clinical studies.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general and administrative expenses in the first nine months of 2016 increased by $37.5 million to $343.5 million compared to $306.0 million in the same period last year. Selling and marketing expenses increased by $46.6 million, primarily resulting from higher commissions and TEI acquisition-related expenses, including the addition of sales representatives. General and administrative costs decreased by $9.1 million primarily resulting from elimination of the Medical Device Excise Tax expense for the nine month period September 30, 2016, which was $7.0 million for the nine months period ended September 30, 2015 and expenses totaling approximately $5.6 million in conjunction with the buy-out of the U.K. pension plan recorded in September 2015 offset by increases in ongoing projects, employee compensation, and benefit plans.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in the first nine months of 2016 increased by $4.0 million to $10.4 million, compared to $6.4 million in the same period last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in the first nine months of 2016 reflects the increase in intangibles due to the three acquisitions in the second half of 2015.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90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2015</w:t>
            </w:r>
          </w:p>
        </w:tc>
      </w:tr>
      <w:tr>
        <w:trPr>
          <w:trHeight w:val="196"/>
        </w:trPr>
        <w:tc>
          <w:tcPr>
            <w:tcW w:w="9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(19,255)</w:t>
            </w: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(17,421)</w:t>
            </w:r>
          </w:p>
        </w:tc>
      </w:tr>
      <w:tr>
        <w:trPr>
          <w:trHeight w:val="27"/>
        </w:trPr>
        <w:tc>
          <w:tcPr>
            <w:tcW w:w="9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(398)</w:t>
            </w: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2,984</w:t>
            </w:r>
          </w:p>
        </w:tc>
      </w:tr>
      <w:tr>
        <w:trPr>
          <w:trHeight w:val="27"/>
        </w:trPr>
        <w:tc>
          <w:tcPr>
            <w:tcW w:w="9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 expense in the nine-month period ended September 30, 2016 increased by $1.8 million primarily due to increased borrowings and higher effective borrowing rates on our Senior Credit facility compared to the prior year. Our reported interest expense for the nine-month periods ended September 30, 2016 and 2015 includes non-cash interest related to the accounting for convertible securities of $6.3 million and $5.9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nine months ended September 30, 2016 and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for the nine months ended September 30, 2015 includes approximately $1.8 million of certain services to SeaSpine under Transition Service Agreement. Other income for the nine months ended September 30, 2016 and 2015 mainly includes the impact of transactional foreign exchange gains and losses.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8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2015</w:t>
            </w:r>
          </w:p>
        </w:tc>
      </w:tr>
      <w:tr>
        <w:trPr>
          <w:trHeight w:val="196"/>
        </w:trPr>
        <w:tc>
          <w:tcPr>
            <w:tcW w:w="8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93"/>
              </w:rPr>
              <w:t>(In thousands)</w:t>
            </w:r>
          </w:p>
        </w:tc>
        <w:tc>
          <w:tcPr>
            <w:tcW w:w="780" w:type="dxa"/>
            <w:vAlign w:val="bottom"/>
          </w:tcPr>
          <w:p>
            <w:pPr>
              <w:spacing w:after="0"/>
              <w:rPr>
                <w:sz w:val="17"/>
                <w:szCs w:val="17"/>
                <w:color w:val="auto"/>
              </w:rPr>
            </w:pPr>
          </w:p>
        </w:tc>
      </w:tr>
      <w:tr>
        <w:trPr>
          <w:trHeight w:val="25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54,931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41,160</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60" w:type="dxa"/>
            <w:vAlign w:val="bottom"/>
          </w:tcPr>
          <w:p>
            <w:pPr>
              <w:jc w:val="right"/>
              <w:ind w:right="99"/>
              <w:spacing w:after="0"/>
              <w:rPr>
                <w:sz w:val="20"/>
                <w:szCs w:val="20"/>
                <w:color w:val="auto"/>
              </w:rPr>
            </w:pPr>
            <w:r>
              <w:rPr>
                <w:rFonts w:ascii="Arial" w:cs="Arial" w:eastAsia="Arial" w:hAnsi="Arial"/>
                <w:sz w:val="18"/>
                <w:szCs w:val="18"/>
                <w:color w:val="auto"/>
              </w:rPr>
              <w:t>8,615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49,289</w:t>
            </w: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7"/>
        </w:trPr>
        <w:tc>
          <w:tcPr>
            <w:tcW w:w="8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effective income tax rates for the nine months ended September 30, 2016 and 2015 were 15.7% and 119.7%, respectively. In the nine months ended September 30, 2016, the primary drivers of the lower tax rate are excess tax benefits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$3.4 million as a result of early adoption of </w:t>
      </w:r>
      <w:r>
        <w:rPr>
          <w:rFonts w:ascii="Arial" w:cs="Arial" w:eastAsia="Arial" w:hAnsi="Arial"/>
          <w:sz w:val="18"/>
          <w:szCs w:val="18"/>
          <w:i w:val="1"/>
          <w:iCs w:val="1"/>
          <w:color w:val="auto"/>
        </w:rPr>
        <w:t>ASU 2016-09</w:t>
      </w:r>
      <w:r>
        <w:rPr>
          <w:rFonts w:ascii="Arial" w:cs="Arial" w:eastAsia="Arial" w:hAnsi="Arial"/>
          <w:sz w:val="18"/>
          <w:szCs w:val="18"/>
          <w:color w:val="auto"/>
        </w:rPr>
        <w:t>, a benefit of $0.7 million for the release of uncertain tax positions, and a benefit of $0.5 million for a Federal research credit study, offset by an expense of $0.4 million related to uncertain tax positions. The primary driver of the higher income tax rate for the nine months ended September 30, 2015, compared to the nine months ended September 30, 2016, was a $35.6 million valuation allowance recorded as a result of the spin-off of the spine business.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Company expects its effective income tax rate for the full year to be approximately 17.0%, resulting largely from excess tax benefits as a result of early adoption of </w:t>
      </w:r>
      <w:r>
        <w:rPr>
          <w:rFonts w:ascii="Arial" w:cs="Arial" w:eastAsia="Arial" w:hAnsi="Arial"/>
          <w:sz w:val="16"/>
          <w:szCs w:val="16"/>
          <w:i w:val="1"/>
          <w:iCs w:val="1"/>
          <w:color w:val="auto"/>
        </w:rPr>
        <w:t>ASU 2016-09</w:t>
      </w:r>
      <w:r>
        <w:rPr>
          <w:rFonts w:ascii="Arial" w:cs="Arial" w:eastAsia="Arial" w:hAnsi="Arial"/>
          <w:sz w:val="16"/>
          <w:szCs w:val="16"/>
          <w:color w:val="auto"/>
        </w:rPr>
        <w:t>, the Federal research credit benefit, and jurisdictional mix of pretax income in U.S.-based operations relative to foreign operations.</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194,346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178,290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567,103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493,559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28,553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24,275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89,623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75,046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79,685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72,969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250,332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226,367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736,411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641,574</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Domestic revenues increased to $194.3 million, or 77.6% of total revenues, for the three months ended September 30, 2016 from $178.3 million, or 78.8% of total revenues, for the three months ended September 30, 2015. International revenues increased to $56.0 million from $48.1 million in the prior-year period, an increase of 16.5%.</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Domestic revenues increased to $567.1 million, or 77.0% of total revenues, for the nine months ended September 30, 2016 from $493.6 million, or 76.9% of total revenues, for the nine months ended September 30, 2015. International revenues increased to $169.3 million from $148.0 million in the prior-year period, an increase of 14.4%.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cash and cash equivalents totaling approximately $107.6 million and $48.1 million at September 30, 2016 and December 31, 2015, respectively, which are valued based on Level 1 measurements in the fair value hierarchy. At September 30, 2016, our non-U.S. subsidiaries held approximately $73.8 million of cash and cash equivalents that are available for use by our operations outside of the United States. If cash and cash equivalents held by our non-U.S. subsidiaries were repatriated to the United States, or used for United States operations, certain amounts could be subject to tax in the United States for the incremental amount in excess of the foreign tax paid.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96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w w:val="92"/>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2"/>
              </w:rPr>
              <w:t>109,876</w:t>
            </w:r>
          </w:p>
        </w:tc>
        <w:tc>
          <w:tcPr>
            <w:tcW w:w="110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91,423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w w:val="98"/>
              </w:rPr>
              <w:t>(21,480)</w:t>
            </w:r>
          </w:p>
        </w:tc>
        <w:tc>
          <w:tcPr>
            <w:tcW w:w="1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(327,132)</w:t>
            </w:r>
          </w:p>
        </w:tc>
      </w:tr>
      <w:tr>
        <w:trPr>
          <w:trHeight w:val="27"/>
        </w:trPr>
        <w:tc>
          <w:tcPr>
            <w:tcW w:w="7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(28,879)</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265,902</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8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(3,347)</w:t>
            </w: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we anticipate that our principal uses of cash will include approximately $35.0 to $40.0 million of capital expenditures primarily for support and maintenance in our existing plants facility automation, our enterprise resource planning system implementation, and additions to our instrument kits used in sales of orthopedic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$109.9 million and $91.4 million for the nine months ended September 30, 2016 and 2015, respectively.</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cash flows for the nine months ended September 30, 2016 increased compared to the same period in 2015. Net income increased compared to the same period of the prior year. Changes in non-cash adjustments included in net income decreased cash flows for the nine months ended September 30, 2016 by approximately $19.3 million compared to the same period in 2015, which resulted primarily from the $35.6 million expense relating to adjustment of valuation allowance recorded as a result of the spin-off of SeaSpine in July 2015 offset by the increase in depreciation and amortization. Changes in working capital decreased cash flows for the nine months ended September 30, 2016 by approximately $8.9 million. Among the changes in working capital, accounts receivable used $8.1 million of cash, inventory used $9.1 million of cash, prepaid expenses and other current assets provided $1.1 million of cash and accounts payable, and accrued expenses and other current liabilities provided $5.8 million of cash. Increases in accounts receivables and inventories are consistent with the increase in revenue.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cash flow for the nine months ended September 30, 2015 increased compared to the same period in 2014. Net income decreased compared to the same period of the prior year, primarily due to the impact of the tax valuation allowance which was a non-cash adjustment. Changes in working capital increased cash flows by approximately $5.8 million. Among the changes in working capital, accounts receivable used $9.2 million of cash, inventory used $8.0 million of cash, prepaid expenses and other current assets provided $7.4 million of cash and accounts payable, accrued expenses and other current liabilities provided $15.8 million of cash.</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2016, we paid $26.1 million for capital expenditures, most of which was directed to our global enterprise system implementation and commercial expansion. We also received $4.2 million of restricted cash which was released from restrictions.</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2015, we paid $310.1 million for the acquisition of TEI, net of acquired cash of $1.2 million and received $1.8 million related to a working capital adjustment from the MicroFrance acquisition. We also received cash of $1.4 million related to the sale of our Andover, U.K. facility. We paid $20.3 million for capital expenditures, most of which was directed to the expansion of our new collagen manufacturing center and global enterprise system implementation.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Provided by Financing Activities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 of cash from financing activities in the nine months ended September 30, 2016 was a $15.0 million borrowing under our Senior Credit Facility for general operating purposes and proceeds we received from stock option exercises of $9.9 million. Additionally, we made repayments of $48.8 million on the revolving portion of our Senior Credit Facility.</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principal use of cash for financing activities in the nine months ended September 30, 2015 was repayments of $448.8 million on the revolving portion under our Senior Credit Facility and $2.5 million on our 2016 Notes. Additionally, we received proceeds related to stock option exercises of $7.3 million and borrowed $545.0 million under our Senior Credit Facility to fund the acquisition of TEI. We also received proceeds from issuance of common stock, net of issuance costs of approximately $219.9 million relating to Company's equity offering in August 2015. We also provided $47.0 million to SeaSpine as part of the spin-off. The Company has the intent and ability to refinance the 2016 Notes prior to its maturity.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2016 and December 31, 2015, working capital was $350.5 million and $299.4 million, respectively. Working capital is defined as net of total current assets less total current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Debt Maturities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1.625% senior convertible notes mature in 2016. The Company considers the balance to be long term in nature based on its current intent and ability to refinance the borrowing prior to its maturity. The Company may attempt to refinance, extend, or use available borrowing capacity under the Senior Credit Facility to settle this obligation, depending on prevailing market conditions. Our ability to refinance or extend this obligation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Debt and Related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 Debt</w:t>
      </w:r>
      <w:r>
        <w:rPr>
          <w:rFonts w:ascii="Arial" w:cs="Arial" w:eastAsia="Arial" w:hAnsi="Arial"/>
          <w:sz w:val="18"/>
          <w:szCs w:val="18"/>
          <w:color w:val="auto"/>
        </w:rPr>
        <w:t xml:space="preserve"> to the current period’s condensed consolidated financial statements for a discussion of our (i) amended and restated Senior Credit Agreement, and (ii) convertible debt and related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2014, our Board of Directors authorized a repurchase plan of up to $75.0 million of outstanding common stock through December 2016. Shares may be repurchased either in the open market or in privately negotiated transactions. There were no shares repurchased under this program through September 30, 2016 and $75.0 million remains available under the authorization.</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25, 2016, our Board of Directors terminated the previous share repurchase plan dated October 28, 2014, and authorized a new repurchase of up to $150.0 million of outstanding common stock through December 2018. Shares may be repurchased either in the open market or in privately negotiated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The Company considers all such outstanding amounts to be long term in nature based on its current intent and ability to repay the borrowings outside of the next twelve-month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we were obligated to pay the following amounts under various agreements: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Payments Due by Calendar 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35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Remaining 2016</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2017-2018</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2019-2020</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Securities (1)</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227.1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Credit Facility (2)</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120.0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342.5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273.8</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(3)</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 (4)</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29.0</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3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779.8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250.6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408.4</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r>
      <w:tr>
        <w:trPr>
          <w:trHeight w:val="20"/>
        </w:trPr>
        <w:tc>
          <w:tcPr>
            <w:tcW w:w="3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840" w:right="20" w:hanging="293"/>
        <w:spacing w:after="0" w:line="264"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estimated debt service obligation of the senior convertible securities includes interest expense representing the amortization of the discount on the liability component of the senior convertible notes in accordance with the authoritative guidance. See Note 6 -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our condensed consolidated financial statements for additional information.</w:t>
      </w:r>
    </w:p>
    <w:p>
      <w:pPr>
        <w:spacing w:after="0" w:line="19" w:lineRule="exact"/>
        <w:rPr>
          <w:rFonts w:ascii="Arial" w:cs="Arial" w:eastAsia="Arial" w:hAnsi="Arial"/>
          <w:sz w:val="18"/>
          <w:szCs w:val="18"/>
          <w:color w:val="auto"/>
        </w:rPr>
      </w:pPr>
    </w:p>
    <w:p>
      <w:pPr>
        <w:jc w:val="both"/>
        <w:ind w:left="840" w:right="40" w:hanging="293"/>
        <w:spacing w:after="0" w:line="264"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revolving credit portion of its Senior Credit Facility from time to time and considers all of the outstanding amounts to be long term based on its current intent and ability to repay the borrowing outside of the next twelve-month period.</w:t>
      </w:r>
    </w:p>
    <w:p>
      <w:pPr>
        <w:spacing w:after="0" w:line="19" w:lineRule="exact"/>
        <w:rPr>
          <w:rFonts w:ascii="Arial" w:cs="Arial" w:eastAsia="Arial" w:hAnsi="Arial"/>
          <w:sz w:val="18"/>
          <w:szCs w:val="18"/>
          <w:color w:val="auto"/>
        </w:rPr>
      </w:pPr>
    </w:p>
    <w:p>
      <w:pPr>
        <w:ind w:left="840" w:right="40" w:hanging="293"/>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is calculated on the term loan portion of the Senior Credit Facility and convertible securities based on current interest rates paid by the Company. As the revolving credit facility can be repaid at any time, no interest has been included in the calculation.</w:t>
      </w:r>
    </w:p>
    <w:p>
      <w:pPr>
        <w:spacing w:after="0" w:line="8" w:lineRule="exact"/>
        <w:rPr>
          <w:rFonts w:ascii="Arial" w:cs="Arial" w:eastAsia="Arial" w:hAnsi="Arial"/>
          <w:sz w:val="18"/>
          <w:szCs w:val="18"/>
          <w:color w:val="auto"/>
        </w:rPr>
      </w:pPr>
    </w:p>
    <w:p>
      <w:pPr>
        <w:ind w:left="840" w:hanging="293"/>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excluded its contingent consideration obligation, supply agreement liability and above market supply agreement liability related to prior acquisitions from the contractual obligations table above; these liabilities had a total fair value of $25.2 million at September 30, 2016. These liabilities have been excluded because the amounts to be paid and the potential payment dates are not fixed.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also excluded the liability for uncertain tax benefits from the contractual obligations table above, including interest and penalties, totaling $0.8 million at September 30, 2016. This liability for uncertain tax benefits has been excluded because we cannot make a reliable estimate of the period in which the uncertain tax benefits may be realized.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nine months ended September 30, 2016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2015, have not materially changed, except as noted below.</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September 30, 2016 would increase interest income by approximately $1.1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Senior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have used an interest rate derivative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to manage our earnings and cash flow exposure to changes in interest rates. This interest rate swap fixes the interest rate on a portion of our expected LIBOR-indexed floating-rate borrowings beginning on December 31, 2016.</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our outstanding borrowings at September 30, 2016, a one-percentage point increase in interest rates would have affected interest expense on the debt by $3.2 million on an annualized basis. A one-percentage point decrease in interest rates would have affected interest expense on the debt by $3.9 million on an annualized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cost-benefit relationship of possible controls and procedures. Management has designed our disclosure controls and procedures to provide reasonable assurance of achieving the desired control objectives.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2016. Based upon this evaluation, our principal executive officer and principal financial officer concluded that our disclosure controls and procedures were effective as of September 30, 2016 to provide such reasonable assurance.</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system. In addition, in response to business integration activities, the Company has and will continue to further align and streamline the design and operation of the financial control environment to be responsive to the changing business model.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September 30, 2016 that have materially affected, or are reasonably likely to materially affect, our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 As of October 28, 2016, no indemnification payments were received nor owed in relation to the lawsuits for the initial indemnification time period, which covered the first fifteen months after closing.</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Risk Factors included in our Annual Report on Form 10-K for the fiscal year ended December 31, 2015 have not materially changed.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2014, our Board of Directors terminated the previous share repurchase plan dated October 2012, and authorized a new repurchase of up to $75.0 million of outstanding common stock through December 2016. Shares may be repurchased either in the open market or in privately negotiated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during the three months ended September 30, 2016 under this program.</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25, 2016, the Company's Board of Directors approved a resolution to retire approximately 8.9 million treasury shares and return such shares to authorized, but unissued shares of common stock. These shares will become available for issue on or about October 28, 2016.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5" w:right="239" w:bottom="70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703"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Exhibits</w:t>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7580" w:type="dxa"/>
            <w:vAlign w:val="bottom"/>
          </w:tcPr>
          <w:p>
            <w:pPr>
              <w:ind w:left="140"/>
              <w:spacing w:after="0"/>
              <w:rPr>
                <w:sz w:val="20"/>
                <w:szCs w:val="20"/>
                <w:color w:val="auto"/>
              </w:rPr>
            </w:pPr>
            <w:r>
              <w:rPr>
                <w:rFonts w:ascii="Arial" w:cs="Arial" w:eastAsia="Arial" w:hAnsi="Arial"/>
                <w:sz w:val="18"/>
                <w:szCs w:val="18"/>
                <w:color w:val="auto"/>
                <w:w w:val="91"/>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7580" w:type="dxa"/>
            <w:vAlign w:val="bottom"/>
          </w:tcPr>
          <w:p>
            <w:pPr>
              <w:ind w:left="14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7580" w:type="dxa"/>
            <w:vAlign w:val="bottom"/>
          </w:tcPr>
          <w:p>
            <w:pPr>
              <w:ind w:left="140"/>
              <w:spacing w:after="0"/>
              <w:rPr>
                <w:sz w:val="20"/>
                <w:szCs w:val="20"/>
                <w:color w:val="auto"/>
              </w:rPr>
            </w:pPr>
            <w:r>
              <w:rPr>
                <w:rFonts w:ascii="Arial" w:cs="Arial" w:eastAsia="Arial" w:hAnsi="Arial"/>
                <w:sz w:val="18"/>
                <w:szCs w:val="18"/>
                <w:color w:val="auto"/>
                <w:w w:val="91"/>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7580" w:type="dxa"/>
            <w:vAlign w:val="bottom"/>
          </w:tcPr>
          <w:p>
            <w:pPr>
              <w:ind w:left="140"/>
              <w:spacing w:after="0"/>
              <w:rPr>
                <w:sz w:val="20"/>
                <w:szCs w:val="20"/>
                <w:color w:val="auto"/>
              </w:rPr>
            </w:pPr>
            <w:r>
              <w:rPr>
                <w:rFonts w:ascii="Arial" w:cs="Arial" w:eastAsia="Arial" w:hAnsi="Arial"/>
                <w:sz w:val="18"/>
                <w:szCs w:val="18"/>
                <w:color w:val="auto"/>
                <w:w w:val="92"/>
              </w:rPr>
              <w:t>Certification of Principal Financial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75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3"/>
              </w:rPr>
              <w:t>*†101.SCH</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6"/>
              </w:rPr>
              <w:t>*†101.CAL</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5"/>
              </w:rPr>
              <w:t>*†101.DEF</w:t>
            </w:r>
          </w:p>
        </w:tc>
        <w:tc>
          <w:tcPr>
            <w:tcW w:w="758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4"/>
              </w:rPr>
              <w:t>*†101.PRE</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ind w:left="500" w:hanging="492"/>
        <w:spacing w:after="0" w:line="257" w:lineRule="auto"/>
        <w:tabs>
          <w:tab w:leader="none" w:pos="1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2016 filed on October 28, 2016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00"/>
              <w:spacing w:after="0"/>
              <w:rPr>
                <w:sz w:val="20"/>
                <w:szCs w:val="20"/>
                <w:color w:val="auto"/>
              </w:rPr>
            </w:pPr>
            <w:r>
              <w:rPr>
                <w:rFonts w:ascii="Arial" w:cs="Arial" w:eastAsia="Arial" w:hAnsi="Arial"/>
                <w:sz w:val="18"/>
                <w:szCs w:val="18"/>
                <w:color w:val="auto"/>
              </w:rPr>
              <w:t>October 28, 2016</w:t>
            </w:r>
          </w:p>
        </w:tc>
        <w:tc>
          <w:tcPr>
            <w:tcW w:w="24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4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48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00"/>
              <w:spacing w:after="0"/>
              <w:rPr>
                <w:sz w:val="20"/>
                <w:szCs w:val="20"/>
                <w:color w:val="auto"/>
              </w:rPr>
            </w:pPr>
            <w:r>
              <w:rPr>
                <w:rFonts w:ascii="Arial" w:cs="Arial" w:eastAsia="Arial" w:hAnsi="Arial"/>
                <w:sz w:val="18"/>
                <w:szCs w:val="18"/>
                <w:color w:val="auto"/>
              </w:rPr>
              <w:t>October 28, 2016</w:t>
            </w:r>
          </w:p>
        </w:tc>
        <w:tc>
          <w:tcPr>
            <w:tcW w:w="24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Glenn G. Coleman</w:t>
            </w:r>
          </w:p>
        </w:tc>
      </w:tr>
      <w:tr>
        <w:trPr>
          <w:trHeight w:val="27"/>
        </w:trPr>
        <w:tc>
          <w:tcPr>
            <w:tcW w:w="4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Glenn G. Coleman</w:t>
            </w:r>
          </w:p>
        </w:tc>
      </w:tr>
      <w:tr>
        <w:trPr>
          <w:trHeight w:val="270"/>
        </w:trPr>
        <w:tc>
          <w:tcPr>
            <w:tcW w:w="48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Corporate Vice President and Chief Financial Officer</w:t>
            </w:r>
          </w:p>
        </w:tc>
      </w:tr>
      <w:tr>
        <w:trPr>
          <w:trHeight w:val="702"/>
        </w:trPr>
        <w:tc>
          <w:tcPr>
            <w:tcW w:w="4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40" w:type="dxa"/>
            <w:vAlign w:val="bottom"/>
          </w:tcPr>
          <w:p>
            <w:pPr>
              <w:jc w:val="right"/>
              <w:ind w:right="290"/>
              <w:spacing w:after="0"/>
              <w:rPr>
                <w:sz w:val="20"/>
                <w:szCs w:val="20"/>
                <w:color w:val="auto"/>
              </w:rPr>
            </w:pPr>
            <w:r>
              <w:rPr>
                <w:rFonts w:ascii="Arial" w:cs="Arial" w:eastAsia="Arial" w:hAnsi="Arial"/>
                <w:sz w:val="18"/>
                <w:szCs w:val="18"/>
                <w:color w:val="auto"/>
              </w:rPr>
              <w:t>39</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54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439"/>
        </w:trPr>
        <w:tc>
          <w:tcPr>
            <w:tcW w:w="1460" w:type="dxa"/>
            <w:vAlign w:val="bottom"/>
            <w:gridSpan w:val="4"/>
          </w:tcPr>
          <w:p>
            <w:pPr>
              <w:spacing w:after="0"/>
              <w:rPr>
                <w:sz w:val="20"/>
                <w:szCs w:val="20"/>
                <w:color w:val="auto"/>
              </w:rPr>
            </w:pPr>
            <w:r>
              <w:rPr>
                <w:rFonts w:ascii="Arial" w:cs="Arial" w:eastAsia="Arial" w:hAnsi="Arial"/>
                <w:sz w:val="18"/>
                <w:szCs w:val="18"/>
                <w:b w:val="1"/>
                <w:bCs w:val="1"/>
                <w:color w:val="auto"/>
                <w:w w:val="94"/>
              </w:rPr>
              <w:t>Table of Contents</w:t>
            </w:r>
          </w:p>
        </w:tc>
        <w:tc>
          <w:tcPr>
            <w:tcW w:w="7540" w:type="dxa"/>
            <w:vAlign w:val="bottom"/>
          </w:tcPr>
          <w:p>
            <w:pPr>
              <w:spacing w:after="0"/>
              <w:rPr>
                <w:sz w:val="24"/>
                <w:szCs w:val="24"/>
                <w:color w:val="auto"/>
              </w:rPr>
            </w:pPr>
          </w:p>
        </w:tc>
      </w:tr>
      <w:tr>
        <w:trPr>
          <w:trHeight w:val="574"/>
        </w:trPr>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Exhibits</w:t>
            </w:r>
          </w:p>
        </w:tc>
        <w:tc>
          <w:tcPr>
            <w:tcW w:w="1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561"/>
        </w:trPr>
        <w:tc>
          <w:tcPr>
            <w:tcW w:w="66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54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r>
        <w:trPr>
          <w:trHeight w:val="54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w w:val="92"/>
              </w:rPr>
              <w:t>Certification of Principal Executive Officer Pursuant to Section 906 of the Sarbanes-Oxley Act of 2002</w:t>
            </w:r>
          </w:p>
        </w:tc>
      </w:tr>
      <w:tr>
        <w:trPr>
          <w:trHeight w:val="54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w w:val="92"/>
              </w:rPr>
              <w:t>Certification of Principal Financial Officer Pursuant to Section 906 of the Sarbanes-Oxley Act of 2002</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*†101.INS</w:t>
            </w:r>
          </w:p>
        </w:tc>
        <w:tc>
          <w:tcPr>
            <w:tcW w:w="754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*†101.SCH</w:t>
            </w:r>
          </w:p>
        </w:tc>
        <w:tc>
          <w:tcPr>
            <w:tcW w:w="754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*†101.CAL</w:t>
            </w:r>
          </w:p>
        </w:tc>
        <w:tc>
          <w:tcPr>
            <w:tcW w:w="754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*†101.DEF</w:t>
            </w:r>
          </w:p>
        </w:tc>
        <w:tc>
          <w:tcPr>
            <w:tcW w:w="7540" w:type="dxa"/>
            <w:vAlign w:val="bottom"/>
          </w:tcPr>
          <w:p>
            <w:pPr>
              <w:ind w:left="8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*†101.LAB</w:t>
            </w:r>
          </w:p>
        </w:tc>
        <w:tc>
          <w:tcPr>
            <w:tcW w:w="7540" w:type="dxa"/>
            <w:vAlign w:val="bottom"/>
          </w:tcPr>
          <w:p>
            <w:pPr>
              <w:ind w:left="8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*†101.PRE</w:t>
            </w:r>
          </w:p>
        </w:tc>
        <w:tc>
          <w:tcPr>
            <w:tcW w:w="754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500" w:hanging="492"/>
        <w:spacing w:after="0" w:line="257" w:lineRule="auto"/>
        <w:tabs>
          <w:tab w:leader="none" w:pos="1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2016 filed on October 28, 2016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8"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October 28, 2016</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28, 2016</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2016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tab/>
        <w:t>October 28, 2016</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2016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28, 2016</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1."/>
      <w:numFmt w:val="lowerRoman"/>
      <w:start w:val="1"/>
    </w:lvl>
    <w:lvl w:ilvl="1">
      <w:lvlJc w:val="left"/>
      <w:lvlText w:val="%2."/>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2"/>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lvl w:ilvl="1">
      <w:lvlJc w:val="left"/>
      <w:lvlText w:val="*"/>
      <w:numFmt w:val="bullet"/>
      <w:start w:val="1"/>
    </w:lvl>
  </w:abstractNum>
  <w:abstractNum w:abstractNumId="15">
    <w:nsid w:val="431BD7B7"/>
    <w:multiLevelType w:val="hybridMultilevel"/>
    <w:lvl w:ilvl="0">
      <w:lvlJc w:val="left"/>
      <w:lvlText w:val="†"/>
      <w:numFmt w:val="bullet"/>
      <w:start w:val="1"/>
    </w:lvl>
    <w:lvl w:ilvl="1">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2019-12-29T09:58:40Z</dcterms:created>
  <dcterms:modified xsi:type="dcterms:W3CDTF">2019-12-29T09:58:40Z</dcterms:modified>
</cp:coreProperties>
</file>