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52" w:lineRule="exact"/>
        <w:rPr>
          <w:sz w:val="24"/>
          <w:szCs w:val="24"/>
          <w:color w:val="auto"/>
        </w:rPr>
      </w:pPr>
    </w:p>
    <w:p>
      <w:pPr>
        <w:ind w:left="720" w:right="20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2016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2" w:lineRule="exact"/>
        <w:rPr>
          <w:sz w:val="24"/>
          <w:szCs w:val="24"/>
          <w:color w:val="auto"/>
        </w:rPr>
      </w:pPr>
    </w:p>
    <w:p>
      <w:pPr>
        <w:ind w:left="720" w:right="180" w:hanging="685"/>
        <w:spacing w:after="0" w:line="262" w:lineRule="auto"/>
        <w:tabs>
          <w:tab w:leader="none" w:pos="7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6" w:lineRule="exact"/>
        <w:rPr>
          <w:sz w:val="24"/>
          <w:szCs w:val="24"/>
          <w:color w:val="auto"/>
        </w:rPr>
      </w:pPr>
    </w:p>
    <w:p>
      <w:pPr>
        <w:ind w:left="4020"/>
        <w:spacing w:after="0"/>
        <w:tabs>
          <w:tab w:leader="none" w:pos="66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0-26224</w:t>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57"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7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5080" w:type="dxa"/>
            <w:vAlign w:val="bottom"/>
          </w:tcPr>
          <w:p>
            <w:pPr>
              <w:jc w:val="center"/>
              <w:ind w:right="1599"/>
              <w:spacing w:after="0"/>
              <w:rPr>
                <w:sz w:val="20"/>
                <w:szCs w:val="20"/>
                <w:color w:val="auto"/>
              </w:rPr>
            </w:pPr>
            <w:r>
              <w:rPr>
                <w:rFonts w:ascii="Times New Roman" w:cs="Times New Roman" w:eastAsia="Times New Roman" w:hAnsi="Times New Roman"/>
                <w:sz w:val="18"/>
                <w:szCs w:val="18"/>
                <w:b w:val="1"/>
                <w:bCs w:val="1"/>
                <w:color w:val="auto"/>
                <w:w w:val="99"/>
              </w:rPr>
              <w:t>311 ENTERPRISE DRIVE</w:t>
            </w:r>
          </w:p>
        </w:tc>
        <w:tc>
          <w:tcPr>
            <w:tcW w:w="3260" w:type="dxa"/>
            <w:vAlign w:val="bottom"/>
          </w:tcPr>
          <w:p>
            <w:pPr>
              <w:spacing w:after="0"/>
              <w:rPr>
                <w:sz w:val="24"/>
                <w:szCs w:val="24"/>
                <w:color w:val="auto"/>
              </w:rPr>
            </w:pPr>
          </w:p>
        </w:tc>
      </w:tr>
      <w:tr>
        <w:trPr>
          <w:trHeight w:val="23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rPr>
              <w:t>PLAINSBORO, NEW JERSEY</w:t>
            </w:r>
          </w:p>
        </w:tc>
        <w:tc>
          <w:tcPr>
            <w:tcW w:w="326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08536</w:t>
            </w:r>
          </w:p>
        </w:tc>
      </w:tr>
      <w:tr>
        <w:trPr>
          <w:trHeight w:val="220"/>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Times New Roman" w:cs="Times New Roman" w:eastAsia="Times New Roman" w:hAnsi="Times New Roman"/>
          <w:sz w:val="16"/>
          <w:szCs w:val="16"/>
          <w:color w:val="auto"/>
        </w:rPr>
        <w:t>90 days.</w:t>
        <w:tab/>
        <w:t>Yes x</w:t>
        <w:tab/>
        <w:t>No o</w:t>
      </w:r>
    </w:p>
    <w:p>
      <w:pPr>
        <w:spacing w:after="0" w:line="149"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4"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Large accelerated filer</w:t>
            </w:r>
          </w:p>
        </w:tc>
        <w:tc>
          <w:tcPr>
            <w:tcW w:w="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w:t>
            </w:r>
          </w:p>
        </w:tc>
        <w:tc>
          <w:tcPr>
            <w:tcW w:w="58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74"/>
              </w:rPr>
              <w:t>o</w:t>
            </w:r>
          </w:p>
        </w:tc>
      </w:tr>
      <w:tr>
        <w:trPr>
          <w:trHeight w:val="446"/>
        </w:trPr>
        <w:tc>
          <w:tcPr>
            <w:tcW w:w="1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Non-accelerated filer</w:t>
            </w:r>
          </w:p>
        </w:tc>
        <w:tc>
          <w:tcPr>
            <w:tcW w:w="4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w:t>
            </w:r>
          </w:p>
        </w:tc>
        <w:tc>
          <w:tcPr>
            <w:tcW w:w="5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(Do not check if a smaller reporting company)</w:t>
            </w:r>
          </w:p>
        </w:tc>
        <w:tc>
          <w:tcPr>
            <w:tcW w:w="2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74"/>
              </w:rPr>
              <w:t>o</w:t>
            </w:r>
          </w:p>
        </w:tc>
      </w:tr>
      <w:tr>
        <w:trPr>
          <w:trHeight w:val="410"/>
        </w:trPr>
        <w:tc>
          <w:tcPr>
            <w:tcW w:w="8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outstanding as of April 25, 2016 was 37,218,896.</w:t>
      </w:r>
    </w:p>
    <w:p>
      <w:pPr>
        <w:sectPr>
          <w:pgSz w:w="11900" w:h="16838" w:orient="portrait"/>
          <w:cols w:equalWidth="0" w:num="1">
            <w:col w:w="11420"/>
          </w:cols>
          <w:pgMar w:left="240" w:top="507"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0" w:type="dxa"/>
            <w:vAlign w:val="bottom"/>
          </w:tcPr>
          <w:p>
            <w:pPr>
              <w:spacing w:after="0"/>
              <w:rPr>
                <w:sz w:val="1"/>
                <w:szCs w:val="1"/>
                <w:color w:val="auto"/>
              </w:rPr>
            </w:pPr>
          </w:p>
        </w:tc>
      </w:tr>
      <w:tr>
        <w:trPr>
          <w:trHeight w:val="33"/>
        </w:trPr>
        <w:tc>
          <w:tcPr>
            <w:tcW w:w="10140" w:type="dxa"/>
            <w:vAlign w:val="bottom"/>
            <w:gridSpan w:val="14"/>
            <w:vMerge w:val="restart"/>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4"/>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7"/>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92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and Comprehensive Income (Loss) for the three months ended March 31, 2016 and 2015 (Unaudited)</w:t>
            </w:r>
          </w:p>
        </w:tc>
        <w:tc>
          <w:tcPr>
            <w:tcW w:w="220" w:type="dxa"/>
            <w:vAlign w:val="bottom"/>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March 31, 2016 and December 31, 2015 (Unaudited)</w:t>
            </w:r>
          </w:p>
        </w:tc>
        <w:tc>
          <w:tcPr>
            <w:tcW w:w="34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three months ended March 31, 2016 and 2015 (Unaudited)</w:t>
            </w:r>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Notes to Unaudited Condensed Consolidated Financial Statements</w:t>
              </w:r>
            </w:hyperlink>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0"/>
          </w:tcPr>
          <w:p>
            <w:pPr>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22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Times New Roman" w:cs="Times New Roman" w:eastAsia="Times New Roman" w:hAnsi="Times New Roman"/>
                <w:sz w:val="16"/>
                <w:szCs w:val="16"/>
                <w:color w:val="0000FF"/>
                <w:w w:val="99"/>
              </w:rPr>
            </w:pPr>
            <w:hyperlink w:anchor="page31">
              <w:r>
                <w:rPr>
                  <w:rFonts w:ascii="Times New Roman" w:cs="Times New Roman" w:eastAsia="Times New Roman" w:hAnsi="Times New Roman"/>
                  <w:sz w:val="16"/>
                  <w:szCs w:val="16"/>
                  <w:color w:val="0000FF"/>
                  <w:w w:val="99"/>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1">
              <w:r>
                <w:rPr>
                  <w:rFonts w:ascii="Times New Roman" w:cs="Times New Roman" w:eastAsia="Times New Roman" w:hAnsi="Times New Roman"/>
                  <w:sz w:val="16"/>
                  <w:szCs w:val="16"/>
                  <w:color w:val="0000FF"/>
                </w:rPr>
                <w:t>31</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FF"/>
            </w:tcBorders>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2">
              <w:r>
                <w:rPr>
                  <w:rFonts w:ascii="Times New Roman" w:cs="Times New Roman" w:eastAsia="Times New Roman" w:hAnsi="Times New Roman"/>
                  <w:sz w:val="16"/>
                  <w:szCs w:val="16"/>
                  <w:color w:val="0000FF"/>
                </w:rPr>
                <w:t>32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6"/>
          </w:tcPr>
          <w:p>
            <w:pPr>
              <w:spacing w:after="0"/>
              <w:rPr>
                <w:rFonts w:ascii="Times New Roman" w:cs="Times New Roman" w:eastAsia="Times New Roman" w:hAnsi="Times New Roman"/>
                <w:sz w:val="16"/>
                <w:szCs w:val="16"/>
                <w:color w:val="0000FF"/>
                <w:w w:val="98"/>
              </w:rPr>
            </w:pPr>
            <w:hyperlink w:anchor="page33">
              <w:r>
                <w:rPr>
                  <w:rFonts w:ascii="Times New Roman" w:cs="Times New Roman" w:eastAsia="Times New Roman" w:hAnsi="Times New Roman"/>
                  <w:sz w:val="16"/>
                  <w:szCs w:val="16"/>
                  <w:color w:val="0000FF"/>
                  <w:w w:val="98"/>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3"/>
          </w:tcPr>
          <w:p>
            <w:pPr>
              <w:spacing w:after="0"/>
              <w:rPr>
                <w:rFonts w:ascii="Times New Roman" w:cs="Times New Roman" w:eastAsia="Times New Roman" w:hAnsi="Times New Roman"/>
                <w:sz w:val="16"/>
                <w:szCs w:val="16"/>
                <w:color w:val="0000FF"/>
                <w:w w:val="97"/>
              </w:rPr>
            </w:pPr>
            <w:hyperlink w:anchor="page33">
              <w:r>
                <w:rPr>
                  <w:rFonts w:ascii="Times New Roman" w:cs="Times New Roman" w:eastAsia="Times New Roman" w:hAnsi="Times New Roman"/>
                  <w:sz w:val="16"/>
                  <w:szCs w:val="16"/>
                  <w:color w:val="0000FF"/>
                  <w:w w:val="97"/>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33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33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33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33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3">
              <w:r>
                <w:rPr>
                  <w:rFonts w:ascii="Times New Roman" w:cs="Times New Roman" w:eastAsia="Times New Roman" w:hAnsi="Times New Roman"/>
                  <w:sz w:val="16"/>
                  <w:szCs w:val="16"/>
                  <w:color w:val="0000FF"/>
                </w:rPr>
                <w:t>33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spacing w:after="0"/>
              <w:rPr>
                <w:rFonts w:ascii="Times New Roman" w:cs="Times New Roman" w:eastAsia="Times New Roman" w:hAnsi="Times New Roman"/>
                <w:sz w:val="16"/>
                <w:szCs w:val="16"/>
                <w:color w:val="0000FF"/>
                <w:w w:val="91"/>
              </w:rPr>
            </w:pPr>
            <w:hyperlink w:anchor="page34">
              <w:r>
                <w:rPr>
                  <w:rFonts w:ascii="Times New Roman" w:cs="Times New Roman" w:eastAsia="Times New Roman" w:hAnsi="Times New Roman"/>
                  <w:sz w:val="16"/>
                  <w:szCs w:val="16"/>
                  <w:color w:val="0000FF"/>
                  <w:w w:val="91"/>
                </w:rPr>
                <w:t>Item 6. Exhibits</w:t>
              </w:r>
            </w:hyperlink>
          </w:p>
        </w:tc>
        <w:tc>
          <w:tcPr>
            <w:tcW w:w="700" w:type="dxa"/>
            <w:vAlign w:val="bottom"/>
            <w:gridSpan w:val="2"/>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4">
              <w:r>
                <w:rPr>
                  <w:rFonts w:ascii="Times New Roman" w:cs="Times New Roman" w:eastAsia="Times New Roman" w:hAnsi="Times New Roman"/>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Times New Roman" w:cs="Times New Roman" w:eastAsia="Times New Roman" w:hAnsi="Times New Roman"/>
                <w:sz w:val="16"/>
                <w:szCs w:val="16"/>
                <w:color w:val="0000FF"/>
                <w:w w:val="94"/>
              </w:rPr>
            </w:pPr>
            <w:hyperlink w:anchor="page35">
              <w:r>
                <w:rPr>
                  <w:rFonts w:ascii="Times New Roman" w:cs="Times New Roman" w:eastAsia="Times New Roman" w:hAnsi="Times New Roman"/>
                  <w:sz w:val="16"/>
                  <w:szCs w:val="16"/>
                  <w:color w:val="0000FF"/>
                  <w:w w:val="94"/>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35</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140" w:type="dxa"/>
            <w:vAlign w:val="bottom"/>
            <w:gridSpan w:val="14"/>
          </w:tcPr>
          <w:p>
            <w:pPr>
              <w:ind w:left="340"/>
              <w:spacing w:after="0"/>
              <w:rPr>
                <w:sz w:val="20"/>
                <w:szCs w:val="20"/>
                <w:color w:val="auto"/>
              </w:rPr>
            </w:pPr>
            <w:r>
              <w:rPr>
                <w:rFonts w:ascii="Times New Roman" w:cs="Times New Roman" w:eastAsia="Times New Roman" w:hAnsi="Times New Roman"/>
                <w:sz w:val="16"/>
                <w:szCs w:val="16"/>
                <w:color w:val="auto"/>
              </w:rPr>
              <w:t>Exhibit 10.1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Times New Roman" w:cs="Times New Roman" w:eastAsia="Times New Roman" w:hAnsi="Times New Roman"/>
                <w:sz w:val="16"/>
                <w:szCs w:val="16"/>
                <w:color w:val="auto"/>
              </w:rPr>
              <w:t>Exhibit 10.2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Times New Roman" w:cs="Times New Roman" w:eastAsia="Times New Roman" w:hAnsi="Times New Roman"/>
                <w:sz w:val="16"/>
                <w:szCs w:val="16"/>
                <w:color w:val="auto"/>
              </w:rPr>
              <w:t>Exhibit 10.3</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Times New Roman" w:cs="Times New Roman" w:eastAsia="Times New Roman" w:hAnsi="Times New Roman"/>
                <w:sz w:val="16"/>
                <w:szCs w:val="16"/>
                <w:color w:val="auto"/>
              </w:rPr>
              <w:t>Exhibit 31.1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Times New Roman" w:cs="Times New Roman" w:eastAsia="Times New Roman" w:hAnsi="Times New Roman"/>
                <w:sz w:val="16"/>
                <w:szCs w:val="16"/>
                <w:color w:val="auto"/>
              </w:rPr>
              <w:t>Exhibit 31.2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Exhibit 32.1</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PRESENTATION LINKBASE DOCUMENT</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gridSpan w:val="7"/>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INTEGRA LIFESCIENCES HOLDINGS CORPORATION</w:t>
            </w:r>
          </w:p>
        </w:tc>
      </w:tr>
      <w:tr>
        <w:trPr>
          <w:trHeight w:val="216"/>
        </w:trPr>
        <w:tc>
          <w:tcPr>
            <w:tcW w:w="8700" w:type="dxa"/>
            <w:vAlign w:val="bottom"/>
            <w:gridSpan w:val="7"/>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r>
      <w:tr>
        <w:trPr>
          <w:trHeight w:val="216"/>
        </w:trPr>
        <w:tc>
          <w:tcPr>
            <w:tcW w:w="7540" w:type="dxa"/>
            <w:vAlign w:val="bottom"/>
            <w:gridSpan w:val="5"/>
          </w:tcPr>
          <w:p>
            <w:pPr>
              <w:jc w:val="center"/>
              <w:ind w:left="3810"/>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0"/>
        </w:trPr>
        <w:tc>
          <w:tcPr>
            <w:tcW w:w="49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7540" w:type="dxa"/>
            <w:vAlign w:val="bottom"/>
            <w:gridSpan w:val="5"/>
          </w:tcPr>
          <w:p>
            <w:pPr>
              <w:jc w:val="center"/>
              <w:ind w:left="379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22"/>
        </w:trPr>
        <w:tc>
          <w:tcPr>
            <w:tcW w:w="4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9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9"/>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236,770</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202,534</w:t>
            </w: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84,773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75,221</w:t>
            </w:r>
          </w:p>
        </w:tc>
      </w:tr>
      <w:tr>
        <w:trPr>
          <w:trHeight w:val="243"/>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11,079</w:t>
            </w: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111,956</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93,265</w:t>
            </w:r>
          </w:p>
        </w:tc>
      </w:tr>
      <w:tr>
        <w:trPr>
          <w:trHeight w:val="243"/>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1,729</w:t>
            </w:r>
          </w:p>
        </w:tc>
      </w:tr>
      <w:tr>
        <w:trPr>
          <w:trHeight w:val="27"/>
        </w:trPr>
        <w:tc>
          <w:tcPr>
            <w:tcW w:w="49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214,651</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181,294</w:t>
            </w: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21,240</w:t>
            </w: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2,017</w:t>
            </w: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1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15,014</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17,790</w:t>
            </w: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6,058</w:t>
            </w:r>
          </w:p>
        </w:tc>
      </w:tr>
      <w:tr>
        <w:trPr>
          <w:trHeight w:val="237"/>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13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11,732</w:t>
            </w: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benefit)</w:t>
            </w: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r>
      <w:tr>
        <w:trPr>
          <w:trHeight w:val="297"/>
        </w:trPr>
        <w:tc>
          <w:tcPr>
            <w:tcW w:w="4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8,384</w:t>
            </w:r>
          </w:p>
        </w:tc>
      </w:tr>
      <w:tr>
        <w:trPr>
          <w:trHeight w:val="311"/>
        </w:trPr>
        <w:tc>
          <w:tcPr>
            <w:tcW w:w="4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0.36</w:t>
            </w:r>
          </w:p>
        </w:tc>
      </w:tr>
      <w:tr>
        <w:trPr>
          <w:trHeight w:val="24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49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r>
      <w:tr>
        <w:trPr>
          <w:trHeight w:val="324"/>
        </w:trPr>
        <w:tc>
          <w:tcPr>
            <w:tcW w:w="4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7"/>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3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324"/>
        </w:trPr>
        <w:tc>
          <w:tcPr>
            <w:tcW w:w="49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 (See Note 11):</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36,967</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32,736</w:t>
            </w:r>
          </w:p>
        </w:tc>
      </w:tr>
      <w:tr>
        <w:trPr>
          <w:trHeight w:val="243"/>
        </w:trPr>
        <w:tc>
          <w:tcPr>
            <w:tcW w:w="4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33,342</w:t>
            </w:r>
          </w:p>
        </w:tc>
      </w:tr>
      <w:tr>
        <w:trPr>
          <w:trHeight w:val="27"/>
        </w:trPr>
        <w:tc>
          <w:tcPr>
            <w:tcW w:w="4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64"/>
        </w:trPr>
        <w:tc>
          <w:tcPr>
            <w:tcW w:w="4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(See Note 12)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19"/>
          </w:cols>
          <w:pgMar w:left="240" w:top="121"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77,086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48,132</w:t>
            </w:r>
          </w:p>
        </w:tc>
      </w:tr>
      <w:tr>
        <w:trPr>
          <w:trHeight w:val="243"/>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40" w:type="dxa"/>
            <w:vAlign w:val="bottom"/>
          </w:tcPr>
          <w:p>
            <w:pPr>
              <w:spacing w:after="0"/>
              <w:rPr>
                <w:sz w:val="21"/>
                <w:szCs w:val="21"/>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4,073</w:t>
            </w: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Trade accounts receivable, net of allowances of $6,015 and $5,572</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132,241</w:t>
            </w:r>
          </w:p>
        </w:tc>
      </w:tr>
      <w:tr>
        <w:trPr>
          <w:trHeight w:val="237"/>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Inventories,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221,978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211,429</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43,894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42,620</w:t>
            </w:r>
          </w:p>
        </w:tc>
      </w:tr>
      <w:tr>
        <w:trPr>
          <w:trHeight w:val="217"/>
        </w:trPr>
        <w:tc>
          <w:tcPr>
            <w:tcW w:w="79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494,565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438,495</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210,330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205,181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594,856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603,740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516,103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512,389</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assets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6,932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7,280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7,487</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1,830,262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1,774,224</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Borrowings under senior credit facility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14,375</w:t>
            </w:r>
          </w:p>
        </w:tc>
      </w:tr>
      <w:tr>
        <w:trPr>
          <w:trHeight w:val="237"/>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 trade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53,993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34,772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5,666</w:t>
            </w:r>
          </w:p>
        </w:tc>
      </w:tr>
      <w:tr>
        <w:trPr>
          <w:trHeight w:val="237"/>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compensation</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45,154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44,839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39,160</w:t>
            </w:r>
          </w:p>
        </w:tc>
      </w:tr>
      <w:tr>
        <w:trPr>
          <w:trHeight w:val="217"/>
        </w:trPr>
        <w:tc>
          <w:tcPr>
            <w:tcW w:w="79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156,630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139,127</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491,563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481,875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convertible securities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220,626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218,240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154,891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28,607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28,648</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1,053,875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1,022,781</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6"/>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$0.01 par value; 60,000 authorized shares; 45,992 and 45,857 issued at March 31, 2016 and</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3"/>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December 31, 2015,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w:t>
            </w:r>
          </w:p>
        </w:tc>
      </w:tr>
      <w:tr>
        <w:trPr>
          <w:trHeight w:val="237"/>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1,022,150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1,020,128</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 at cost; 8,915 shares at March 31, 2016 and December 31, 2015</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(367,121)</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157,563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145,879</w:t>
            </w:r>
          </w:p>
        </w:tc>
      </w:tr>
      <w:tr>
        <w:trPr>
          <w:trHeight w:val="21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776,387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751,443</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1,830,262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1,774,224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w:t>
      </w: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2"/>
        </w:trPr>
        <w:tc>
          <w:tcPr>
            <w:tcW w:w="78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31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11,648</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8,384</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42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3,348</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18,253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11,800</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income tax</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1,341</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2,064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1,859</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(gain) on disposal of property and equipment</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3,246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Excess tax benefits from stock-based compensation arrangements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 net of business acquisitions: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42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(18,440)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(8,104)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(4,864)</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non-current assets</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8,006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1,527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1,521</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 of continuing operations</w:t>
            </w:r>
          </w:p>
        </w:tc>
        <w:tc>
          <w:tcPr>
            <w:tcW w:w="420" w:type="dxa"/>
            <w:vAlign w:val="bottom"/>
          </w:tcPr>
          <w:p>
            <w:pPr>
              <w:spacing w:after="0"/>
              <w:rPr>
                <w:sz w:val="15"/>
                <w:szCs w:val="15"/>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19,171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24,891</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 of discontinued operations</w:t>
            </w:r>
          </w:p>
        </w:tc>
        <w:tc>
          <w:tcPr>
            <w:tcW w:w="42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6,728</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4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19,171</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31,619</w:t>
            </w:r>
          </w:p>
        </w:tc>
        <w:tc>
          <w:tcPr>
            <w:tcW w:w="0" w:type="dxa"/>
            <w:vAlign w:val="bottom"/>
          </w:tcPr>
          <w:p>
            <w:pPr>
              <w:spacing w:after="0"/>
              <w:rPr>
                <w:sz w:val="1"/>
                <w:szCs w:val="1"/>
                <w:color w:val="auto"/>
              </w:rPr>
            </w:pPr>
          </w:p>
        </w:tc>
      </w:tr>
      <w:tr>
        <w:trPr>
          <w:trHeight w:val="73"/>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(10,895)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(5,330)</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property and equipment</w:t>
            </w:r>
          </w:p>
        </w:tc>
        <w:tc>
          <w:tcPr>
            <w:tcW w:w="42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from business acquisition purchase price adjustment</w:t>
            </w:r>
          </w:p>
        </w:tc>
        <w:tc>
          <w:tcPr>
            <w:tcW w:w="420" w:type="dxa"/>
            <w:vAlign w:val="bottom"/>
          </w:tcPr>
          <w:p>
            <w:pPr>
              <w:spacing w:after="0"/>
              <w:rPr>
                <w:sz w:val="16"/>
                <w:szCs w:val="16"/>
                <w:color w:val="auto"/>
              </w:rPr>
            </w:pPr>
          </w:p>
        </w:tc>
        <w:tc>
          <w:tcPr>
            <w:tcW w:w="1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1,831</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restricted cash</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4,165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 of continuing operations</w:t>
            </w:r>
          </w:p>
        </w:tc>
        <w:tc>
          <w:tcPr>
            <w:tcW w:w="420" w:type="dxa"/>
            <w:vAlign w:val="bottom"/>
          </w:tcPr>
          <w:p>
            <w:pPr>
              <w:spacing w:after="0"/>
              <w:rPr>
                <w:sz w:val="15"/>
                <w:szCs w:val="15"/>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(2,061)</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 of discontinued operations</w:t>
            </w:r>
          </w:p>
        </w:tc>
        <w:tc>
          <w:tcPr>
            <w:tcW w:w="42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4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(6,730)</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(5,632)</w:t>
            </w:r>
          </w:p>
        </w:tc>
        <w:tc>
          <w:tcPr>
            <w:tcW w:w="0" w:type="dxa"/>
            <w:vAlign w:val="bottom"/>
          </w:tcPr>
          <w:p>
            <w:pPr>
              <w:spacing w:after="0"/>
              <w:rPr>
                <w:sz w:val="1"/>
                <w:szCs w:val="1"/>
                <w:color w:val="auto"/>
              </w:rPr>
            </w:pPr>
          </w:p>
        </w:tc>
      </w:tr>
      <w:tr>
        <w:trPr>
          <w:trHeight w:val="73"/>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 under senior credit facility</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Repayments under senior credit facility</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payments under capital lease obligations</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exercised stock options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Excess tax benefits from stock-based compensation arrangements</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1,121</w:t>
            </w:r>
          </w:p>
        </w:tc>
        <w:tc>
          <w:tcPr>
            <w:tcW w:w="0" w:type="dxa"/>
            <w:vAlign w:val="bottom"/>
          </w:tcPr>
          <w:p>
            <w:pPr>
              <w:spacing w:after="0"/>
              <w:rPr>
                <w:sz w:val="1"/>
                <w:szCs w:val="1"/>
                <w:color w:val="auto"/>
              </w:rPr>
            </w:pPr>
          </w:p>
        </w:tc>
      </w:tr>
      <w:tr>
        <w:trPr>
          <w:trHeight w:val="73"/>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4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15,811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(13,826)</w:t>
            </w:r>
          </w:p>
        </w:tc>
        <w:tc>
          <w:tcPr>
            <w:tcW w:w="0" w:type="dxa"/>
            <w:vAlign w:val="bottom"/>
          </w:tcPr>
          <w:p>
            <w:pPr>
              <w:spacing w:after="0"/>
              <w:rPr>
                <w:sz w:val="1"/>
                <w:szCs w:val="1"/>
                <w:color w:val="auto"/>
              </w:rPr>
            </w:pPr>
          </w:p>
        </w:tc>
      </w:tr>
      <w:tr>
        <w:trPr>
          <w:trHeight w:val="73"/>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0" w:type="dxa"/>
            <w:vAlign w:val="bottom"/>
          </w:tcPr>
          <w:p>
            <w:pPr>
              <w:spacing w:after="0"/>
              <w:rPr>
                <w:sz w:val="1"/>
                <w:szCs w:val="1"/>
                <w:color w:val="auto"/>
              </w:rPr>
            </w:pPr>
          </w:p>
        </w:tc>
      </w:tr>
      <w:tr>
        <w:trPr>
          <w:trHeight w:val="17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4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28,954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7,877</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48,132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71,994</w:t>
            </w:r>
          </w:p>
        </w:tc>
        <w:tc>
          <w:tcPr>
            <w:tcW w:w="0" w:type="dxa"/>
            <w:vAlign w:val="bottom"/>
          </w:tcPr>
          <w:p>
            <w:pPr>
              <w:spacing w:after="0"/>
              <w:rPr>
                <w:sz w:val="1"/>
                <w:szCs w:val="1"/>
                <w:color w:val="auto"/>
              </w:rPr>
            </w:pPr>
          </w:p>
        </w:tc>
      </w:tr>
      <w:tr>
        <w:trPr>
          <w:trHeight w:val="73"/>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77,086</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79,871</w:t>
            </w:r>
          </w:p>
        </w:tc>
        <w:tc>
          <w:tcPr>
            <w:tcW w:w="0" w:type="dxa"/>
            <w:vAlign w:val="bottom"/>
          </w:tcPr>
          <w:p>
            <w:pPr>
              <w:spacing w:after="0"/>
              <w:rPr>
                <w:sz w:val="1"/>
                <w:szCs w:val="1"/>
                <w:color w:val="auto"/>
              </w:rPr>
            </w:pPr>
          </w:p>
        </w:tc>
      </w:tr>
      <w:tr>
        <w:trPr>
          <w:trHeight w:val="59"/>
        </w:trPr>
        <w:tc>
          <w:tcPr>
            <w:tcW w:w="786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right="8980" w:firstLine="8"/>
        <w:spacing w:after="0" w:line="34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i w:val="1"/>
          <w:iCs w:val="1"/>
          <w:u w:val="single" w:color="auto"/>
          <w:color w:val="auto"/>
        </w:rPr>
        <w:t>General</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“we,” “our,” “us,” “Company” and “Integra” refer to Integra LifeSciences Holdings Corporation, a Delaware corporation, and its subsidiaries unless the context suggests otherwise.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March 31, 2016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2015 included in the Company’s Annual Report on Form 10-K. The December 31, 2015 consolidated balance sheet was derived from audited financial statements, but does not include all disclosures required by accounting principles generally accepted in the United States. Operating results for the three-month period ended March 31, 2016 are not necessarily indicative of the results to be expected for the entire year.</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1, 2015, the Company completed the distribution of 100% of the outstanding common shares of SeaSpine Holdings Corporation ("SeaSpine") to Integra shareholders who received one share of SeaSpine common stock for every three shares of Integra common stock held as of the close of business on the record date, June 19, 2015. The Company has classified the results of operations and cash flows of SeaSpine as discontinued operations for the three-month period ended March 31, 2015 presented in the Company's Form 10-Q. Unless indicated otherwise, the information in the Notes to the condensed consolidated financial statements relates to the Company's continuing operations. Refer to Note 2 -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additional information regarding the distribution.</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32" w:lineRule="exact"/>
        <w:rPr>
          <w:sz w:val="20"/>
          <w:szCs w:val="20"/>
          <w:color w:val="auto"/>
        </w:rPr>
      </w:pPr>
    </w:p>
    <w:p>
      <w:pPr>
        <w:ind w:right="1680"/>
        <w:spacing w:after="0" w:line="437" w:lineRule="auto"/>
        <w:rPr>
          <w:sz w:val="20"/>
          <w:szCs w:val="20"/>
          <w:color w:val="auto"/>
        </w:rPr>
      </w:pPr>
      <w:r>
        <w:rPr>
          <w:rFonts w:ascii="Times New Roman" w:cs="Times New Roman" w:eastAsia="Times New Roman" w:hAnsi="Times New Roman"/>
          <w:sz w:val="18"/>
          <w:szCs w:val="18"/>
          <w:color w:val="auto"/>
        </w:rPr>
        <w:t xml:space="preserve">Certain amounts from the prior year’s financial statements have been reclassified in order to conform to the current year’s presentation. </w:t>
      </w:r>
      <w:r>
        <w:rPr>
          <w:rFonts w:ascii="Times New Roman" w:cs="Times New Roman" w:eastAsia="Times New Roman" w:hAnsi="Times New Roman"/>
          <w:sz w:val="18"/>
          <w:szCs w:val="18"/>
          <w:i w:val="1"/>
          <w:iCs w:val="1"/>
          <w:u w:val="single" w:color="auto"/>
          <w:color w:val="auto"/>
        </w:rPr>
        <w:t>Recently Issued Accounting Standards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Update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become effective for all annual periods and interim reporting periods beginning after December 15, 2017. Early adoption as of January 1, 2017 is permitted. The Company is in the process of evaluating the impact of this standard on its financial statements.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June 2014, the FASB issued Update No. 2014-12, </w:t>
      </w:r>
      <w:r>
        <w:rPr>
          <w:rFonts w:ascii="Times New Roman" w:cs="Times New Roman" w:eastAsia="Times New Roman" w:hAnsi="Times New Roman"/>
          <w:sz w:val="18"/>
          <w:szCs w:val="18"/>
          <w:i w:val="1"/>
          <w:iCs w:val="1"/>
          <w:color w:val="auto"/>
        </w:rPr>
        <w:t>Accounting for Share-Based Payments When the Terms of an Award Provide That a Performance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Be Achieved after the Requisite Service Period (Topic 718)</w:t>
      </w:r>
      <w:r>
        <w:rPr>
          <w:rFonts w:ascii="Times New Roman" w:cs="Times New Roman" w:eastAsia="Times New Roman" w:hAnsi="Times New Roman"/>
          <w:sz w:val="18"/>
          <w:szCs w:val="18"/>
          <w:color w:val="auto"/>
        </w:rPr>
        <w:t>. The amendments require that a performance target that affects vesting and that could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Company adopted this guidance effective January 1, 2016 on a prospective basis. The implementation of the amended guidance did not have a material impact on the Company's consolidated financial position or results of operations.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FASB issued Update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will become effective for all annual periods and interim reporting periods beginning after December 15, 2016. The implementation of the amended guidance is not expected to have an impact on current disclosures in the financial statements.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Update No.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The amendment requires that all costs incurred to issue certain debt be presented in the balance sheet as a direct deduction from the carrying value of the debt. The new standard is limited to the presentation of debt issuance costs and does not affect the recognition or measurement of debt issuance costs. This update is effective for all annual periods and interim reporting periods beginning after December 15, 2015. The Company adopted this guidance effective January 1, 2016 on a retrospective basis. The implementation of the amended guidance did not have a material impact on the consolidated results of operations and resulted in a reclassification of a portion of the debt issuance costs from other long-term assets to long-term debt.</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Update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is permitted. The implementation of the amended guidance is not expected to have a material impact on the consolidated financial position or results of operations.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2015, the FASB issued Update No. 2015-15,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The amendment requires entities to present debt issuance costs related to a recognized debt liability as a direct deduction from the carrying amount of that debt liability.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would not object to an entity's deferring and presenting debt issuance costs as an asset and subsequently amortizing the deferred debt issuance costs ratably over the term of the line-of-credit arrangement, regardless of whether there are any outstanding borrowings on the line-of-credit arrangement. This update is effective for all annual periods and interim reporting periods beginning after December 15, 2015. The Company adopted this guidance effective January 1, 2016 on a retrospective basis. The implementation of the amended guidance did not have a material impact on the consolidated financial position or results of operations.</w:t>
      </w:r>
    </w:p>
    <w:p>
      <w:pPr>
        <w:spacing w:after="0" w:line="1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2015, the FASB issued Update No. 2015-16, </w:t>
      </w:r>
      <w:r>
        <w:rPr>
          <w:rFonts w:ascii="Times New Roman" w:cs="Times New Roman" w:eastAsia="Times New Roman" w:hAnsi="Times New Roman"/>
          <w:sz w:val="18"/>
          <w:szCs w:val="18"/>
          <w:i w:val="1"/>
          <w:iCs w:val="1"/>
          <w:color w:val="auto"/>
        </w:rPr>
        <w:t>Simplifying the Accounting for Measurement-Period Adjustments</w:t>
      </w:r>
      <w:r>
        <w:rPr>
          <w:rFonts w:ascii="Times New Roman" w:cs="Times New Roman" w:eastAsia="Times New Roman" w:hAnsi="Times New Roman"/>
          <w:sz w:val="18"/>
          <w:szCs w:val="18"/>
          <w:color w:val="auto"/>
        </w:rPr>
        <w:t>. The amendment requires that an acquirer recognize adjustments to provisional amounts that are identified during the measurement period in the reporting period in which the adjustment amounts are determined. This update also requires an entity to present separately in the income statement or disclose in the notes, the portion of the amount recorded in current-period earnings by line item that would have been recorded in previous reporting periods if the adjustment to the provisional amounts had been recognized as of the acquisition date. This update is effective for all annual periods and interim reporting periods beginning after December 15, 2015. The new standard must be applied prospectively to adjustments to provisional amounts that occur after the effective date. Early application is permitted for financial statements that have not been issued. The implementation of the amended guidance did not have a material impact on the consolidated results of operations or disclosures in the financial statements.</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Update No. 2015-17,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Under current accounting guidance an entity is required to separate deferred income tax liabilities and assets into current and non-current amounts in a classified statement of financial position. The amendment requires that an entity present all deferred tax assets and liabilities as non-current in a classified statement of financial position. This update will become effective for all annual periods and interim reporting periods beginning after December 15, 2016, however the Company adopted this guidance effective December 31, 2015 on a prospective basis.</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February 2016, the FASB issued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current accounting guidance an entity is not required to report operating leases on the balance sheet. The amendment requires that lessees recognize virtually all of their leases on the balance sheet, by recording a right-of-use asset and lease liability (other than leases that meet the definition of a "short-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 lease"). This update will become effective for all annual periods and interim reporting periods beginning after December 15, 2018. The new standard must be adopted using a modified retrospective transition. Early adoption is permitted. The Company is in the process of evaluating the impact of this standard on its financial statements.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March 2016, the FASB issued Update No. 2016-09, </w:t>
      </w:r>
      <w:r>
        <w:rPr>
          <w:rFonts w:ascii="Times New Roman" w:cs="Times New Roman" w:eastAsia="Times New Roman" w:hAnsi="Times New Roman"/>
          <w:sz w:val="18"/>
          <w:szCs w:val="18"/>
          <w:i w:val="1"/>
          <w:iCs w:val="1"/>
          <w:color w:val="auto"/>
        </w:rPr>
        <w:t>Improvements to Employee Share-Based Payment Accounting (Topic 718)</w:t>
      </w:r>
      <w:r>
        <w:rPr>
          <w:rFonts w:ascii="Times New Roman" w:cs="Times New Roman" w:eastAsia="Times New Roman" w:hAnsi="Times New Roman"/>
          <w:sz w:val="18"/>
          <w:szCs w:val="18"/>
          <w:color w:val="auto"/>
        </w:rPr>
        <w:t>. Under current accounting guidance an entity is required to report excess tax benefits and tax deficiencies to the extent of previous windfalls in equity when the tax benefit is realized. Excess settlements are currently reported as cash inflows from financing activities. The amendment requires that an entity present all excess tax benefits and all tax deficiencies as income tax expense or benefit in the statement of operations to be applied using a prospective transition method. Related tax settlements are to be presented as cash inflows from operating activities. The Company has the option to use either a prospective or retrospective transition method. The amendment removes the requirement to delay recognition of an excess tax benefit until the tax benefit is realized. A modified retrospective transition method must be applied. This update will become effective for all annual periods and interim reporting periods beginning after December 15, 2016. Early adoption is permitted. The Company is in the process of evaluating the impact of this standard on its financial statements.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 material effect on the Company's financial position, results of operations or cash flows.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29, 2014, Integra's Board of Directors approved the announcement of a plan to separate the Company's spine and orthobiologics businesses, now known as SeaSpine Holdings Corporation, from Integra as a new, publicly traded medical technology company focused on the design, development and commercialization of surgical solutions for the treatment of patients suffering from spinal disorders. Integra's board of directors based this determination, in part, on its belief that the tax-free distribution of SeaSpine's shares to Integra stockholders is the most efficient manner to separate the business from Integra's other medical technology businesses. On November 3, 2014, the Company announced its intention to separate its spine business, which was previously a separate reportable segment. On July 1, 2015, the Company completed the distribution of 100% of the outstanding common stock of SeaSpine to Integra's stockholders, who received one share of SeaSpine common stock for every three shares of Integra common stock held as of the close of business on the record date, June 19, 2015. The Company and SeaSpine share three board members, including the chair of Integra’s board of directors, who is lead director for SeaSpine. The separation agreement provided SeaSpine with approximately $47.0 million of total cash immediately following the distribution. No gain or loss was recognized on the part of the Company or shareholders as a result of the distribution resulting from the separation of the spine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results of operations, cash flows, and statement of financial position of SeaSpine have been presented as discontinued operations in the condensed consolidated financial statements and prior periods have been restated. Discontinued operations include results of SeaSpine's business except for certain allocated corporate overhead costs and certain costs associated with transition services provided by Integra to SeaSpine. These allocated costs remain part of continuing operations. Discontinued operations also include other costs incurred by Integra to separate SeaSpine from the fourth quarter of 2014 through the second quarter of 2015. These costs include transaction charges, advisory and consulting fees, and information system expenses. Since the third quarter of 2015, SeaSpine is a stand-alone public company that separately reports its financial results. Due to differences between the basis of presentation for discontinued operations and the basis of presentation as a stand-alone company, the financial results of SeaSpine included within discontinued operations for the Company may not be indicative of actual financial results of SeaSpine as a stand-alone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results from discontinued operations of SeaSpine included in the condensed consolidated statement of operations:</w:t>
      </w:r>
    </w:p>
    <w:p>
      <w:pPr>
        <w:spacing w:after="0" w:line="152"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5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64"/>
        </w:trPr>
        <w:tc>
          <w:tcPr>
            <w:tcW w:w="5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5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32,314</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36,766</w:t>
            </w:r>
          </w:p>
        </w:tc>
      </w:tr>
      <w:tr>
        <w:trPr>
          <w:trHeight w:val="33"/>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(4,452)</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r>
      <w:tr>
        <w:trPr>
          <w:trHeight w:val="33"/>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discontinued operations before tax</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(5,173)</w:t>
            </w:r>
          </w:p>
        </w:tc>
      </w:tr>
      <w:tr>
        <w:trPr>
          <w:trHeight w:val="237"/>
        </w:trPr>
        <w:tc>
          <w:tcPr>
            <w:tcW w:w="55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Benefit for income taxes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w:t>
            </w:r>
          </w:p>
        </w:tc>
      </w:tr>
      <w:tr>
        <w:trPr>
          <w:trHeight w:val="33"/>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removal of SeaSpine's net assets and unrealized accelerated currency translation adjustment was presented as a reduction in Integra's retained earnings.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effect the separation and govern Integra's relationship with SeaSpine after the separation, the Company entered into a Separation and Distribution Agreement and other agreements, including a Tax Matters Agreement, an Employee Matters Agreement, several supply agreements, and a Transition Services Agreement. The Separation and Distribution Agreement governs the separation of the spine business, the transfer of assets and other matters related to the Company's relationship with SeaSpine.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Matters Agreement governs the respective rights, responsibilities and obligations of SeaSpine and Integra with respect to taxes, tax attributes, tax returns, tax proceedings and certain other tax matters.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Employee Matters Agreement governs the compensation and employee benefit obligations with respect to the current and former employees and non-employee directors of SeaSpine and Integra, and generally allocates liabilities and responsibilities relating to employee compensation, benefit plans and programs. The Employee Matters Agreement provides that employees of SeaSpine will no longer participate in benefit plans sponsored or maintained by Integra. In addition, the Employee Matters Agreement provides that each of the parties will be responsible for their respective former and current employees and compensation plans for such current employees.</w:t>
      </w:r>
    </w:p>
    <w:p>
      <w:pPr>
        <w:spacing w:after="0" w:line="18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entered into several Supply Agreements in which SeaSpine engaged Integra to be the product supplier of Integra's former Integra Mozaik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product line ("Mozaik") for a three-year period following the separation, after which there will be no defined terms and this will be considered a normal purchase/sale arrangement. This product line has been licensed to SeaSpine in conjunction with the spin-off. Prior to the spin-off, sales of Mozaik products from an Integra facility to a SeaSpine facility were eliminated in Integra's historical consolidated financial results of operations. The revenue and cost of goods sold related to prior sales of Mozaik to SeaSpine have been restated and are presented in Integra's continuing operations as results of operations. The Company has recorded $0.1 million and $1.2 million in revenue related to the sale of Mozaik products for the three months ended March 31, 2016 and 2015, respectively and $0.1 million and $1.2 million in cost of goods sold for the three months ended March 31, 2016 and 2015, respectively, in its continuing operations.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Transition Services Agreement, the Company agreed to provide administrative, site services, information technology systems and various other corporate and support services to SeaSpine over various periods after the separation on a cost or cost-plus basis. The most significant components of the service income is the provision of information systems and legal services, which were substantially completed during the first quarter of 2016. In the three months ended March 31, 2016 other income (expense), net includes $0.3 million of income in respect of the provision of services to SeaSpine.</w:t>
      </w:r>
    </w:p>
    <w:p>
      <w:pPr>
        <w:spacing w:after="0" w:line="180" w:lineRule="exact"/>
        <w:rPr>
          <w:sz w:val="20"/>
          <w:szCs w:val="20"/>
          <w:color w:val="auto"/>
        </w:rPr>
      </w:pPr>
    </w:p>
    <w:p>
      <w:pPr>
        <w:ind w:right="8980" w:firstLine="8"/>
        <w:spacing w:after="0" w:line="38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ACQUISITIONS </w:t>
      </w:r>
      <w:r>
        <w:rPr>
          <w:rFonts w:ascii="Times New Roman" w:cs="Times New Roman" w:eastAsia="Times New Roman" w:hAnsi="Times New Roman"/>
          <w:sz w:val="18"/>
          <w:szCs w:val="18"/>
          <w:i w:val="1"/>
          <w:iCs w:val="1"/>
          <w:u w:val="single" w:color="auto"/>
          <w:color w:val="auto"/>
        </w:rPr>
        <w:t>Tekmed</w:t>
      </w:r>
    </w:p>
    <w:p>
      <w:pPr>
        <w:spacing w:after="0" w:line="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2015, the Company acquired the assets of Tekmed Instruments S.p.A ("Tekmed") for an aggregate purchase price of $14.2 million. Tekmed was a distributor of the Company's and other third-party products in Italy and focuses on neurosurgery and neurotrauma, along with representation in plastic and reconstructive surgery, cardiovascular surgery, image diagnostics, general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surgery, anesthesia and intensive care, interventional radiology, and proton therapy. This acquisition enables the Company to sell directly into the market to support our Specialty Surgical Solutions division's growth in Italy along with other key Integra franchises.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for Tekmed of approximately $1.2 million in the consolidated statements of operations for the three-month period ended March 31, 2016. The net income or loss attributable to this acquisition cannot be identified on a stand-alone basis because it is in the process of being integrated into the Company's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preliminary allocation of the purchase price as of March 31, 2016 based on the fair value of the assets acquired and liabilities assumed: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49"/>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1,143</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1"/>
                <w:szCs w:val="21"/>
                <w:color w:val="auto"/>
              </w:rPr>
            </w:pPr>
          </w:p>
        </w:tc>
        <w:tc>
          <w:tcPr>
            <w:tcW w:w="1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75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Wtd. Avg. Life:</w:t>
            </w:r>
          </w:p>
        </w:tc>
      </w:tr>
      <w:tr>
        <w:trPr>
          <w:trHeight w:val="48"/>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Supplier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4,981</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2 -13 Years</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9,665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16,469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21"/>
                <w:szCs w:val="21"/>
                <w:color w:val="auto"/>
              </w:rPr>
            </w:pPr>
          </w:p>
        </w:tc>
        <w:tc>
          <w:tcPr>
            <w:tcW w:w="1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753</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1,564</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14,152</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Tornier's United States Toe &amp; Ankle Business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October 2, 2015, the Company acquired the United States rights to Tornier's Salto Talaris® and Salto Talaris® XT ankle replacement products and Tornier's Futura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silastic toe replacement products (the "Salto and Futura") for $6.0 million in cash. The estimated fair value of the net assets acquired exceeded the purchase price for the Salto and Futura product lines and resulted in the Company's recording a gain of $1.1 million for the year ended December 31, 2015 in Other Income. The acquired toe and ankle products enhance the Company's lower extremities product offering and accelerate its entry into the U.S. total ankle replacement market.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for Salto and Futura of approximately $3.9 million in the consolidated statements of operations for the three-month period ended March 31, 2016. The net income or loss attributable to this acquisition cannot be identified on a stand-alone basis because it is in the process of being integrated into the Company's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preliminary allocation of the purchase price as of March 31, 2016 based on the fair value of the assets acquired and liabilities assumed: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49"/>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7"/>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2,688</w:t>
            </w:r>
          </w:p>
        </w:tc>
        <w:tc>
          <w:tcPr>
            <w:tcW w:w="1160" w:type="dxa"/>
            <w:vAlign w:val="bottom"/>
            <w:tcBorders>
              <w:left w:val="single" w:sz="8" w:color="CCEEFF"/>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1,453</w:t>
            </w: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left w:val="single" w:sz="8" w:color="CCEEFF"/>
              <w:bottom w:val="single" w:sz="8" w:color="auto"/>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Wtd. Avg. Life:</w:t>
            </w:r>
          </w:p>
        </w:tc>
      </w:tr>
      <w:tr>
        <w:trPr>
          <w:trHeight w:val="244"/>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Ankle product family</w:t>
            </w:r>
          </w:p>
        </w:tc>
        <w:tc>
          <w:tcPr>
            <w:tcW w:w="300" w:type="dxa"/>
            <w:vAlign w:val="bottom"/>
          </w:tcPr>
          <w:p>
            <w:pPr>
              <w:spacing w:after="0"/>
              <w:rPr>
                <w:sz w:val="21"/>
                <w:szCs w:val="21"/>
                <w:color w:val="auto"/>
              </w:rPr>
            </w:pPr>
          </w:p>
        </w:tc>
        <w:tc>
          <w:tcPr>
            <w:tcW w:w="1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3,210</w:t>
            </w:r>
          </w:p>
        </w:tc>
        <w:tc>
          <w:tcPr>
            <w:tcW w:w="1600" w:type="dxa"/>
            <w:vAlign w:val="bottom"/>
            <w:tcBorders>
              <w:left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 years</w:t>
            </w:r>
          </w:p>
        </w:tc>
      </w:tr>
      <w:tr>
        <w:trPr>
          <w:trHeight w:val="270"/>
        </w:trPr>
        <w:tc>
          <w:tcPr>
            <w:tcW w:w="7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Toe product family</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460</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 years</w:t>
            </w:r>
          </w:p>
        </w:tc>
      </w:tr>
      <w:tr>
        <w:trPr>
          <w:trHeight w:val="237"/>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7,811</w:t>
            </w: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700</w:t>
            </w:r>
          </w:p>
        </w:tc>
        <w:tc>
          <w:tcPr>
            <w:tcW w:w="1160" w:type="dxa"/>
            <w:vAlign w:val="bottom"/>
            <w:tcBorders>
              <w:left w:val="single" w:sz="8" w:color="CCEEFF"/>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7,111</w:t>
            </w: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TEI</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17, 2015, the Company executed the two merger agreements (collectively, the "Agreements") under which the Company acquired TEI Biosciences, Inc., a Delaware corporation ("TEI Bio"), and TEI Medical Inc., a Delaware corporation ("TEI Med", collectively "TEI") for an aggregate purchase price of approximately $312.4 million ($210.4 million for TEI Bio and $102.0</w:t>
      </w:r>
    </w:p>
    <w:p>
      <w:pPr>
        <w:sectPr>
          <w:pgSz w:w="11900" w:h="16838" w:orient="portrait"/>
          <w:cols w:equalWidth="0" w:num="1">
            <w:col w:w="11420"/>
          </w:cols>
          <w:pgMar w:left="240" w:top="117"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for TEI Med) subject in each case to purchase price adjustments for certain working capital changes. The purchase price consists of a cash payment to the former shareholders of TEI Bio and TEI Med of approximately $312.4 million upon the closing of the transaction, net of $1.2 million of acquired cash.</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for TEI of approximately $13.5 million in the condensed consolidated statements of operations for the three-month period ended March 31, 2016. The net income or loss attributable to this acquisition cannot be identified on a stand-alone basis because it is in the process of being integrated into the Company's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preliminary allocation of the purchase price as of March 31, 2016 based on the fair value of the assets acquired and liabilities assumed: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49"/>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4"/>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1,241</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9,011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23,223</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receivable</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5,135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2,670</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Wtd. Avg. Life:</w:t>
            </w:r>
          </w:p>
        </w:tc>
      </w:tr>
      <w:tr>
        <w:trPr>
          <w:trHeight w:val="243"/>
        </w:trPr>
        <w:tc>
          <w:tcPr>
            <w:tcW w:w="754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167,400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14 -16 Years</w:t>
            </w:r>
          </w:p>
        </w:tc>
        <w:tc>
          <w:tcPr>
            <w:tcW w:w="440" w:type="dxa"/>
            <w:vAlign w:val="bottom"/>
            <w:tcBorders>
              <w:top w:val="single" w:sz="8" w:color="CCEEFF"/>
            </w:tcBorders>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Contractual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51,345</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11 -14 Years</w:t>
            </w:r>
          </w:p>
        </w:tc>
      </w:tr>
      <w:tr>
        <w:trPr>
          <w:trHeight w:val="243"/>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Leasehold interest</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147,878</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37"/>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409,999</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9,732</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87,908</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312,359</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Results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results of operations for the three months ended March 31, 2015 as if the acquisitions completed by the Company during 2015 had been completed as of the beginning of the prior year. The pro forma results are based upon certain assumptions and estimates, and they give effect to actual operating results prior to the acquisition and adjustments to reflect (i) the change in interest expense, depreciation expense, and intangible asset amortization, (ii) certain external expenses related to the acquisition as if they were incurred on January 1 of the year prior to the acquisition that will not be recurring in the post-acquisition periods,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275"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8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264"/>
        </w:trPr>
        <w:tc>
          <w:tcPr>
            <w:tcW w:w="8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36"/>
        </w:trPr>
        <w:tc>
          <w:tcPr>
            <w:tcW w:w="8100" w:type="dxa"/>
            <w:vAlign w:val="bottom"/>
          </w:tcPr>
          <w:p>
            <w:pPr>
              <w:spacing w:after="0"/>
              <w:rPr>
                <w:sz w:val="11"/>
                <w:szCs w:val="11"/>
                <w:color w:val="auto"/>
              </w:rPr>
            </w:pPr>
          </w:p>
        </w:tc>
        <w:tc>
          <w:tcPr>
            <w:tcW w:w="1780" w:type="dxa"/>
            <w:vAlign w:val="bottom"/>
            <w:gridSpan w:val="3"/>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(In thousands, except per</w:t>
            </w:r>
          </w:p>
        </w:tc>
      </w:tr>
      <w:tr>
        <w:trPr>
          <w:trHeight w:val="195"/>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share amounts)</w:t>
            </w:r>
          </w:p>
        </w:tc>
      </w:tr>
      <w:tr>
        <w:trPr>
          <w:trHeight w:val="25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225,471</w:t>
            </w: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13,308</w:t>
            </w:r>
          </w:p>
        </w:tc>
      </w:tr>
      <w:tr>
        <w:trPr>
          <w:trHeight w:val="33"/>
        </w:trPr>
        <w:tc>
          <w:tcPr>
            <w:tcW w:w="8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0.41</w:t>
            </w: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9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130,514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125,869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51,163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47,962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8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40,301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37,598</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221,978</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211,429</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vMerge w:val="continu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94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2016 were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140" w:type="dxa"/>
            <w:vAlign w:val="bottom"/>
          </w:tcPr>
          <w:p>
            <w:pPr>
              <w:spacing w:after="0"/>
              <w:rPr>
                <w:sz w:val="24"/>
                <w:szCs w:val="24"/>
                <w:color w:val="auto"/>
              </w:rPr>
            </w:pPr>
          </w:p>
        </w:tc>
        <w:tc>
          <w:tcPr>
            <w:tcW w:w="1120" w:type="dxa"/>
            <w:vAlign w:val="bottom"/>
            <w:gridSpan w:val="3"/>
            <w:vMerge w:val="restart"/>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Orthopedics and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Surgical</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Tissue Technologies</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at December 31, 2015</w:t>
            </w:r>
          </w:p>
        </w:tc>
        <w:tc>
          <w:tcPr>
            <w:tcW w:w="2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284,976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227,413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512,389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3,714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March 31, 2016</w:t>
            </w:r>
          </w:p>
        </w:tc>
        <w:tc>
          <w:tcPr>
            <w:tcW w:w="2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287,042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229,061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516,103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March 31, 2016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7"/>
              <w:spacing w:after="0"/>
              <w:rPr>
                <w:sz w:val="20"/>
                <w:szCs w:val="20"/>
                <w:color w:val="auto"/>
              </w:rPr>
            </w:pPr>
            <w:r>
              <w:rPr>
                <w:rFonts w:ascii="Times New Roman" w:cs="Times New Roman" w:eastAsia="Times New Roman" w:hAnsi="Times New Roman"/>
                <w:sz w:val="18"/>
                <w:szCs w:val="18"/>
                <w:color w:val="auto"/>
                <w:w w:val="99"/>
              </w:rPr>
              <w:t>17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480,982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(75,174)</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405,808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7"/>
              <w:spacing w:after="0"/>
              <w:rPr>
                <w:sz w:val="20"/>
                <w:szCs w:val="20"/>
                <w:color w:val="auto"/>
              </w:rPr>
            </w:pPr>
            <w:r>
              <w:rPr>
                <w:rFonts w:ascii="Times New Roman" w:cs="Times New Roman" w:eastAsia="Times New Roman" w:hAnsi="Times New Roman"/>
                <w:sz w:val="18"/>
                <w:szCs w:val="18"/>
                <w:color w:val="auto"/>
                <w:w w:val="99"/>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154,707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83,070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7"/>
              <w:spacing w:after="0"/>
              <w:rPr>
                <w:sz w:val="20"/>
                <w:szCs w:val="20"/>
                <w:color w:val="auto"/>
              </w:rPr>
            </w:pPr>
            <w:r>
              <w:rPr>
                <w:rFonts w:ascii="Times New Roman" w:cs="Times New Roman" w:eastAsia="Times New Roman" w:hAnsi="Times New Roman"/>
                <w:sz w:val="18"/>
                <w:szCs w:val="18"/>
                <w:color w:val="auto"/>
                <w:w w:val="99"/>
              </w:rPr>
              <w:t>30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91,586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74,234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Supplier relationships</w:t>
            </w:r>
          </w:p>
        </w:tc>
        <w:tc>
          <w:tcPr>
            <w:tcW w:w="120" w:type="dxa"/>
            <w:vAlign w:val="bottom"/>
          </w:tcPr>
          <w:p>
            <w:pPr>
              <w:spacing w:after="0"/>
              <w:rPr>
                <w:sz w:val="21"/>
                <w:szCs w:val="21"/>
                <w:color w:val="auto"/>
              </w:rPr>
            </w:pPr>
          </w:p>
        </w:tc>
        <w:tc>
          <w:tcPr>
            <w:tcW w:w="1600" w:type="dxa"/>
            <w:vAlign w:val="bottom"/>
          </w:tcPr>
          <w:p>
            <w:pPr>
              <w:jc w:val="center"/>
              <w:ind w:right="277"/>
              <w:spacing w:after="0"/>
              <w:rPr>
                <w:sz w:val="20"/>
                <w:szCs w:val="20"/>
                <w:color w:val="auto"/>
              </w:rPr>
            </w:pPr>
            <w:r>
              <w:rPr>
                <w:rFonts w:ascii="Times New Roman" w:cs="Times New Roman" w:eastAsia="Times New Roman" w:hAnsi="Times New Roman"/>
                <w:sz w:val="18"/>
                <w:szCs w:val="18"/>
                <w:color w:val="auto"/>
                <w:w w:val="99"/>
              </w:rPr>
              <w:t>27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34,721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22,128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277"/>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11,197</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9,616</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773,193</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(178,337)</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594,856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7"/>
              <w:spacing w:after="0"/>
              <w:rPr>
                <w:sz w:val="20"/>
                <w:szCs w:val="20"/>
                <w:color w:val="auto"/>
              </w:rPr>
            </w:pPr>
            <w:r>
              <w:rPr>
                <w:rFonts w:ascii="Times New Roman" w:cs="Times New Roman" w:eastAsia="Times New Roman" w:hAnsi="Times New Roman"/>
                <w:sz w:val="18"/>
                <w:szCs w:val="18"/>
                <w:color w:val="auto"/>
                <w:w w:val="99"/>
              </w:rPr>
              <w:t>17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480,684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412,706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8"/>
                <w:szCs w:val="18"/>
                <w:color w:val="auto"/>
                <w:w w:val="99"/>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153,246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84,435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7"/>
              <w:spacing w:after="0"/>
              <w:rPr>
                <w:sz w:val="20"/>
                <w:szCs w:val="20"/>
                <w:color w:val="auto"/>
              </w:rPr>
            </w:pPr>
            <w:r>
              <w:rPr>
                <w:rFonts w:ascii="Times New Roman" w:cs="Times New Roman" w:eastAsia="Times New Roman" w:hAnsi="Times New Roman"/>
                <w:sz w:val="18"/>
                <w:szCs w:val="18"/>
                <w:color w:val="auto"/>
                <w:w w:val="99"/>
              </w:rPr>
              <w:t>30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90,837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74,463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Supplier relationships</w:t>
            </w:r>
          </w:p>
        </w:tc>
        <w:tc>
          <w:tcPr>
            <w:tcW w:w="120" w:type="dxa"/>
            <w:vAlign w:val="bottom"/>
          </w:tcPr>
          <w:p>
            <w:pPr>
              <w:spacing w:after="0"/>
              <w:rPr>
                <w:sz w:val="21"/>
                <w:szCs w:val="21"/>
                <w:color w:val="auto"/>
              </w:rPr>
            </w:pP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8"/>
                <w:szCs w:val="18"/>
                <w:color w:val="auto"/>
                <w:w w:val="99"/>
              </w:rPr>
              <w:t>27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34,721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22,485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10,958</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9,651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770,446</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(166,706)</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603,740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0" w:hanging="332"/>
        <w:spacing w:after="0" w:line="218"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At March 31, 2016 and December 31, 2015, all other included in-process research and development ("IPR&amp;D") of $1.0 million in both periods, which was indefinite-lived.</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approximate $41.5 million in 2016, $40.9 million in 2017, $40.4 million in 2018, $40.4 million in 2019 and $40.2 million in 2020. Identifiable intangible assets are initially recorded at fair market value at the time of acquisition using an income or cost approach.</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Credit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28, 2015, the Company entered into a second amendment (the “Second Amendment”) to the certain Third Amended and Restated Credit Agreement, dated as of July 2, 2014 among the Company, a syndicate of lending banks, Bank of America, N.A., as Administrative Agent, Swing Line Lender and L/C Issuer, Wells Fargo Bank, National Association, as Syndication Agent, and HSBC Bank USA, National Association, Royal Bank of Canada, Citizens Bank, National Association, DNB Capital LLC, Crédit Agricole-Corporate and Investment Bank, and TD Bank, N.A., as Co-Documentation Agents.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Amendment creates an aggregate principal amount of up to $1.1 billion available to the Company through the following facilities:</w:t>
      </w:r>
    </w:p>
    <w:p>
      <w:pPr>
        <w:spacing w:after="0" w:line="63" w:lineRule="exact"/>
        <w:rPr>
          <w:sz w:val="20"/>
          <w:szCs w:val="20"/>
          <w:color w:val="auto"/>
        </w:rPr>
      </w:pPr>
    </w:p>
    <w:p>
      <w:pPr>
        <w:ind w:left="66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$750.0 million revolving credit facility, which includes a $60.0 million sublimit for the issuance of standby letters of credit and a $60.0 million sublimit for swingline loans,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$350.0 million term loan facility.</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Second Amendment, the Company borrowed $200.0 million of incremental term loans as permitted under the original terms of the Senior Credit Facility to repay a portion of the Company's outstanding revolving loans. Additionally, the Second Amendment (i) enables the Company to incur up to $200.0 million of incremental loans in the future and (ii) modifies the consolidated leverage ratio covenant in the Credit Agreement. The July 2014 amended and restated Senior Credit Facility extended the maturity date of the prior facility from June 8, 2016 to July 2, 2019.</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w:t>
      </w:r>
    </w:p>
    <w:p>
      <w:pPr>
        <w:spacing w:after="0" w:line="63" w:lineRule="exact"/>
        <w:rPr>
          <w:sz w:val="20"/>
          <w:szCs w:val="20"/>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Eurodollar Rate (as defined in the amendment and restatement) in effect from time to time plus the applicable rate (ranging from 1.00% to 1.75%),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Eurodollar Rate plus 1.00%.</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March 31, 2016 the Company was in compliance with all such covenants. The Company capitalized $1.4 million of incremental financing costs in 2015 in connection with the modifications of the Senior Credit Facility.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2016 and December 31, 2015, there was $165.0 million and $150.0 million outstanding, respectively, under the revolving credit component of the Senior Credit Facility at a weighted average interest rate of 2.0% and 1.9%, respectively. At March 31, 2016 and December 31, 2015, there was $344.4 million and $346.2 million outstanding, respectively, under the term loan component of the Senior Credit Facility at a weighted average interest rate of 2.0% and 1.8%, respectively. At March 31, 2016, there was approximately $585.0 million available for borrowing under the Senior Credit Facility.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outstanding borrowings of the Senior Credit Facility's revolving credit facility and term loan components at March 31, 2016 was approximately $157.3 million and $330.1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long-term in nature based on its current intent and ability to repay the borrowing outside of the next twelve-month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began September 30, 2015 and are due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840" w:type="dxa"/>
            <w:vAlign w:val="bottom"/>
            <w:gridSpan w:val="3"/>
          </w:tcPr>
          <w:p>
            <w:pPr>
              <w:jc w:val="right"/>
              <w:ind w:right="4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286"/>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4"/>
                <w:szCs w:val="24"/>
                <w:color w:val="auto"/>
              </w:rPr>
            </w:pPr>
          </w:p>
        </w:tc>
      </w:tr>
      <w:tr>
        <w:trPr>
          <w:trHeight w:val="255"/>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2016</w:t>
            </w:r>
          </w:p>
        </w:tc>
        <w:tc>
          <w:tcPr>
            <w:tcW w:w="74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r>
      <w:tr>
        <w:trPr>
          <w:trHeight w:val="243"/>
        </w:trPr>
        <w:tc>
          <w:tcPr>
            <w:tcW w:w="20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2017</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25,625</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2018</w:t>
            </w:r>
          </w:p>
        </w:tc>
        <w:tc>
          <w:tcPr>
            <w:tcW w:w="16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w:t>
            </w:r>
          </w:p>
        </w:tc>
      </w:tr>
      <w:tr>
        <w:trPr>
          <w:trHeight w:val="243"/>
        </w:trPr>
        <w:tc>
          <w:tcPr>
            <w:tcW w:w="20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2019</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273,750</w:t>
            </w:r>
          </w:p>
        </w:tc>
      </w:tr>
      <w:tr>
        <w:trPr>
          <w:trHeight w:val="27"/>
        </w:trPr>
        <w:tc>
          <w:tcPr>
            <w:tcW w:w="20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CCEEFF"/>
            </w:tcBorders>
            <w:shd w:val="clear" w:color="auto" w:fill="CCEEFF"/>
          </w:tcPr>
          <w:p>
            <w:pPr>
              <w:spacing w:after="0"/>
              <w:rPr>
                <w:sz w:val="22"/>
                <w:szCs w:val="22"/>
                <w:color w:val="auto"/>
              </w:rPr>
            </w:pPr>
          </w:p>
        </w:tc>
        <w:tc>
          <w:tcPr>
            <w:tcW w:w="74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344,375</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Convertible Senior Notes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2016, the carrying amount of the liability component was $220.6 million, the remaining unamortized discount was $6.2 million, the remaining unamortized debt issuance cost was $0.2 million and the principal amount outstanding was $227.1 million. At December 31, 2015, the carrying amount of the liability component was $218.2 million, the remaining unamortized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 was $8.4 million, the remaining unamortized debt issuance cost was $0.5 million and the principal amount outstanding was $227.1 million.</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2016 Notes at March 31, 2016 was approximately $295.9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 of the fair value hierarchy.</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2016 Notes are senior, unsecured obligations of the Company, and are convertible into cash and, if applicable, shares of its common stock based on an initial conversion rate, subject to adjustment of 18.9287 shares per $1,000 principal amount of 2016 Notes (which represents an initial conversion price of approximately $52.83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which included the spin-off of the spine business. The issue price of the 2016 Notes was equal to their face amount, which is also the amount holders are entitled to receive at maturity if the 2016 Notes are not converted. As of March 31, 2015, certain conversion features were triggered due to the announced spin-off of the Company's subsidiary, SeaSpine Holdings Corporation, which allowed the holders to convert all or any of the 2016 Notes subject to certain conditions. The 2016 Notes were convertible through June 10, 2015 and as of the close of the conversion window, note holders provided notice to convert 2,903 notes. During 2015, the Company paid $2.9 million in cash and issued 8,457 shares to settle the obligation to the note holders that converted. The Company considers the balance to be long-term in nature based on its current intent and ability to refinance the borrowing prior to its maturity.</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$52.83 per share, subject to customary anti-dilution adjustments. The initial strike price of the warrant transaction is approximately $64.43 per share, subject to customary anti-dilution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Interest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expense components of the Company’s convertible notes are as follows (net of capitalized interest amounts):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88"/>
        </w:trPr>
        <w:tc>
          <w:tcPr>
            <w:tcW w:w="6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 Notes: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the discount on the liability component (1)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interest related to the contractual interest coupon (2)</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8"/>
        <w:spacing w:after="0" w:line="329" w:lineRule="auto"/>
        <w:tabs>
          <w:tab w:leader="none" w:pos="8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the discount on the liability component of the 2016 Notes is presented net of capitalized interest of $0.1 million and $0.2 million for the three month periods ended March 31, 2016 and 2015, respectively.</w:t>
      </w:r>
    </w:p>
    <w:p>
      <w:pPr>
        <w:spacing w:after="0" w:line="107" w:lineRule="exact"/>
        <w:rPr>
          <w:rFonts w:ascii="Times New Roman" w:cs="Times New Roman" w:eastAsia="Times New Roman" w:hAnsi="Times New Roman"/>
          <w:sz w:val="18"/>
          <w:szCs w:val="18"/>
          <w:color w:val="auto"/>
        </w:rPr>
      </w:pPr>
    </w:p>
    <w:p>
      <w:pPr>
        <w:ind w:firstLine="8"/>
        <w:spacing w:after="0" w:line="329" w:lineRule="auto"/>
        <w:tabs>
          <w:tab w:leader="none" w:pos="8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interest related to the contractual interest coupon on the 2016 Notes is presented net of capitalized interest of $0.0 million and $0.1 million for the three month periods ended March 31, 2016 and 2015,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Hedging</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LIBOR interest rate borrowings. On August 10, 2015 the interest rate swap derivative instrument the Company entered into on August 10, 2010 with an effective date of December 31, 2010 expired. The interest rate swap was used to manage the Company's earnings and cash flow exposure to changes in interest rates by converting a portion of its floating-rate debt into fixed-rate debt. The Company did not enter into another interest rate swap derivative instrument.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expiration, the Company designated this derivative instrument as a cash flow hedge. The Company recorded the effective portion of any change in the fair value of a derivative instrument designated as a cash flow hedge as unrealized gains or losses in accumulated other comprehensive income (“AOCI”), net of tax, until the hedged item affected earnings, at which point the effective portion of any gain or loss was reclassified to earnings. If the hedged cash flow does not occur, or if it becomes probable that it will not occur, the Company will reclassify the amount of any gain or loss on the related cash flow hedge to interest expense at that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instruments outstanding as of March 31,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Hedging</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Counterparty Credit Risk</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Derivative Instruments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on the accompanying condensed consolidated statements of operations during the three months ended March 31, 2015: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200" w:type="dxa"/>
            <w:vAlign w:val="bottom"/>
          </w:tcPr>
          <w:p>
            <w:pPr>
              <w:spacing w:after="0"/>
              <w:rPr>
                <w:sz w:val="12"/>
                <w:szCs w:val="12"/>
                <w:color w:val="auto"/>
              </w:rPr>
            </w:pPr>
          </w:p>
        </w:tc>
        <w:tc>
          <w:tcPr>
            <w:tcW w:w="140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vMerge w:val="restart"/>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00" w:type="dxa"/>
            <w:vAlign w:val="bottom"/>
          </w:tcPr>
          <w:p>
            <w:pPr>
              <w:spacing w:after="0"/>
              <w:rPr>
                <w:sz w:val="12"/>
                <w:szCs w:val="12"/>
                <w:color w:val="auto"/>
              </w:rPr>
            </w:pPr>
          </w:p>
        </w:tc>
        <w:tc>
          <w:tcPr>
            <w:tcW w:w="140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End of Quarter</w:t>
            </w:r>
          </w:p>
        </w:tc>
        <w:tc>
          <w:tcPr>
            <w:tcW w:w="158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2015</w:t>
            </w:r>
          </w:p>
        </w:tc>
        <w:tc>
          <w:tcPr>
            <w:tcW w:w="2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no gains or losses resulting from ineffectiveness of cash flow hedges during the three months ended March 31, 2015.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2016, the Company had stock options, restricted stock awards, performance stock units,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options issued under the Plans become exercisable over specified periods, generally within four years from the date of grant for officers, directors, and employees, and generally expire eight years from the grant date for employees, and from eight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to provide holders performance stock, restricted stock, and contract stock in the company that employs such employee following the separation. The adjustments to the Company's stock-based compensation awards resulted in an increase in incremental fair value of $4.4 million, of which $3.3 million has been previously recorded and $0.2 million was recorded in the three months ended March 31, 2016. The remaining $0.9 million will be recognized prospectively over the remaining term of outstanding awards, adjusted, as applicable, for forfeitures.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2016, there were approximately $4.2 million of total unrecognized compensation costs related to unvested stock options, including the additional incremental fair value expense discussed above. These costs are expected to be recognized over a weighted-average period of approximately two years. There were 111,662 stock options granted during the three months ended March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Performance stock, restricted stock and contract stock awards generally have requisite service periods of three years. Performance stock units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March 31, 2016, there were approximately $23.7 million of total unrecognized compensation costs related to these unvested awards, including the additional incremental fair value expense discussed above. The Company expects to recognize these costs over a weighted-average period of approximately two years. The Company granted 124,123 restricted stock awards/stock units and 78,177 performance shares during the three months ended March 31, 2016.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TREASURY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28, 2014, the Board of Directors authorized a repurchase plan of up to $75.0 million of its outstanding common stock through December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2016, there remained $75.0 million available for repurchases under this authorization.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cash treasury stock repurchases during the three-month periods ended March 31, 2016 and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effective tax rate:</w:t>
      </w:r>
    </w:p>
    <w:p>
      <w:pPr>
        <w:spacing w:after="0" w:line="2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24765</wp:posOffset>
            </wp:positionV>
            <wp:extent cx="20751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03" w:lineRule="exact"/>
        <w:rPr>
          <w:sz w:val="20"/>
          <w:szCs w:val="20"/>
          <w:color w:val="auto"/>
        </w:rPr>
      </w:pPr>
    </w:p>
    <w:p>
      <w:pPr>
        <w:ind w:left="6780"/>
        <w:spacing w:after="0"/>
        <w:tabs>
          <w:tab w:leader="none" w:pos="84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24765</wp:posOffset>
            </wp:positionV>
            <wp:extent cx="20751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tax rate</w:t>
            </w:r>
          </w:p>
        </w:tc>
        <w:tc>
          <w:tcPr>
            <w:tcW w:w="40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bl>
    <w:p>
      <w:pPr>
        <w:spacing w:after="0" w:line="1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2016 and 2015 were 22.4% and 34.1%, respectively. Included in the March 31, 2016 income tax rate is a benefit for $0.3 million for the release of uncertain tax positions. The primary driver of the higher tax rate for the three months ended March 31, 2015 compared to the three months ended March 31, 2016 was nondeductible costs related to acquisitions and other corporate initiatives.</w:t>
      </w:r>
    </w:p>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its effective income tax rate for the full year to be approximately 24%, resulting largely from the jurisdictional mix of pre-tax income in U.S.-based operations relative to foreign operations. This estimate could be revised in the future as additional information is presented to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9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r>
      <w:tr>
        <w:trPr>
          <w:trHeight w:val="190"/>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800" w:type="dxa"/>
            <w:vAlign w:val="bottom"/>
          </w:tcPr>
          <w:p>
            <w:pPr>
              <w:spacing w:after="0"/>
              <w:rPr>
                <w:sz w:val="16"/>
                <w:szCs w:val="16"/>
                <w:color w:val="auto"/>
              </w:rPr>
            </w:pPr>
          </w:p>
        </w:tc>
      </w:tr>
      <w:tr>
        <w:trPr>
          <w:trHeight w:val="213"/>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Basic net income per share:</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11,732</w:t>
            </w:r>
          </w:p>
        </w:tc>
      </w:tr>
      <w:tr>
        <w:trPr>
          <w:trHeight w:val="243"/>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8,384</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32,736</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common share from continuing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0.36</w:t>
            </w:r>
          </w:p>
        </w:tc>
      </w:tr>
      <w:tr>
        <w:trPr>
          <w:trHeight w:val="243"/>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Basic net loss per common share from discontinued operations</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66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3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11,732</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r>
      <w:tr>
        <w:trPr>
          <w:trHeight w:val="237"/>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8,384</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32,736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2016 Convertible notes</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w:t>
            </w:r>
          </w:p>
        </w:tc>
      </w:tr>
      <w:tr>
        <w:trPr>
          <w:trHeight w:val="237"/>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33,342</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Diluted net income per common share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loss per common share from discontinued operations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37"/>
        </w:trPr>
        <w:tc>
          <w:tcPr>
            <w:tcW w:w="66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0.25</w:t>
            </w:r>
          </w:p>
        </w:tc>
      </w:tr>
    </w:tbl>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to provide holders performance stock, restricted stock, and contract stock in the company that employs such employee following the separation. The adjustments to the Company's stock-based compensation awards resulted in an increase in incremental fair value of $4.4 million, of which $3.3 million has previously been recorded and $0.2 million was recorded in the three months ended March 31, 2016. The remaining $0.9 million will be recognized prospectively over the remaining term of outstanding awards, adjusted, as applicable, for forfeitures.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of approximately 0.3 million and a minimal amount of shares at March 31, 2016 and 2015, respectively, that are issuable through exercise or conversion of dilutive securities were not included in the computation of diluted net income per share because their effect, would have been antidilutive. The Company also has warrants outstanding related to its 2016 Notes at March 31, 2016 and 2015 and the Company's 2016 Notes are convertible to common shares in certain circumstances (see Note 6). These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warrants and the excess conversion value of the 2016 Notes are included in the diluted earnings per share calculation using the treasury stock method, unless the effect of including such items would be anti-dilutive.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2016 and 2015, the potential excess conversion value on the 2016 Notes was included in the Company's dilutive share calculation because the average stock price for the three months ended March 31, 2016 and 2015 exceeded the conversion price.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Performance Shares and Restricted Units that entitle the holders to approximately 0.1 million shares of common stock are included in the basic and diluted weighted average shares outstanding calculation for their date of issuance because no further consideration is due related to the issuance of the underlying common shares.</w:t>
      </w:r>
    </w:p>
    <w:p>
      <w:pPr>
        <w:spacing w:after="0" w:line="172" w:lineRule="exact"/>
        <w:rPr>
          <w:sz w:val="20"/>
          <w:szCs w:val="20"/>
          <w:color w:val="auto"/>
        </w:rPr>
      </w:pPr>
    </w:p>
    <w:p>
      <w:pPr>
        <w:jc w:val="both"/>
        <w:ind w:right="8100" w:firstLine="8"/>
        <w:spacing w:after="0" w:line="380"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COMPREHENSIVE INCOME (LOSS) </w:t>
      </w:r>
      <w:r>
        <w:rPr>
          <w:rFonts w:ascii="Times New Roman" w:cs="Times New Roman" w:eastAsia="Times New Roman" w:hAnsi="Times New Roman"/>
          <w:sz w:val="18"/>
          <w:szCs w:val="18"/>
          <w:color w:val="auto"/>
        </w:rPr>
        <w:t>Comprehensive income (loss) was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89"/>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r>
      <w:tr>
        <w:trPr>
          <w:trHeight w:val="242"/>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8,384</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(24,393)</w:t>
            </w:r>
          </w:p>
        </w:tc>
      </w:tr>
      <w:tr>
        <w:trPr>
          <w:trHeight w:val="243"/>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unrealized gain on derivatives, net of tax</w:t>
            </w:r>
          </w:p>
        </w:tc>
        <w:tc>
          <w:tcPr>
            <w:tcW w:w="2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liability adjustment,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w:t>
            </w:r>
          </w:p>
        </w:tc>
      </w:tr>
      <w:tr>
        <w:trPr>
          <w:trHeight w:val="237"/>
        </w:trPr>
        <w:tc>
          <w:tcPr>
            <w:tcW w:w="6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(15,744)</w:t>
            </w:r>
          </w:p>
        </w:tc>
      </w:tr>
      <w:tr>
        <w:trPr>
          <w:trHeight w:val="27"/>
        </w:trPr>
        <w:tc>
          <w:tcPr>
            <w:tcW w:w="6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between December 31, 2015 and March 31, 2016 are presented in the table below, net of tax:</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2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3"/>
                <w:szCs w:val="13"/>
                <w:color w:val="auto"/>
              </w:rPr>
            </w:pPr>
          </w:p>
        </w:tc>
        <w:tc>
          <w:tcPr>
            <w:tcW w:w="92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3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(47,911)</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(47,902)</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11,244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(36,667)</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AND GEOGRAPHIC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216" w:lineRule="exact"/>
        <w:rPr>
          <w:sz w:val="20"/>
          <w:szCs w:val="20"/>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Surgical Solutions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60,000 instrument patterns and surgical and lighting products to hospitals, surgery centers, and dental, podiatry, and veterinary offices.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88" w:lineRule="exact"/>
        <w:rPr>
          <w:sz w:val="20"/>
          <w:szCs w:val="20"/>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Orthopedics and Tissue Technologies segment includes such offerings as skin and wound repair, bone and joint fixation implants in the upper and lower extremities, bone grafts and nerve and tendon repair.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Corporate and other category includes (i) various legal, finance, information systems, executive, and human resource functions, (ii) brand management, and (iii) share-based compensation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months ended March 31, 2016 and 2015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6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21"/>
                <w:szCs w:val="21"/>
                <w:color w:val="auto"/>
              </w:rPr>
            </w:pPr>
          </w:p>
        </w:tc>
      </w:tr>
      <w:tr>
        <w:trPr>
          <w:trHeight w:val="255"/>
        </w:trPr>
        <w:tc>
          <w:tcPr>
            <w:tcW w:w="63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tc>
        <w:tc>
          <w:tcPr>
            <w:tcW w:w="20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360" w:type="dxa"/>
            <w:vAlign w:val="bottom"/>
            <w:tcBorders>
              <w:bottom w:val="single" w:sz="8" w:color="BFE4FF"/>
            </w:tcBorders>
            <w:shd w:val="clear" w:color="auto" w:fill="BFE4FF"/>
          </w:tcPr>
          <w:p>
            <w:pPr>
              <w:spacing w:after="0"/>
              <w:rPr>
                <w:sz w:val="22"/>
                <w:szCs w:val="22"/>
                <w:color w:val="auto"/>
              </w:rPr>
            </w:pPr>
          </w:p>
        </w:tc>
        <w:tc>
          <w:tcPr>
            <w:tcW w:w="840" w:type="dxa"/>
            <w:vAlign w:val="bottom"/>
            <w:tcBorders>
              <w:bottom w:val="single" w:sz="8" w:color="BFE4FF"/>
            </w:tcBorders>
            <w:shd w:val="clear" w:color="auto" w:fill="BFE4FF"/>
          </w:tcPr>
          <w:p>
            <w:pPr>
              <w:spacing w:after="0"/>
              <w:rPr>
                <w:sz w:val="22"/>
                <w:szCs w:val="22"/>
                <w:color w:val="auto"/>
              </w:rPr>
            </w:pPr>
          </w:p>
        </w:tc>
      </w:tr>
      <w:tr>
        <w:trPr>
          <w:trHeight w:val="243"/>
        </w:trPr>
        <w:tc>
          <w:tcPr>
            <w:tcW w:w="6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 Surgical Solutions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151,175</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140,058</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36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Orthopedics and Tissue Technologies</w:t>
            </w:r>
          </w:p>
        </w:tc>
        <w:tc>
          <w:tcPr>
            <w:tcW w:w="20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85,595</w:t>
            </w:r>
          </w:p>
        </w:tc>
        <w:tc>
          <w:tcPr>
            <w:tcW w:w="160" w:type="dxa"/>
            <w:vAlign w:val="bottom"/>
            <w:tcBorders>
              <w:bottom w:val="single" w:sz="8" w:color="BFE4FF"/>
            </w:tcBorders>
            <w:shd w:val="clear" w:color="auto" w:fill="BFE4FF"/>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62,476</w:t>
            </w:r>
          </w:p>
        </w:tc>
      </w:tr>
      <w:tr>
        <w:trPr>
          <w:trHeight w:val="237"/>
        </w:trPr>
        <w:tc>
          <w:tcPr>
            <w:tcW w:w="6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236,770</w:t>
            </w:r>
          </w:p>
        </w:tc>
        <w:tc>
          <w:tcPr>
            <w:tcW w:w="16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202,534</w:t>
            </w:r>
          </w:p>
        </w:tc>
      </w:tr>
      <w:tr>
        <w:trPr>
          <w:trHeight w:val="67"/>
        </w:trPr>
        <w:tc>
          <w:tcPr>
            <w:tcW w:w="6360" w:type="dxa"/>
            <w:vAlign w:val="bottom"/>
            <w:tcBorders>
              <w:bottom w:val="single" w:sz="8" w:color="BFE4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60" w:type="dxa"/>
            <w:vAlign w:val="bottom"/>
            <w:tcBorders>
              <w:bottom w:val="single" w:sz="8" w:color="BFE4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231"/>
        </w:trPr>
        <w:tc>
          <w:tcPr>
            <w:tcW w:w="6360" w:type="dxa"/>
            <w:vAlign w:val="bottom"/>
            <w:tcBorders>
              <w:bottom w:val="single" w:sz="8" w:color="BFE4FF"/>
            </w:tcBorders>
            <w:shd w:val="clear" w:color="auto" w:fill="BFE4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Segment Profit</w:t>
            </w:r>
          </w:p>
        </w:tc>
        <w:tc>
          <w:tcPr>
            <w:tcW w:w="2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spacing w:after="0"/>
              <w:rPr>
                <w:sz w:val="20"/>
                <w:szCs w:val="20"/>
                <w:color w:val="auto"/>
              </w:rPr>
            </w:pPr>
          </w:p>
        </w:tc>
        <w:tc>
          <w:tcPr>
            <w:tcW w:w="160" w:type="dxa"/>
            <w:vAlign w:val="bottom"/>
            <w:tcBorders>
              <w:bottom w:val="single" w:sz="8" w:color="BFE4FF"/>
            </w:tcBorders>
            <w:shd w:val="clear" w:color="auto" w:fill="BFE4FF"/>
          </w:tcPr>
          <w:p>
            <w:pPr>
              <w:spacing w:after="0"/>
              <w:rPr>
                <w:sz w:val="20"/>
                <w:szCs w:val="20"/>
                <w:color w:val="auto"/>
              </w:rPr>
            </w:pPr>
          </w:p>
        </w:tc>
        <w:tc>
          <w:tcPr>
            <w:tcW w:w="360" w:type="dxa"/>
            <w:vAlign w:val="bottom"/>
            <w:tcBorders>
              <w:bottom w:val="single" w:sz="8" w:color="BFE4FF"/>
            </w:tcBorders>
            <w:shd w:val="clear" w:color="auto" w:fill="BFE4FF"/>
          </w:tcPr>
          <w:p>
            <w:pPr>
              <w:spacing w:after="0"/>
              <w:rPr>
                <w:sz w:val="20"/>
                <w:szCs w:val="20"/>
                <w:color w:val="auto"/>
              </w:rPr>
            </w:pPr>
          </w:p>
        </w:tc>
        <w:tc>
          <w:tcPr>
            <w:tcW w:w="840" w:type="dxa"/>
            <w:vAlign w:val="bottom"/>
            <w:tcBorders>
              <w:bottom w:val="single" w:sz="8" w:color="BFE4FF"/>
            </w:tcBorders>
            <w:shd w:val="clear" w:color="auto" w:fill="BFE4FF"/>
          </w:tcPr>
          <w:p>
            <w:pPr>
              <w:spacing w:after="0"/>
              <w:rPr>
                <w:sz w:val="20"/>
                <w:szCs w:val="20"/>
                <w:color w:val="auto"/>
              </w:rPr>
            </w:pPr>
          </w:p>
        </w:tc>
      </w:tr>
      <w:tr>
        <w:trPr>
          <w:trHeight w:val="243"/>
        </w:trPr>
        <w:tc>
          <w:tcPr>
            <w:tcW w:w="6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 Surgical Solutions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57,581</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60,332</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36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Orthopedics and Tissue Technologies</w:t>
            </w:r>
          </w:p>
        </w:tc>
        <w:tc>
          <w:tcPr>
            <w:tcW w:w="20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20,275</w:t>
            </w:r>
          </w:p>
        </w:tc>
        <w:tc>
          <w:tcPr>
            <w:tcW w:w="160" w:type="dxa"/>
            <w:vAlign w:val="bottom"/>
          </w:tcPr>
          <w:p>
            <w:pPr>
              <w:spacing w:after="0"/>
              <w:rPr>
                <w:sz w:val="23"/>
                <w:szCs w:val="23"/>
                <w:color w:val="auto"/>
              </w:rPr>
            </w:pPr>
          </w:p>
        </w:tc>
        <w:tc>
          <w:tcPr>
            <w:tcW w:w="360" w:type="dxa"/>
            <w:vAlign w:val="bottom"/>
            <w:tcBorders>
              <w:bottom w:val="single" w:sz="8" w:color="BFE4FF"/>
            </w:tcBorders>
            <w:shd w:val="clear" w:color="auto" w:fill="BFE4FF"/>
          </w:tcPr>
          <w:p>
            <w:pPr>
              <w:spacing w:after="0"/>
              <w:rPr>
                <w:sz w:val="23"/>
                <w:szCs w:val="23"/>
                <w:color w:val="auto"/>
              </w:rPr>
            </w:pPr>
          </w:p>
        </w:tc>
        <w:tc>
          <w:tcPr>
            <w:tcW w:w="8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19,920</w:t>
            </w:r>
          </w:p>
        </w:tc>
      </w:tr>
      <w:tr>
        <w:trPr>
          <w:trHeight w:val="237"/>
        </w:trPr>
        <w:tc>
          <w:tcPr>
            <w:tcW w:w="6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Segment profit</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77,856</w:t>
            </w: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80,252</w:t>
            </w:r>
          </w:p>
        </w:tc>
      </w:tr>
      <w:tr>
        <w:trPr>
          <w:trHeight w:val="27"/>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(3,471)</w:t>
            </w:r>
          </w:p>
        </w:tc>
        <w:tc>
          <w:tcPr>
            <w:tcW w:w="160" w:type="dxa"/>
            <w:vAlign w:val="bottom"/>
            <w:tcBorders>
              <w:bottom w:val="single" w:sz="8" w:color="BFE4FF"/>
            </w:tcBorders>
            <w:shd w:val="clear" w:color="auto" w:fill="BFE4FF"/>
          </w:tcPr>
          <w:p>
            <w:pPr>
              <w:spacing w:after="0"/>
              <w:rPr>
                <w:sz w:val="21"/>
                <w:szCs w:val="21"/>
                <w:color w:val="auto"/>
              </w:rPr>
            </w:pPr>
          </w:p>
        </w:tc>
        <w:tc>
          <w:tcPr>
            <w:tcW w:w="360" w:type="dxa"/>
            <w:vAlign w:val="bottom"/>
            <w:tcBorders>
              <w:bottom w:val="single" w:sz="8" w:color="BFE4FF"/>
            </w:tcBorders>
            <w:shd w:val="clear" w:color="auto" w:fill="BFE4FF"/>
          </w:tcPr>
          <w:p>
            <w:pPr>
              <w:spacing w:after="0"/>
              <w:rPr>
                <w:sz w:val="21"/>
                <w:szCs w:val="21"/>
                <w:color w:val="auto"/>
              </w:rPr>
            </w:pPr>
          </w:p>
        </w:tc>
        <w:tc>
          <w:tcPr>
            <w:tcW w:w="8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(1,729)</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(52,266)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(57,283)</w:t>
            </w:r>
          </w:p>
        </w:tc>
      </w:tr>
      <w:tr>
        <w:trPr>
          <w:trHeight w:val="27"/>
        </w:trPr>
        <w:tc>
          <w:tcPr>
            <w:tcW w:w="636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BFE4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BFE4FF"/>
            </w:tcBorders>
            <w:shd w:val="clear" w:color="auto" w:fill="BFE4FF"/>
          </w:tcPr>
          <w:p>
            <w:pPr>
              <w:jc w:val="right"/>
              <w:ind w:right="14"/>
              <w:spacing w:after="0"/>
              <w:rPr>
                <w:sz w:val="20"/>
                <w:szCs w:val="20"/>
                <w:color w:val="auto"/>
              </w:rPr>
            </w:pPr>
            <w:r>
              <w:rPr>
                <w:rFonts w:ascii="Times New Roman" w:cs="Times New Roman" w:eastAsia="Times New Roman" w:hAnsi="Times New Roman"/>
                <w:sz w:val="18"/>
                <w:szCs w:val="18"/>
                <w:color w:val="auto"/>
              </w:rPr>
              <w:t>22,119</w:t>
            </w:r>
          </w:p>
        </w:tc>
        <w:tc>
          <w:tcPr>
            <w:tcW w:w="520" w:type="dxa"/>
            <w:vAlign w:val="bottom"/>
            <w:tcBorders>
              <w:bottom w:val="single" w:sz="8" w:color="BFE4FF"/>
            </w:tcBorders>
            <w:gridSpan w:val="2"/>
            <w:shd w:val="clear" w:color="auto" w:fill="BFE4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21,240</w:t>
            </w:r>
          </w:p>
        </w:tc>
      </w:tr>
      <w:tr>
        <w:trPr>
          <w:trHeight w:val="20"/>
        </w:trPr>
        <w:tc>
          <w:tcPr>
            <w:tcW w:w="636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attributes revenues to geographic areas based on the location of the customer. Total revenue by major geographic area consisted of the following:</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88"/>
        </w:trPr>
        <w:tc>
          <w:tcPr>
            <w:tcW w:w="6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152,612</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25,283</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24,639</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202,534</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w:t>
      </w:r>
    </w:p>
    <w:p>
      <w:pPr>
        <w:sectPr>
          <w:pgSz w:w="11900" w:h="16838" w:orient="portrait"/>
          <w:cols w:equalWidth="0" w:num="1">
            <w:col w:w="11420"/>
          </w:cols>
          <w:pgMar w:left="240" w:top="117"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3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increased the fair value of contingent consideration during the three-month period ended March 31, 2016 to reflect the change in the time value of money during the period. A reconciliation of the opening balances to the closing balances of these Level 3 measurements is as follows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in Statement of Operations</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21,831</w:t>
            </w: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increase in fair value of contingent consideration liabilities</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at March 31, 2016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21,962</w:t>
            </w:r>
          </w:p>
        </w:tc>
        <w:tc>
          <w:tcPr>
            <w:tcW w:w="3640" w:type="dxa"/>
            <w:vAlign w:val="bottom"/>
            <w:tcBorders>
              <w:bottom w:val="single" w:sz="8" w:color="CCEEFF"/>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entire contingent consideration balance was included in Other liabilities at March 31, 2016 and December 31, 2015.</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2015 included in our Annual Report on Form 10-K.</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2015 and under the heading "Risk Factors" in this report. We undertake no obligation to publicly update or revise any forward-looking statements, whether as a result of new information, future events or otherwise.</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Integra is a world leader in medical technology focused on limiting uncertainty for surgeons so that they can concentrate on providing the best patient care. Integra provides customers with clinically relevant, innovative and cost-effective products that improve the quality of life for patients. We focus on cranial procedures, small bone and joint reconstruction, the repair and reconstruction of soft tissue, and instruments for surgery.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manufacture many of our products in plants located in the United States, Puerto Rico, France, Germany, Ireland, and Mexico. We also source most of our handheld surgical instruments and specialty metal and pyrocarbon implants through specialized third-party vendors.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we have several sales channels. Specialty Surgical Solutions products are sold through a combination of directly employed sales representatives, distributors and wholesalers, depending on the customer call point. Orthopedics and Tissue Technologies products are sold through directly employed sales representatives and specialty distributors focused on their respective surgical specialties. We sell in the international markets through a combination of direct sales organizations and distributors.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so they can concentrate on providing the best care for their patients and by becoming a company recognized as a leader by our customers in specialty surgical applications, regenerative technologies and extremities orthopedics worldwide. Our strategy is built around three pillars - execute, optimize, and accelerate growth. These three pillars support our strategic initiatives to deliver on our commitments through improved planning and communication, optimize our infrastructure, and grow by introducing new products to the market through internal development, geographic expansion, and strategic acquisitions.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through acquisitions), (2) gross margins on total revenues,</w:t>
      </w:r>
    </w:p>
    <w:p>
      <w:pPr>
        <w:sectPr>
          <w:pgSz w:w="11900" w:h="16838" w:orient="portrait"/>
          <w:cols w:equalWidth="0" w:num="1">
            <w:col w:w="11420"/>
          </w:cols>
          <w:pgMar w:left="240" w:top="117"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ind w:firstLine="8"/>
        <w:spacing w:after="0" w:line="282" w:lineRule="auto"/>
        <w:tabs>
          <w:tab w:leader="none" w:pos="2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(which we aim to continually expand as we leverage our existing infrastructure), (4) earnings before interest, taxes, depreciation, and amortization, and (5) earnings per diluted share of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particularly effective in the following aspects of our business:</w:t>
      </w:r>
    </w:p>
    <w:p>
      <w:pPr>
        <w:spacing w:after="0" w:line="250" w:lineRule="exact"/>
        <w:rPr>
          <w:sz w:val="20"/>
          <w:szCs w:val="20"/>
          <w:color w:val="auto"/>
        </w:rPr>
      </w:pPr>
    </w:p>
    <w:p>
      <w:pPr>
        <w:ind w:left="620" w:hanging="315"/>
        <w:spacing w:after="0" w:line="284"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Regenerative Technology Platform</w:t>
      </w:r>
      <w:r>
        <w:rPr>
          <w:rFonts w:ascii="Times New Roman" w:cs="Times New Roman" w:eastAsia="Times New Roman" w:hAnsi="Times New Roman"/>
          <w:sz w:val="18"/>
          <w:szCs w:val="18"/>
          <w:color w:val="auto"/>
        </w:rPr>
        <w:t>. We have developed numerous product lines through our proprietary collagen and polyethylene glycol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that are sold through all of our sales channels.</w:t>
      </w:r>
    </w:p>
    <w:p>
      <w:pPr>
        <w:spacing w:after="0" w:line="104" w:lineRule="exact"/>
        <w:rPr>
          <w:rFonts w:ascii="Times New Roman" w:cs="Times New Roman" w:eastAsia="Times New Roman" w:hAnsi="Times New Roman"/>
          <w:sz w:val="18"/>
          <w:szCs w:val="18"/>
          <w:color w:val="auto"/>
        </w:rPr>
      </w:pPr>
    </w:p>
    <w:p>
      <w:pPr>
        <w:jc w:val="both"/>
        <w:ind w:left="620" w:hanging="315"/>
        <w:spacing w:after="0" w:line="257"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Diversification and Platform Synergies</w:t>
      </w:r>
      <w:r>
        <w:rPr>
          <w:rFonts w:ascii="Times New Roman" w:cs="Times New Roman" w:eastAsia="Times New Roman" w:hAnsi="Times New Roman"/>
          <w:sz w:val="18"/>
          <w:szCs w:val="18"/>
          <w:color w:val="auto"/>
        </w:rPr>
        <w:t>. The selling platforms of Specialty Surgical Solutions, and Orthopedics and Tissue Technologies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 a different strength to our core business. Specialty Surgical Solutions provides us with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joint replacement and advanced wound care, as well as to increase gross margins. We have unique synergies between these platforms, such as our regenerative technology, instrument sourcing capabilities, and enterprise contract management.</w:t>
      </w:r>
    </w:p>
    <w:p>
      <w:pPr>
        <w:spacing w:after="0" w:line="128" w:lineRule="exact"/>
        <w:rPr>
          <w:rFonts w:ascii="Times New Roman" w:cs="Times New Roman" w:eastAsia="Times New Roman" w:hAnsi="Times New Roman"/>
          <w:sz w:val="18"/>
          <w:szCs w:val="18"/>
          <w:color w:val="auto"/>
        </w:rPr>
      </w:pPr>
    </w:p>
    <w:p>
      <w:pPr>
        <w:jc w:val="both"/>
        <w:ind w:left="620" w:hanging="315"/>
        <w:spacing w:after="0" w:line="256"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Specialized Sales Footprint</w:t>
      </w:r>
      <w:r>
        <w:rPr>
          <w:rFonts w:ascii="Times New Roman" w:cs="Times New Roman" w:eastAsia="Times New Roman" w:hAnsi="Times New Roman"/>
          <w:sz w:val="18"/>
          <w:szCs w:val="18"/>
          <w:color w:val="auto"/>
        </w:rPr>
        <w:t>. Our medical technology investment and manufacturing strategy provides us with a specialized set of customer call-points and synergies. We have market-leading products across our portfolio that provide both scale and depth in solutions for a broad set of clinical needs across many departments in the healthcare system. We also have clinical expertise across all of our channels in the United States, and an opportunity to expand and leverage this expertise in markets worldwide. Many of our customers are facing pressure placed upon them by healthcare reform worldwide. In response to our customers’ needs for clinical and technical solutions across multiple departments and clinical areas, we have developed and deployed our Enterprise Selling initiative to bring unique clinical solutions to even the most difficult healthcare issues in our key accounts across multiple sites and multi-hospital integrated delivery networks.</w:t>
      </w:r>
    </w:p>
    <w:p>
      <w:pPr>
        <w:spacing w:after="0" w:line="129" w:lineRule="exact"/>
        <w:rPr>
          <w:rFonts w:ascii="Times New Roman" w:cs="Times New Roman" w:eastAsia="Times New Roman" w:hAnsi="Times New Roman"/>
          <w:sz w:val="18"/>
          <w:szCs w:val="18"/>
          <w:color w:val="auto"/>
        </w:rPr>
      </w:pPr>
    </w:p>
    <w:p>
      <w:pPr>
        <w:jc w:val="both"/>
        <w:ind w:left="620" w:hanging="315"/>
        <w:spacing w:after="0" w:line="267"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Change and Adapt</w:t>
      </w:r>
      <w:r>
        <w:rPr>
          <w:rFonts w:ascii="Times New Roman" w:cs="Times New Roman" w:eastAsia="Times New Roman" w:hAnsi="Times New Roman"/>
          <w:sz w:val="18"/>
          <w:szCs w:val="18"/>
          <w:color w:val="auto"/>
        </w:rPr>
        <w:t>. Our corporate culture is what enables us to adapt and evolve. We have demonstrated that we can quickly and profitably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 new products and businesses. This core strength has made it possible for us to grow over the years, and is key to our ability to grow into a multi-billion dollar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Tekmed</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2015, the Company acquired the assets of Tekmed Instruments S.p.A ("Tekmed") for an aggregate purchase price of $14.2 million. Tekmed was a distributor of the Company's products in Italy and has a specialty focus on neurosurgery and neurotrauma, along with representation in plastic and reconstructive surgery, cardiovascular surgery, image diagnostics, general surgery, anesthesia and intensive care, interventional radiology, and proton therapy. This acquisition enables the Company to support Specialty Surgical Solutions growth in Italy along with other key Integra franchises.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Tornier's United States Toe &amp; Ankle Business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October 2, 2015, the Company acquired the United States rights to Tornier's Salto Talaris® and Salto Talaris® XT ankle replacement products and Tornier's Futura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silastic toe replacement products (the "Salto and Futura") for $6.0 million in cash. The estimated fair value of the net assets acquired exceeded the purchase price for the Salto and Futura product lines and resulted in the Company recording a gain of $1.1 million for the year-ended December 31, 2015 in Other Income. The acquired toe and ankle products enhances the Company's lower extremities product offering and accelerates its entry into the U.S. total ankle replacement market.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TEI Biosciences, Inc. and TEI Medical, Inc.</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2015, we executed the two merger agreements (collectively, the "Agreements") under which we acquired TEI Biosciences, Inc., a Delaware corporation ("TEI Bio"), and TEI Medical Inc., a Delaware corporation ("TEI Med"). Under the terms of the Agreements, we paid $312.4 million ($210.4 million for TEI Bio and $102.0 million for TEI Med) subject in each case to purchase price adjustments for certain working capital changes. The purchase price consists of a cash payment to the former shareholders of TEI Bio and TEI Med of approximately $312.4 million upon the closing of the transaction, net of $1.2 million of acquired cash.</w:t>
      </w:r>
    </w:p>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Product Development Activities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July 2014, we completed our multi-center clinical trial evaluating the safety and effectiveness of the INTEGRA® Dermal Regeneration Template for the Treatment of Diabetic Foot Ulcers (“DFU”). The data collected formed the foundation for the Premarket Approval ("PMA") Supplement application that we filed with the FDA. The FDA approved the PMA on January 7,</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2016, and the Company anticipates commercializing the resulting DFU product, Omnigraft TM, in June 2016. We are also investing in next generation nerve products, additional clinical studies for indications to support existing products including breast reconstruction, and longer term research programs to evaluate combination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of the Spine Business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2014, we announced a plan to spin off our spine business into a stand-alone public company ("SeaSpine"). On July 1, 2015, we completed the distribution of 100% of the outstanding common shares of SeaSpine to Integra's stockholders, who received one share of SeaSpine common stock for every three shares of Integra held as of the close of business on the record date, June 19, 2015. We incurred separation expenses of approximately $4.8 million in the three months ended March 31, 2015. Separation costs includes all incremental expenses incurred by Integra in order to effect the separation and the cost of all new employees recruited to operate the two separate companies. The separation costs through March 31, 2015 are reported within the discontinued operations.</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indicated otherwise, the information in the management discussion and analysis of financial condition and results of operations relates to the Company’s continuing operations. Further information regarding the SeaSpine separation and discontinued operations reporting may be found in Note 2 - Discontinued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March 31, 2016, was $11.6 million, or $0.31 per diluted share as compared to $11.7 million or $0.35 per diluted share for the three months ended March 31, 2015.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three months ended March 31, 2016 remained consistent with the same period last year primarily as a result of increased revenues, which were offset by investments in our growing sales channel and research and development. The operations reflect full inclusion of the Tekmed, Tornier's U.S. Foot and Ankle, and TEI activities as well as strong growth in our dural repair and regenerative technology franchises.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includes the following special charges: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88"/>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ERP implementation charges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3,813</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employee severance charges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43"/>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charges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7"/>
        </w:trPr>
        <w:tc>
          <w:tcPr>
            <w:tcW w:w="6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debt non-cash interest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r>
      <w:tr>
        <w:trPr>
          <w:trHeight w:val="237"/>
        </w:trPr>
        <w:tc>
          <w:tcPr>
            <w:tcW w:w="6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13,788</w:t>
            </w:r>
          </w:p>
        </w:tc>
        <w:tc>
          <w:tcPr>
            <w:tcW w:w="1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11,531</w:t>
            </w:r>
          </w:p>
        </w:tc>
      </w:tr>
      <w:tr>
        <w:trPr>
          <w:trHeight w:val="27"/>
        </w:trPr>
        <w:tc>
          <w:tcPr>
            <w:tcW w:w="6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condensed consolidated statements of operations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r>
      <w:tr>
        <w:trPr>
          <w:trHeight w:val="255"/>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4,848</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3,737</w:t>
            </w:r>
          </w:p>
        </w:tc>
      </w:tr>
      <w:tr>
        <w:trPr>
          <w:trHeight w:val="243"/>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6,876</w:t>
            </w: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6,371</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2,064</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1,801</w:t>
            </w:r>
          </w:p>
        </w:tc>
      </w:tr>
      <w:tr>
        <w:trPr>
          <w:trHeight w:val="243"/>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13,788</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11,531</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continuing review of various product lines in relation to our current business strategy, certain of the special charges discussed above could recur with similar materiality in the future. We are engaged in a multi-year implementation of a new global enterprise resource planning ("ERP") system to improve our operational efficiency and have made progress in implementing the ERP across multiple sites. We expect the additional capital and integration expense associated with our ERP system to decrease as we continue to progress in our ERP implementation over the next year.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Remediation Activities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outstanding FDA warning letter related to TEI, acquired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was not cleared or approved. TEI responded with a corrective action plan to the FDA and took action to address the issues prior to the completion of the acquisition. We will continue to monitor this activity and address all corrective actions submitted to the FDA. The FDA may not accept our corrective action plan or it may choose to scrutinize other promotional claims on products and require additional corrective actions. We do not expect to incur material operating expenses to complete the corrective action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remediation expenses incurred in the three months ended March 31, 2016.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gross margin on product revenues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2"/>
        </w:trPr>
        <w:tc>
          <w:tcPr>
            <w:tcW w:w="63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52"/>
        </w:trPr>
        <w:tc>
          <w:tcPr>
            <w:tcW w:w="6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tc>
        <w:tc>
          <w:tcPr>
            <w:tcW w:w="440" w:type="dxa"/>
            <w:vAlign w:val="bottom"/>
          </w:tcPr>
          <w:p>
            <w:pPr>
              <w:spacing w:after="0"/>
              <w:rPr>
                <w:sz w:val="21"/>
                <w:szCs w:val="21"/>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Surgical Solutions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151,175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140,058</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Orthopedics &amp; Tissue Technologies</w:t>
            </w:r>
          </w:p>
        </w:tc>
        <w:tc>
          <w:tcPr>
            <w:tcW w:w="440" w:type="dxa"/>
            <w:vAlign w:val="bottom"/>
          </w:tcPr>
          <w:p>
            <w:pPr>
              <w:spacing w:after="0"/>
              <w:rPr>
                <w:sz w:val="21"/>
                <w:szCs w:val="21"/>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85,595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62,476</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236,770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202,534</w:t>
            </w:r>
          </w:p>
        </w:tc>
        <w:tc>
          <w:tcPr>
            <w:tcW w:w="0" w:type="dxa"/>
            <w:vAlign w:val="bottom"/>
          </w:tcPr>
          <w:p>
            <w:pPr>
              <w:spacing w:after="0"/>
              <w:rPr>
                <w:sz w:val="1"/>
                <w:szCs w:val="1"/>
                <w:color w:val="auto"/>
              </w:rPr>
            </w:pPr>
          </w:p>
        </w:tc>
      </w:tr>
      <w:tr>
        <w:trPr>
          <w:trHeight w:val="243"/>
        </w:trPr>
        <w:tc>
          <w:tcPr>
            <w:tcW w:w="6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440" w:type="dxa"/>
            <w:vAlign w:val="bottom"/>
          </w:tcPr>
          <w:p>
            <w:pPr>
              <w:spacing w:after="0"/>
              <w:rPr>
                <w:sz w:val="21"/>
                <w:szCs w:val="21"/>
                <w:color w:val="auto"/>
              </w:rPr>
            </w:pPr>
          </w:p>
        </w:tc>
        <w:tc>
          <w:tcPr>
            <w:tcW w:w="13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84,773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75,221</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 on total revenues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151,997</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127,313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Gross margin as a percentage of total revenues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38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2016 as Compared to Three Months Ended March 31,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2016 total revenues increased by $34.2 million to $236.8 million from $202.5 million for the same period in 2015.</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Specialty Surgical Solutions revenues were $151.2 million, an increase of 8% from the prior-year period. The increase resulted from the impact of our dural repair products which increased in the low double digits for the quarter and in our Precision Tools and Instruments business, mainly in the U.S and Europe. These increased sales were partially offset by a decline in neuro critical care products.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Orthopedics and Tissue Technologies revenues were $85.6 million, an increase of 37% from the prior-year period. The increase resulted from the impact of TEI, Salto and Futura product sales arising out of the acquisitions, which added $17.4 million in the quarter. Non-acquired product growth was led by strong demand in our regenerative products, including private label, as a result of both additional headcount in our sales force and new products. Sales growth in our extremity franchise also benefited from increasing demand for new products in the shoulder indication.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increased to $152.0 million for the three-month period ended March 31, 2016, up from $127.3 million for the same period last year. Gross margin as a percentage of total revenue increased to 64.2% for the first quarter of 2016, up from 62.9% for the same period last year. The increase in gross margin percentage resulted primarily from an increase in sales of higher margin products such as Dural Repair, skin and wound products, and improvements in the utilization of our manufacturing facilities, although partially offset by our new collagen manufacturing center start-up costs.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consolidated gross margin percentage for the full year 2016 to be approximately 64.0%. We expect the increase in gross margin to occur because of the full-year contribution from TEI and continued favorable product mix, which will more than offset the costs associated with operating our new collagen manufacturing center.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165"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gridSpan w:val="2"/>
          </w:tcPr>
          <w:p>
            <w:pPr>
              <w:ind w:left="87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3"/>
        </w:trPr>
        <w:tc>
          <w:tcPr>
            <w:tcW w:w="9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37"/>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expenses, selling, general and administrative expenses, and amortization expense, increased $23.8 million, or 22%, to $129.9 million in the three months ended March 31, 2016, compared to $106.1 million in the same period last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 the first quarter of 2016 increased compared to the same period last year. This increase primarily resulted from additional spending on new product development and clinical studies. We expect full-year 2016 spending on research and development to be between 5.5% and 6.0% of total revenues.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 the first quarter of 2016 increased by $18.7 million to $112.0 million compared to $93.3 million in the same period last year. Selling and marketing expenses increased by $18.8 million, resulting from higher headcount in our sales force compared to last year owing mostly to the TEI acquisition, and commission costs, which were higher as a result of increases in revenue. General and administrative costs remained flat, resulting from increases in ongoing projects, employee compensation, and benefit plans offset by the elimination of the Medical Device Excise Tax expense of $2.2 million in the first quarter of 2015. We expect full year selling, general and administrative expenses to be between 45% and 46% of revenue in 2016, as we make additional investments in our commercial channels as a result of the benefit of the Medical Device Excise Tax suspension.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as a percentage of revenues in the first quarter of 2016 increased compared to the same period last year. This was primarily related to the increase in intangibles from the TEI acquisition in July 2015.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(6,373)</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(738)</w:t>
            </w: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7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Interest Expense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three months ended March 31, 2016 increased by $0.9 million primarily due to increased borrowings on our Senior Credit Facility compared to the prior year. Our reported interest expense for the three-month periods ended March 31, 2016 and 2015 includes non-cash interest related to the accounting for convertible securities of $2.1 million and $1.9 million,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negligible for the three months ended March 31, 2016 and 2015.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for the three months ended March 31, 2016 and 2015 includes approximately ($0.8 million) and $1.9 million, respectively, of currency exchange.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3260" w:type="dxa"/>
            <w:vAlign w:val="bottom"/>
            <w:tcBorders>
              <w:bottom w:val="single" w:sz="8" w:color="auto"/>
            </w:tcBorders>
            <w:gridSpan w:val="3"/>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8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r>
      <w:tr>
        <w:trPr>
          <w:trHeight w:val="196"/>
        </w:trPr>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gridSpan w:val="2"/>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r>
      <w:tr>
        <w:trPr>
          <w:trHeight w:val="255"/>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15,014</w:t>
            </w:r>
          </w:p>
        </w:tc>
        <w:tc>
          <w:tcPr>
            <w:tcW w:w="126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17,790</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Pr>
          <w:p>
            <w:pPr>
              <w:spacing w:after="0"/>
              <w:rPr>
                <w:sz w:val="21"/>
                <w:szCs w:val="21"/>
                <w:color w:val="auto"/>
              </w:rPr>
            </w:pPr>
          </w:p>
        </w:tc>
        <w:tc>
          <w:tcPr>
            <w:tcW w:w="8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3,366</w:t>
            </w:r>
          </w:p>
        </w:tc>
        <w:tc>
          <w:tcPr>
            <w:tcW w:w="12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6,058</w:t>
            </w:r>
          </w:p>
        </w:tc>
      </w:tr>
      <w:tr>
        <w:trPr>
          <w:trHeight w:val="27"/>
        </w:trPr>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22.4%</w:t>
            </w: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7"/>
        </w:trPr>
        <w:tc>
          <w:tcPr>
            <w:tcW w:w="7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2016 and 2015 were 22.4% and 34.1%, respectively. Included in the March 31, 2016 income tax rate is a benefit for $0.3 million for the release of uncertain tax positions. The primary driver of the higher tax rate for the three months ended March 31, 2015 compared to the three months ended March 31, 2016 was nondeductible costs related to acquisitions and other corporate initiatives.</w:t>
      </w:r>
    </w:p>
    <w:p>
      <w:pPr>
        <w:spacing w:after="0" w:line="4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its effective income tax rate for the full year to be approximately 24%, resulting largely from the jurisdictional mix of pretax income in U.S.-based operations relative to foreign operations. This estimate could be revised in the future as additional information is presented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revenues to geographic areas based on the location of the customer. Total revenue by major geographic area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65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88"/>
        </w:trPr>
        <w:tc>
          <w:tcPr>
            <w:tcW w:w="6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152,612</w:t>
            </w:r>
          </w:p>
        </w:tc>
      </w:tr>
      <w:tr>
        <w:trPr>
          <w:trHeight w:val="243"/>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25,283</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24,639</w:t>
            </w:r>
          </w:p>
        </w:tc>
      </w:tr>
      <w:tr>
        <w:trPr>
          <w:trHeight w:val="237"/>
        </w:trPr>
        <w:tc>
          <w:tcPr>
            <w:tcW w:w="6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202,534</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revenues increased to $181.2 million, or 77% of total revenues, for the three months ended March 31, 2016 from $152.6 million, or 75% of total revenues, for the three months ended March 31, 2015. International revenues increased to $55.5 million from $49.9 million in the prior-year period, an increase of 11%. Changes in foreign exchange rates decreased our sales by $1.1 million compared to the three months ended March 31, 2015.</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Marketable Securities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totaling approximately $77.1 million and $48.1 million at March 31, 2016 and December 31, 2015, respectively, which are valued based on Level 1 measurements in the fair value hierarchy. At March 31, 2016, our non-U.S. subsidiaries held approximately $38.1 million of cash and cash equivalents that are available for use by our operations outside of the United States. If cash and cash equivalents held by our non-U.S. subsidiaries were repatriated to the United States, or used for United States operations, certain amounts could be subject to tax in the United States for the incremental amount in excess of the foreign tax paid.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00" w:type="dxa"/>
            <w:vAlign w:val="bottom"/>
            <w:gridSpan w:val="2"/>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r>
      <w:tr>
        <w:trPr>
          <w:trHeight w:val="255"/>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19,171</w:t>
            </w:r>
          </w:p>
        </w:tc>
        <w:tc>
          <w:tcPr>
            <w:tcW w:w="116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24,891</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2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(6,730)</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7"/>
        </w:trPr>
        <w:tc>
          <w:tcPr>
            <w:tcW w:w="7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15,811</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fluctuations on cash</w:t>
            </w:r>
          </w:p>
        </w:tc>
        <w:tc>
          <w:tcPr>
            <w:tcW w:w="1120" w:type="dxa"/>
            <w:vAlign w:val="bottom"/>
          </w:tcPr>
          <w:p>
            <w:pPr>
              <w:spacing w:after="0"/>
              <w:rPr>
                <w:sz w:val="21"/>
                <w:szCs w:val="21"/>
                <w:color w:val="auto"/>
              </w:rPr>
            </w:pPr>
          </w:p>
        </w:tc>
        <w:tc>
          <w:tcPr>
            <w:tcW w:w="7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702</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(4,284)</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we anticipate that our principal uses of cash will include approximately $40.0 million of capital expenditures primarily for support and maintenance in our existing plants for facility automation, our enterprise resource planning system implementation, and additions to our instrument kits used in sales of orthopedic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generated operating cash flows of $19.2 million and $24.9 million for the three months ended March 31, 2016 and 2015, respectively.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cash flows for the three months ended March 31, 2016 decreased compared to the same period in 2015. Net income was consistent compared to the same period of the prior year. Changes in non-cash adjustments included in net income increased cash flows for the three months ended March 31, 2016 by approximately $6.7 million, which resulted primarily from the increase in depreciation and amortization. Changes in working capital decreased cash flows for the three months ended March 31, 2016 by approximately $15.0 million. Among the changes in working capital, accounts receivable used $18.4 million of cash, inventory used $8.1 million of cash, prepaid expenses and other current assets provided $2.0 million of cash and accounts payable, and accrued expenses and other current liabilities provided $8.0 million of cash.</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cash flow for the three months ended March 31, 2015 benefited from an increase in net income of $9.1 million compared to the same period in 2014. Changes in working capital decreased cash flows by approximately $4.6 million. Among the changes in working capital, accounts receivable provided $0.6 million of cash, inventory used $4.9 million of cash, prepaid expenses and other current assets provided $4.8 million of cash and accounts payable, accrued expenses and other current liabilities used $4.3 million of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2016, we paid $10.9 million for capital expenditures, most of which was directed to our global enterprise system implementation and commercial expansion.</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2015, we received cash of $1.4 million related to the sale of our Andover, U.K. facility and $1.8 million related to a working capital adjustment from the MicroFrance acquisition. We also paid $5.3 million for capital expenditures, most of which was directed to the expansion of our new collagen manufacturing center and global enterprise system implementation.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 of cash from financing activities in the three months ended March 31, 2016 was a $15.0 million borrowing under our Senior Credit Facility for general operating purposes and proceeds we received from stock option exercises of $1.0 million. Additionally, we made a repayment of $1.9 million on the revolving portion under our Senior Credit Facility.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principal use of cash for financing activities in the three months ended March 31, 2015 was a repayment of $15.0 million on the revolving portion under our Senior Credit Facility net of received proceeds related to stock option exercises of $0.2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2016 and December 31, 2015, working capital was $337.9 million and $299.4 million,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Debt Maturities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1.625% senior convertible notes mature in 2016. The Company may attempt to refinance, extend, or use available borrowing capacity under the Senior Credit Facility to settle this obligation prior to its maturity,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 The Company considers the balance to be long term in nature based on its current intent and ability to refinance the borrowing prior to its maturity.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Senior Credit Agreement, Convertible Debt and Related Hedging Activities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 xml:space="preserve"> to the current period’s condensed consolidated financial statements for a discussion of our (i) amended and restated Senior Credit Agreement, and (ii) convertible debt and related hedging activities.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28, 2015, the Company entered into a second amendment (the “Second Amendment”) to the certain Third Amended and Restated Credit Agreement, dated as of July 2, 2014 among the Company, a syndicate of lending banks, Bank of America, N.A., as Administrative Agent, Swing Line Lender and L/C Issuer, Wells Fargo Bank, National Association, as Syndication Agent, and HSBC Bank USA, National Association, Royal Bank of Canada, Citizens Bank, National Association, DNB Capital LLC, Crédit Agricole-Corporate and Investment Bank, and TD Bank, N.A., as Co-Documentation Agents. In connection with the Second Amendment, the Company borrowed $200.0 million of incremental term loans as permitted under the original terms of the Senior Credit Facility. Additionally, the Second Amendment (i) enables the Company to incur up to $200.0 million of incremental loans in the future and (ii) modifies the consolidated leverage ratio covenant in the Credit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Amendment creates an aggregate principal amount of up to $1.1 billion (increased from $900 million) available to the Company through the following facilities: (i) a $750 million revolving credit facility and (ii) a $350 million term loan facility (increased from $150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2014, our Board of Directors authorized a repurchase plan of up to $75.0 million of outstanding common stock through December 2016. Shares may be repurchased either in the open market or in privately negotiated transactions. We repurchased no shares under this program through March 31, 2016 and $75.0 million remains available under the authorization.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twelve-month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2016, we were obligated to pay the following amounts under various agreements: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Payments Due by Calendar 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Remaining 2016</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2017-2018</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2019-2020</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Securities (1)</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227.1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Facility (2)</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165.0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344.4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(3)</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Employment Agreements (4)</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3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828.0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261.1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450.8</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r>
      <w:tr>
        <w:trPr>
          <w:trHeight w:val="20"/>
        </w:trPr>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20" w:hanging="293"/>
        <w:spacing w:after="0" w:line="266"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debt service obligation of the senior convertible securities includes interest expense representing the amortization of the discount on the liability component of the senior convertible notes in accordance with the authoritative guidance.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our condensed consolidated financial statements for additional information.</w:t>
      </w:r>
    </w:p>
    <w:p>
      <w:pPr>
        <w:spacing w:after="0" w:line="14" w:lineRule="exact"/>
        <w:rPr>
          <w:rFonts w:ascii="Times New Roman" w:cs="Times New Roman" w:eastAsia="Times New Roman" w:hAnsi="Times New Roman"/>
          <w:sz w:val="18"/>
          <w:szCs w:val="18"/>
          <w:color w:val="auto"/>
        </w:rPr>
      </w:pPr>
    </w:p>
    <w:p>
      <w:pPr>
        <w:ind w:left="840" w:right="40" w:hanging="293"/>
        <w:spacing w:after="0" w:line="281"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borrow and make payments against the revolver portion of its Senior Credit Facility from time to time and considers all of the outstanding amounts to be long-term based on its current intent and ability to repay the borrowing outside of the next twelve-month period.</w:t>
      </w:r>
    </w:p>
    <w:p>
      <w:pPr>
        <w:spacing w:after="0" w:line="1" w:lineRule="exact"/>
        <w:rPr>
          <w:rFonts w:ascii="Times New Roman" w:cs="Times New Roman" w:eastAsia="Times New Roman" w:hAnsi="Times New Roman"/>
          <w:sz w:val="18"/>
          <w:szCs w:val="18"/>
          <w:color w:val="auto"/>
        </w:rPr>
      </w:pPr>
    </w:p>
    <w:p>
      <w:pPr>
        <w:ind w:left="840" w:right="40" w:hanging="293"/>
        <w:spacing w:after="0" w:line="281" w:lineRule="auto"/>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calculated on the term loan portion of the Senior Credit Facility and convertible securities based on current interest rates paid by the Company. As the revolving credit facility can be repaid at any time, no interest has been included in the calculation.</w:t>
      </w:r>
    </w:p>
    <w:p>
      <w:pPr>
        <w:spacing w:after="0" w:line="1" w:lineRule="exact"/>
        <w:rPr>
          <w:rFonts w:ascii="Times New Roman" w:cs="Times New Roman" w:eastAsia="Times New Roman" w:hAnsi="Times New Roman"/>
          <w:sz w:val="18"/>
          <w:szCs w:val="18"/>
          <w:color w:val="auto"/>
        </w:rPr>
      </w:pPr>
    </w:p>
    <w:p>
      <w:pPr>
        <w:ind w:left="840" w:hanging="293"/>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under Employment Agreements do not include compensation resulting from a change in control.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excluded contingent consideration obligations related to prior acquisitions from the contractual obligations table above; these liabilities had a fair value of $22.0 million at March 31, 2016. These liabilities have been excluded because the amounts to be paid and the potential payment dates are not fixed.</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also excluded the liability for uncertain tax benefits from the contractual obligations table above, including interest and penalties, totaling $0.8 million at March 31, 2016. This liability for uncertain tax benefits has been excluded because we cannot make a reliable estimate of the period in which the uncertain tax benefits may be realized.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off-balance sheet arrangements during the three months ended March 31, 2016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critical accounting estimates included in our Annual Report on Form 10-K for the fiscal year ended December 31, 2015, have not materially changed, except as noted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new accounting pronouncements is included in Note 1 </w:t>
      </w:r>
      <w:r>
        <w:rPr>
          <w:rFonts w:ascii="Times New Roman" w:cs="Times New Roman" w:eastAsia="Times New Roman" w:hAnsi="Times New Roman"/>
          <w:sz w:val="18"/>
          <w:szCs w:val="18"/>
          <w:i w:val="1"/>
          <w:iCs w:val="1"/>
          <w:color w:val="auto"/>
        </w:rPr>
        <w:t>- Basis of Presentation</w:t>
      </w:r>
      <w:r>
        <w:rPr>
          <w:rFonts w:ascii="Times New Roman" w:cs="Times New Roman" w:eastAsia="Times New Roman" w:hAnsi="Times New Roman"/>
          <w:sz w:val="18"/>
          <w:szCs w:val="18"/>
          <w:color w:val="auto"/>
        </w:rPr>
        <w:t xml:space="preserve"> to the current period’s condensed consolidated financial statements.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 movement in interest rates applicable to our cash and cash equivalents outstanding at March 31, 2016 would increase interest income by approximately $0.8 million on an annual basis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interest rate risk relates primarily to U.S. dollar LIBOR-indexed borrowings. We have used an interest rate derivative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manage our earnings and cash flow exposure to changes in interest rates. This interest rate swap fixed the interest rate on a portion of our expected LIBOR-indexed floating-rate borrowings beginning on December 31, 2010. The interest rate swap expired during August 2015. There were no instruments outstanding as of March 31, 2016.</w:t>
      </w:r>
    </w:p>
    <w:p>
      <w:pPr>
        <w:sectPr>
          <w:pgSz w:w="11900" w:h="16838" w:orient="portrait"/>
          <w:cols w:equalWidth="0" w:num="1">
            <w:col w:w="11420"/>
          </w:cols>
          <w:pgMar w:left="240" w:top="12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outstanding borrowings at March 31, 2016, a one-percentage point change in interest rates would have affected interest expense on the debt by $5.1 million on an annualized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2016. Based upon this evaluation, our principal executive officer and principal financial officer concluded that our disclosure controls and procedures were effective as of March 31, 2016 to provide such reasonable assurance.</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the Company is in the process of a multi-year implementation of a global enterprise resource planning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quarter ended March 31, 2016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Factors included in our Annual Report on Form 10-K for the fiscal year ended December 31, 2015 have not materially changed.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2014, our Board of Directors terminated the previous share repurchase plan dated October 2012, and authorized a new repurchase of up to $75.0 million of outstanding common stock through December 2016. Shares may be repurchased either in the open market or in privately negotiated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our common stock during the three months ended March 31, 2016 under this program.</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Change in Control Severance Agreement (Incorporated by reference to Exhibit 10.1 to the Company's Current Report of Form</w:t>
            </w:r>
          </w:p>
        </w:tc>
      </w:tr>
      <w:tr>
        <w:trPr>
          <w:trHeight w:val="234"/>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 filed on February 3, 2016)</w:t>
            </w:r>
          </w:p>
        </w:tc>
      </w:tr>
      <w:tr>
        <w:trPr>
          <w:trHeight w:val="522"/>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Performance Stock Agreement (Incorporated by reference to Exhibit 10.1 to the Company's Current Report of Form 8-K filed</w:t>
            </w:r>
          </w:p>
        </w:tc>
      </w:tr>
      <w:tr>
        <w:trPr>
          <w:trHeight w:val="234"/>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February 29, 2016)</w:t>
            </w:r>
          </w:p>
        </w:tc>
      </w:tr>
      <w:tr>
        <w:trPr>
          <w:trHeight w:val="522"/>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Performance Stock Agreement for Mr. Arduini (Incorporated by reference to Exhibit 10.2 to the Company's Current Report of</w:t>
            </w:r>
          </w:p>
        </w:tc>
      </w:tr>
      <w:tr>
        <w:trPr>
          <w:trHeight w:val="234"/>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8-K filed on February 29, 2016)</w:t>
            </w:r>
          </w:p>
        </w:tc>
      </w:tr>
      <w:tr>
        <w:trPr>
          <w:trHeight w:val="594"/>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*†101.CAL</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*†101.LAB</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87" w:lineRule="exact"/>
        <w:rPr>
          <w:sz w:val="20"/>
          <w:szCs w:val="20"/>
          <w:color w:val="auto"/>
        </w:rPr>
      </w:pPr>
    </w:p>
    <w:p>
      <w:pPr>
        <w:ind w:left="720" w:hanging="685"/>
        <w:spacing w:after="0"/>
        <w:tabs>
          <w:tab w:leader="none" w:pos="7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rFonts w:ascii="Times New Roman" w:cs="Times New Roman" w:eastAsia="Times New Roman" w:hAnsi="Times New Roman"/>
          <w:sz w:val="18"/>
          <w:szCs w:val="18"/>
          <w:color w:val="auto"/>
        </w:rPr>
      </w:pPr>
    </w:p>
    <w:p>
      <w:pPr>
        <w:ind w:left="500" w:hanging="492"/>
        <w:spacing w:after="0" w:line="258" w:lineRule="auto"/>
        <w:tabs>
          <w:tab w:leader="none" w:pos="1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March 31, 2016 filed on April 27, 2016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tc>
      </w:tr>
      <w:tr>
        <w:trPr>
          <w:trHeight w:val="59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27, 2016</w:t>
            </w:r>
          </w:p>
        </w:tc>
        <w:tc>
          <w:tcPr>
            <w:tcW w:w="25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J. Arduini</w:t>
            </w:r>
          </w:p>
        </w:tc>
      </w:tr>
      <w:tr>
        <w:trPr>
          <w:trHeight w:val="27"/>
        </w:trPr>
        <w:tc>
          <w:tcPr>
            <w:tcW w:w="4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r>
      <w:tr>
        <w:trPr>
          <w:trHeight w:val="270"/>
        </w:trPr>
        <w:tc>
          <w:tcPr>
            <w:tcW w:w="4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9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April 27, 2016</w:t>
            </w:r>
          </w:p>
        </w:tc>
        <w:tc>
          <w:tcPr>
            <w:tcW w:w="25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Glenn G. Coleman</w:t>
            </w:r>
          </w:p>
        </w:tc>
      </w:tr>
      <w:tr>
        <w:trPr>
          <w:trHeight w:val="27"/>
        </w:trPr>
        <w:tc>
          <w:tcPr>
            <w:tcW w:w="4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r>
      <w:tr>
        <w:trPr>
          <w:trHeight w:val="270"/>
        </w:trPr>
        <w:tc>
          <w:tcPr>
            <w:tcW w:w="4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tc>
      </w:tr>
      <w:tr>
        <w:trPr>
          <w:trHeight w:val="702"/>
        </w:trPr>
        <w:tc>
          <w:tcPr>
            <w:tcW w:w="4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990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r>
      <w:tr>
        <w:trPr>
          <w:trHeight w:val="439"/>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900" w:type="dxa"/>
            <w:vAlign w:val="bottom"/>
          </w:tcPr>
          <w:p>
            <w:pPr>
              <w:spacing w:after="0"/>
              <w:rPr>
                <w:sz w:val="24"/>
                <w:szCs w:val="24"/>
                <w:color w:val="auto"/>
              </w:rPr>
            </w:pPr>
          </w:p>
        </w:tc>
      </w:tr>
      <w:tr>
        <w:trPr>
          <w:trHeight w:val="574"/>
        </w:trPr>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100" w:type="dxa"/>
            <w:vAlign w:val="bottom"/>
          </w:tcPr>
          <w:p>
            <w:pPr>
              <w:spacing w:after="0"/>
              <w:rPr>
                <w:sz w:val="24"/>
                <w:szCs w:val="24"/>
                <w:color w:val="auto"/>
              </w:rPr>
            </w:pPr>
          </w:p>
        </w:tc>
        <w:tc>
          <w:tcPr>
            <w:tcW w:w="9900" w:type="dxa"/>
            <w:vAlign w:val="bottom"/>
          </w:tcPr>
          <w:p>
            <w:pPr>
              <w:spacing w:after="0"/>
              <w:rPr>
                <w:sz w:val="24"/>
                <w:szCs w:val="24"/>
                <w:color w:val="auto"/>
              </w:rPr>
            </w:pPr>
          </w:p>
        </w:tc>
      </w:tr>
      <w:tr>
        <w:trPr>
          <w:trHeight w:val="542"/>
        </w:trPr>
        <w:tc>
          <w:tcPr>
            <w:tcW w:w="66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Change in Control Severance Agreement (Incorporated by reference to Exhibit 10.1 to the Company's Current Report of Form</w:t>
            </w: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 filed on February 3, 2016)</w:t>
            </w:r>
          </w:p>
        </w:tc>
      </w:tr>
      <w:tr>
        <w:trPr>
          <w:trHeight w:val="522"/>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Performance Stock Agreement (Incorporated by reference to Exhibit 10.1 to the Company's Current Report of Form 8-K filed</w:t>
            </w: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 February 29, 2016)</w:t>
            </w:r>
          </w:p>
        </w:tc>
      </w:tr>
      <w:tr>
        <w:trPr>
          <w:trHeight w:val="522"/>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Performance Stock Agreement for Mr. Arduini (Incorporated by reference to Exhibit 10.2 to the Company's Current Report of</w:t>
            </w:r>
          </w:p>
        </w:tc>
      </w:tr>
      <w:tr>
        <w:trPr>
          <w:trHeight w:val="234"/>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8-K filed on February 29, 2016)</w:t>
            </w:r>
          </w:p>
        </w:tc>
      </w:tr>
      <w:tr>
        <w:trPr>
          <w:trHeight w:val="594"/>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540"/>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540"/>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906 of the Sarbanes-Oxley Act of 2002</w:t>
            </w:r>
          </w:p>
        </w:tc>
      </w:tr>
      <w:tr>
        <w:trPr>
          <w:trHeight w:val="540"/>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87" w:lineRule="exact"/>
        <w:rPr>
          <w:sz w:val="20"/>
          <w:szCs w:val="20"/>
          <w:color w:val="auto"/>
        </w:rPr>
      </w:pPr>
    </w:p>
    <w:p>
      <w:pPr>
        <w:ind w:left="720" w:hanging="685"/>
        <w:spacing w:after="0"/>
        <w:tabs>
          <w:tab w:leader="none" w:pos="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500" w:hanging="492"/>
        <w:spacing w:after="0" w:line="258" w:lineRule="auto"/>
        <w:tabs>
          <w:tab w:leader="none" w:pos="17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March 31, 2016 filed on April 27, 2016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08"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920"/>
        <w:spacing w:after="0"/>
        <w:tabs>
          <w:tab w:leader="none" w:pos="6240" w:val="left"/>
        </w:tabs>
        <w:rPr>
          <w:sz w:val="20"/>
          <w:szCs w:val="20"/>
          <w:color w:val="auto"/>
        </w:rPr>
      </w:pPr>
      <w:r>
        <w:rPr>
          <w:rFonts w:ascii="Times New Roman" w:cs="Times New Roman" w:eastAsia="Times New Roman" w:hAnsi="Times New Roman"/>
          <w:sz w:val="18"/>
          <w:szCs w:val="18"/>
          <w:color w:val="auto"/>
        </w:rPr>
        <w:t>Date: April 27, 2016</w:t>
      </w:r>
      <w:r>
        <w:rPr>
          <w:sz w:val="20"/>
          <w:szCs w:val="20"/>
          <w:color w:val="auto"/>
        </w:rPr>
        <w:tab/>
      </w:r>
      <w:r>
        <w:rPr>
          <w:rFonts w:ascii="Times New Roman" w:cs="Times New Roman" w:eastAsia="Times New Roman" w:hAnsi="Times New Roman"/>
          <w:sz w:val="18"/>
          <w:szCs w:val="18"/>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34290</wp:posOffset>
            </wp:positionV>
            <wp:extent cx="297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Peter J. Arduini</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540"/>
        <w:spacing w:after="0"/>
        <w:tabs>
          <w:tab w:leader="none" w:pos="1360" w:val="left"/>
          <w:tab w:leader="none" w:pos="6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27, 2016</w:t>
      </w:r>
      <w:r>
        <w:rPr>
          <w:sz w:val="20"/>
          <w:szCs w:val="20"/>
          <w:color w:val="auto"/>
        </w:rPr>
        <w:tab/>
      </w:r>
      <w:r>
        <w:rPr>
          <w:rFonts w:ascii="Times New Roman" w:cs="Times New Roman" w:eastAsia="Times New Roman" w:hAnsi="Times New Roman"/>
          <w:sz w:val="18"/>
          <w:szCs w:val="18"/>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34290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Glenn G. Coleman</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 Officer</w:t>
      </w:r>
    </w:p>
    <w:p>
      <w:pPr>
        <w:sectPr>
          <w:pgSz w:w="11900" w:h="16838" w:orient="portrait"/>
          <w:cols w:equalWidth="0" w:num="1">
            <w:col w:w="11420"/>
          </w:cols>
          <w:pgMar w:left="240" w:top="117" w:right="239" w:bottom="1440" w:gutter="0" w:footer="0" w:header="0"/>
        </w:sectPr>
      </w:pPr>
    </w:p>
    <w:bookmarkStart w:id="38" w:name="page39"/>
    <w:bookmarkEnd w:id="38"/>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Peter J. Arduini, President and Chief Executive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2016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20"/>
        <w:spacing w:after="0"/>
        <w:tabs>
          <w:tab w:leader="none" w:pos="1240" w:val="left"/>
          <w:tab w:leader="none" w:pos="6140" w:val="left"/>
        </w:tabs>
        <w:rPr>
          <w:sz w:val="20"/>
          <w:szCs w:val="20"/>
          <w:color w:val="auto"/>
        </w:rPr>
      </w:pPr>
      <w:r>
        <w:rPr>
          <w:rFonts w:ascii="Times New Roman" w:cs="Times New Roman" w:eastAsia="Times New Roman" w:hAnsi="Times New Roman"/>
          <w:sz w:val="18"/>
          <w:szCs w:val="18"/>
          <w:color w:val="auto"/>
        </w:rPr>
        <w:t>Date:</w:t>
        <w:tab/>
        <w:t>April 27, 2016</w:t>
      </w:r>
      <w:r>
        <w:rPr>
          <w:sz w:val="20"/>
          <w:szCs w:val="20"/>
          <w:color w:val="auto"/>
        </w:rPr>
        <w:tab/>
      </w:r>
      <w:r>
        <w:rPr>
          <w:rFonts w:ascii="Times New Roman" w:cs="Times New Roman" w:eastAsia="Times New Roman" w:hAnsi="Times New Roman"/>
          <w:sz w:val="17"/>
          <w:szCs w:val="17"/>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34290</wp:posOffset>
            </wp:positionV>
            <wp:extent cx="298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Peter J. Arduini</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39" w:name="page40"/>
    <w:bookmarkEnd w:id="39"/>
    <w:p>
      <w:pPr>
        <w:ind w:left="104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Glenn G. Coleman, Corporate Vice President and Chief Financial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2016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20"/>
        <w:spacing w:after="0"/>
        <w:tabs>
          <w:tab w:leader="none" w:pos="1320" w:val="left"/>
          <w:tab w:leader="none" w:pos="6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27, 2016</w:t>
      </w:r>
      <w:r>
        <w:rPr>
          <w:sz w:val="20"/>
          <w:szCs w:val="20"/>
          <w:color w:val="auto"/>
        </w:rPr>
        <w:tab/>
      </w:r>
      <w:r>
        <w:rPr>
          <w:rFonts w:ascii="Times New Roman" w:cs="Times New Roman" w:eastAsia="Times New Roman" w:hAnsi="Times New Roman"/>
          <w:sz w:val="18"/>
          <w:szCs w:val="18"/>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34290</wp:posOffset>
            </wp:positionV>
            <wp:extent cx="2924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Glenn G. Coleman</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1."/>
      <w:numFmt w:val="lowerRoman"/>
      <w:start w:val="1"/>
    </w:lvl>
    <w:lvl w:ilvl="1">
      <w:lvlJc w:val="left"/>
      <w:lvlText w:val="%2."/>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2"/>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3"/>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lvl w:ilvl="1">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2019-12-29T13:50:07Z</dcterms:created>
  <dcterms:modified xsi:type="dcterms:W3CDTF">2019-12-29T13:50:07Z</dcterms:modified>
</cp:coreProperties>
</file>