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3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4"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5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fiscal year ended December 31, 2013</w:t>
      </w:r>
    </w:p>
    <w:p>
      <w:pPr>
        <w:spacing w:after="0" w:line="343" w:lineRule="exact"/>
        <w:rPr>
          <w:sz w:val="24"/>
          <w:szCs w:val="24"/>
          <w:color w:val="auto"/>
        </w:rPr>
      </w:pPr>
    </w:p>
    <w:p>
      <w:pPr>
        <w:ind w:left="720" w:right="140" w:hanging="685"/>
        <w:spacing w:after="0" w:line="256" w:lineRule="auto"/>
        <w:tabs>
          <w:tab w:leader="none" w:pos="7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7" w:lineRule="exact"/>
        <w:rPr>
          <w:sz w:val="24"/>
          <w:szCs w:val="24"/>
          <w:color w:val="auto"/>
        </w:rPr>
      </w:pPr>
    </w:p>
    <w:p>
      <w:pPr>
        <w:ind w:left="402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0-26224</w:t>
      </w:r>
    </w:p>
    <w:p>
      <w:pPr>
        <w:spacing w:after="0" w:line="292"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61"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right"/>
              <w:ind w:right="261"/>
              <w:spacing w:after="0"/>
              <w:rPr>
                <w:sz w:val="20"/>
                <w:szCs w:val="20"/>
                <w:color w:val="auto"/>
              </w:rPr>
            </w:pPr>
            <w:r>
              <w:rPr>
                <w:rFonts w:ascii="Arial" w:cs="Arial" w:eastAsia="Arial" w:hAnsi="Arial"/>
                <w:sz w:val="18"/>
                <w:szCs w:val="18"/>
                <w:b w:val="1"/>
                <w:bCs w:val="1"/>
                <w:color w:val="auto"/>
              </w:rPr>
              <w:t>51-0317849</w:t>
            </w:r>
          </w:p>
        </w:tc>
      </w:tr>
      <w:tr>
        <w:trPr>
          <w:trHeight w:val="180"/>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(STATE OR OTHER JURISDICTION OF</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r>
      <w:tr>
        <w:trPr>
          <w:trHeight w:val="186"/>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INCORPORATION OR ORGANIZATION)</w:t>
            </w:r>
          </w:p>
        </w:tc>
        <w:tc>
          <w:tcPr>
            <w:tcW w:w="3260" w:type="dxa"/>
            <w:vAlign w:val="bottom"/>
          </w:tcPr>
          <w:p>
            <w:pPr>
              <w:jc w:val="center"/>
              <w:ind w:left="1621"/>
              <w:spacing w:after="0"/>
              <w:rPr>
                <w:sz w:val="20"/>
                <w:szCs w:val="20"/>
                <w:color w:val="auto"/>
              </w:rPr>
            </w:pPr>
            <w:r>
              <w:rPr>
                <w:rFonts w:ascii="Arial" w:cs="Arial" w:eastAsia="Arial" w:hAnsi="Arial"/>
                <w:sz w:val="14"/>
                <w:szCs w:val="14"/>
                <w:b w:val="1"/>
                <w:bCs w:val="1"/>
                <w:color w:val="auto"/>
              </w:rPr>
              <w:t>IDENTIFICATION NO.)</w:t>
            </w:r>
          </w:p>
        </w:tc>
      </w:tr>
      <w:tr>
        <w:trPr>
          <w:trHeight w:val="412"/>
        </w:trPr>
        <w:tc>
          <w:tcPr>
            <w:tcW w:w="50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8"/>
              </w:rPr>
              <w:t>311 ENTERPRISE DRIVE</w:t>
            </w:r>
          </w:p>
        </w:tc>
        <w:tc>
          <w:tcPr>
            <w:tcW w:w="3260" w:type="dxa"/>
            <w:vAlign w:val="bottom"/>
          </w:tcPr>
          <w:p>
            <w:pPr>
              <w:spacing w:after="0"/>
              <w:rPr>
                <w:sz w:val="24"/>
                <w:szCs w:val="24"/>
                <w:color w:val="auto"/>
              </w:rPr>
            </w:pPr>
          </w:p>
        </w:tc>
      </w:t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9"/>
              </w:rPr>
              <w:t>PLAINSBORO, NEW JERSEY</w:t>
            </w:r>
          </w:p>
        </w:tc>
        <w:tc>
          <w:tcPr>
            <w:tcW w:w="3260" w:type="dxa"/>
            <w:vAlign w:val="bottom"/>
          </w:tcPr>
          <w:p>
            <w:pPr>
              <w:jc w:val="right"/>
              <w:ind w:right="461"/>
              <w:spacing w:after="0"/>
              <w:rPr>
                <w:sz w:val="20"/>
                <w:szCs w:val="20"/>
                <w:color w:val="auto"/>
              </w:rPr>
            </w:pPr>
            <w:r>
              <w:rPr>
                <w:rFonts w:ascii="Arial" w:cs="Arial" w:eastAsia="Arial" w:hAnsi="Arial"/>
                <w:sz w:val="18"/>
                <w:szCs w:val="18"/>
                <w:b w:val="1"/>
                <w:bCs w:val="1"/>
                <w:color w:val="auto"/>
              </w:rPr>
              <w:t>08536</w:t>
            </w:r>
          </w:p>
        </w:tc>
      </w:tr>
      <w:tr>
        <w:trPr>
          <w:trHeight w:val="218"/>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(ADDRESS OF PRINCIPAL EXECUTIVE OFFICES)</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(ZIP CODE)</w:t>
            </w:r>
          </w:p>
        </w:tc>
      </w:tr>
    </w:tbl>
    <w:p>
      <w:pPr>
        <w:spacing w:after="0" w:line="16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REGISTRANT’S TELEPHONE NUMBER, INCLUDING AREA CODE: (609) 275-0500</w:t>
      </w:r>
    </w:p>
    <w:p>
      <w:pPr>
        <w:spacing w:after="0" w:line="16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73" w:lineRule="exact"/>
        <w:rPr>
          <w:sz w:val="24"/>
          <w:szCs w:val="24"/>
          <w:color w:val="auto"/>
        </w:rPr>
      </w:pPr>
    </w:p>
    <w:tbl>
      <w:tblPr>
        <w:tblLayout w:type="fixed"/>
        <w:tblInd w:w="176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3360" w:type="dxa"/>
            <w:vAlign w:val="bottom"/>
            <w:gridSpan w:val="2"/>
          </w:tcPr>
          <w:p>
            <w:pPr>
              <w:jc w:val="center"/>
              <w:ind w:right="2060"/>
              <w:spacing w:after="0"/>
              <w:rPr>
                <w:sz w:val="20"/>
                <w:szCs w:val="20"/>
                <w:color w:val="auto"/>
              </w:rPr>
            </w:pPr>
            <w:r>
              <w:rPr>
                <w:rFonts w:ascii="Arial" w:cs="Arial" w:eastAsia="Arial" w:hAnsi="Arial"/>
                <w:sz w:val="16"/>
                <w:szCs w:val="16"/>
                <w:b w:val="1"/>
                <w:bCs w:val="1"/>
                <w:color w:val="auto"/>
                <w:w w:val="91"/>
              </w:rPr>
              <w:t>Title of Each Class</w:t>
            </w:r>
          </w:p>
        </w:tc>
        <w:tc>
          <w:tcPr>
            <w:tcW w:w="3980" w:type="dxa"/>
            <w:vAlign w:val="bottom"/>
            <w:gridSpan w:val="2"/>
          </w:tcPr>
          <w:p>
            <w:pPr>
              <w:jc w:val="center"/>
              <w:ind w:left="1119"/>
              <w:spacing w:after="0"/>
              <w:rPr>
                <w:sz w:val="20"/>
                <w:szCs w:val="20"/>
                <w:color w:val="auto"/>
              </w:rPr>
            </w:pPr>
            <w:r>
              <w:rPr>
                <w:rFonts w:ascii="Arial" w:cs="Arial" w:eastAsia="Arial" w:hAnsi="Arial"/>
                <w:sz w:val="16"/>
                <w:szCs w:val="16"/>
                <w:b w:val="1"/>
                <w:bCs w:val="1"/>
                <w:color w:val="auto"/>
                <w:w w:val="90"/>
              </w:rPr>
              <w:t>Name of Exchange on Which Registered</w:t>
            </w:r>
          </w:p>
        </w:tc>
      </w:tr>
      <w:tr>
        <w:trPr>
          <w:trHeight w:val="20"/>
        </w:trPr>
        <w:tc>
          <w:tcPr>
            <w:tcW w:w="8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91"/>
        </w:trPr>
        <w:tc>
          <w:tcPr>
            <w:tcW w:w="4200" w:type="dxa"/>
            <w:vAlign w:val="bottom"/>
            <w:gridSpan w:val="3"/>
          </w:tcPr>
          <w:p>
            <w:pPr>
              <w:jc w:val="center"/>
              <w:ind w:right="1200"/>
              <w:spacing w:after="0"/>
              <w:rPr>
                <w:sz w:val="20"/>
                <w:szCs w:val="20"/>
                <w:color w:val="auto"/>
              </w:rPr>
            </w:pPr>
            <w:r>
              <w:rPr>
                <w:rFonts w:ascii="Arial" w:cs="Arial" w:eastAsia="Arial" w:hAnsi="Arial"/>
                <w:sz w:val="18"/>
                <w:szCs w:val="18"/>
                <w:color w:val="auto"/>
                <w:w w:val="88"/>
              </w:rPr>
              <w:t>Common Stock, Par Value $.01 Per Share</w:t>
            </w:r>
          </w:p>
        </w:tc>
        <w:tc>
          <w:tcPr>
            <w:tcW w:w="1200" w:type="dxa"/>
            <w:vAlign w:val="bottom"/>
          </w:tcPr>
          <w:p>
            <w:pPr>
              <w:spacing w:after="0"/>
              <w:rPr>
                <w:sz w:val="24"/>
                <w:szCs w:val="24"/>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NONE</w:t>
      </w:r>
    </w:p>
    <w:p>
      <w:pPr>
        <w:spacing w:after="0" w:line="180" w:lineRule="exact"/>
        <w:rPr>
          <w:sz w:val="24"/>
          <w:szCs w:val="24"/>
          <w:color w:val="auto"/>
        </w:rPr>
      </w:pPr>
    </w:p>
    <w:p>
      <w:pPr>
        <w:ind w:right="2340"/>
        <w:spacing w:after="0" w:line="422"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x No o Indicate by check mark if the registrant is not required to file reports pursuant to Section 13 or 15(d) of the Securities Exchange Act. Yes o No x</w:t>
      </w:r>
    </w:p>
    <w:p>
      <w:pPr>
        <w:spacing w:after="0" w:line="2" w:lineRule="exact"/>
        <w:rPr>
          <w:sz w:val="24"/>
          <w:szCs w:val="24"/>
          <w:color w:val="auto"/>
        </w:rPr>
      </w:pPr>
    </w:p>
    <w:p>
      <w:pPr>
        <w:ind w:right="100"/>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9"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48" w:lineRule="exact"/>
        <w:rPr>
          <w:sz w:val="24"/>
          <w:szCs w:val="24"/>
          <w:color w:val="auto"/>
        </w:rPr>
      </w:pPr>
    </w:p>
    <w:p>
      <w:pPr>
        <w:ind w:right="220"/>
        <w:spacing w:after="0" w:line="310"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513" w:right="279" w:bottom="1440" w:gutter="0" w:footer="0" w:header="0"/>
        </w:sectPr>
      </w:pPr>
    </w:p>
    <w:bookmarkStart w:id="1" w:name="page2"/>
    <w:bookmarkEnd w:id="1"/>
    <w:p>
      <w:pPr>
        <w:ind w:right="3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2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480" w:type="dxa"/>
            <w:vAlign w:val="bottom"/>
          </w:tcPr>
          <w:p>
            <w:pPr>
              <w:ind w:left="340"/>
              <w:spacing w:after="0"/>
              <w:rPr>
                <w:sz w:val="20"/>
                <w:szCs w:val="20"/>
                <w:color w:val="auto"/>
              </w:rPr>
            </w:pPr>
            <w:r>
              <w:rPr>
                <w:rFonts w:ascii="Arial" w:cs="Arial" w:eastAsia="Arial" w:hAnsi="Arial"/>
                <w:sz w:val="16"/>
                <w:szCs w:val="16"/>
                <w:color w:val="auto"/>
              </w:rPr>
              <w:t>x</w:t>
            </w:r>
          </w:p>
        </w:tc>
        <w:tc>
          <w:tcPr>
            <w:tcW w:w="5700" w:type="dxa"/>
            <w:vAlign w:val="bottom"/>
          </w:tcPr>
          <w:p>
            <w:pPr>
              <w:spacing w:after="0"/>
              <w:rPr>
                <w:sz w:val="17"/>
                <w:szCs w:val="17"/>
                <w:color w:val="auto"/>
              </w:rPr>
            </w:pPr>
          </w:p>
        </w:tc>
        <w:tc>
          <w:tcPr>
            <w:tcW w:w="2260" w:type="dxa"/>
            <w:vAlign w:val="bottom"/>
          </w:tcPr>
          <w:p>
            <w:pPr>
              <w:ind w:left="10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581"/>
        </w:trPr>
        <w:tc>
          <w:tcPr>
            <w:tcW w:w="182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480" w:type="dxa"/>
            <w:vAlign w:val="bottom"/>
          </w:tcPr>
          <w:p>
            <w:pPr>
              <w:ind w:left="340"/>
              <w:spacing w:after="0"/>
              <w:rPr>
                <w:sz w:val="20"/>
                <w:szCs w:val="20"/>
                <w:color w:val="auto"/>
              </w:rPr>
            </w:pPr>
            <w:r>
              <w:rPr>
                <w:rFonts w:ascii="Arial" w:cs="Arial" w:eastAsia="Arial" w:hAnsi="Arial"/>
                <w:sz w:val="16"/>
                <w:szCs w:val="16"/>
                <w:color w:val="auto"/>
              </w:rPr>
              <w:t>o</w:t>
            </w:r>
          </w:p>
        </w:tc>
        <w:tc>
          <w:tcPr>
            <w:tcW w:w="5700" w:type="dxa"/>
            <w:vAlign w:val="bottom"/>
          </w:tcPr>
          <w:p>
            <w:pPr>
              <w:ind w:left="40"/>
              <w:spacing w:after="0"/>
              <w:rPr>
                <w:sz w:val="20"/>
                <w:szCs w:val="20"/>
                <w:color w:val="auto"/>
              </w:rPr>
            </w:pPr>
            <w:r>
              <w:rPr>
                <w:rFonts w:ascii="Arial" w:cs="Arial" w:eastAsia="Arial" w:hAnsi="Arial"/>
                <w:sz w:val="16"/>
                <w:szCs w:val="16"/>
                <w:color w:val="auto"/>
              </w:rPr>
              <w:t>(Do not check if a smaller reporting company)</w:t>
            </w:r>
          </w:p>
        </w:tc>
        <w:tc>
          <w:tcPr>
            <w:tcW w:w="2260" w:type="dxa"/>
            <w:vAlign w:val="bottom"/>
          </w:tcPr>
          <w:p>
            <w:pPr>
              <w:ind w:left="10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410"/>
        </w:trPr>
        <w:tc>
          <w:tcPr>
            <w:tcW w:w="8000" w:type="dxa"/>
            <w:vAlign w:val="bottom"/>
            <w:gridSpan w:val="3"/>
          </w:tcPr>
          <w:p>
            <w:pPr>
              <w:spacing w:after="0"/>
              <w:rPr>
                <w:sz w:val="20"/>
                <w:szCs w:val="20"/>
                <w:color w:val="auto"/>
              </w:rPr>
            </w:pPr>
            <w:r>
              <w:rPr>
                <w:rFonts w:ascii="Arial" w:cs="Arial" w:eastAsia="Arial" w:hAnsi="Arial"/>
                <w:sz w:val="16"/>
                <w:szCs w:val="16"/>
                <w:color w:val="auto"/>
                <w:w w:val="93"/>
              </w:rPr>
              <w:t>Indicate by check mark whether the registrant is a shell company (as defined in Rule 12b-2 of the Exchange Act).  Yes o</w:t>
            </w:r>
          </w:p>
        </w:tc>
        <w:tc>
          <w:tcPr>
            <w:tcW w:w="226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480" w:type="dxa"/>
            <w:vAlign w:val="bottom"/>
          </w:tcPr>
          <w:p>
            <w:pPr>
              <w:spacing w:after="0"/>
              <w:rPr>
                <w:sz w:val="24"/>
                <w:szCs w:val="24"/>
                <w:color w:val="auto"/>
              </w:rPr>
            </w:pPr>
          </w:p>
        </w:tc>
      </w:tr>
    </w:tbl>
    <w:p>
      <w:pPr>
        <w:spacing w:after="0" w:line="46"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As of June 30, 2013, the aggregate market value of the registrant’s common stock held by non-affiliates was approximately $748.0 million based upon the closing sales price of the registrant’s common stock on The Nasdaq Global Market on such date. The number of shares of the registrant’s Common Stock, $0.01 par value, outstanding as of February 24, 2014 was 32,413,216.</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8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Certain portions of the registrant’s definitive proxy statement relating to its scheduled May 20, 2014 Annual Meeting of Stockholders are incorporated by reference in Part III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320" w:type="dxa"/>
            <w:vAlign w:val="bottom"/>
            <w:gridSpan w:val="10"/>
          </w:tcPr>
          <w:p>
            <w:pPr>
              <w:jc w:val="center"/>
              <w:ind w:right="1620"/>
              <w:spacing w:after="0"/>
              <w:rPr>
                <w:sz w:val="20"/>
                <w:szCs w:val="20"/>
                <w:color w:val="auto"/>
              </w:rPr>
            </w:pPr>
            <w:r>
              <w:rPr>
                <w:rFonts w:ascii="Arial" w:cs="Arial" w:eastAsia="Arial" w:hAnsi="Arial"/>
                <w:sz w:val="18"/>
                <w:szCs w:val="18"/>
                <w:b w:val="1"/>
                <w:bCs w:val="1"/>
                <w:color w:val="auto"/>
              </w:rPr>
              <w:t>INTEGRA LIFESCIENCES HOLDINGS CORPORATION</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180" w:type="dxa"/>
            <w:vAlign w:val="bottom"/>
            <w:gridSpan w:val="8"/>
          </w:tcPr>
          <w:p>
            <w:pPr>
              <w:jc w:val="center"/>
              <w:ind w:right="2780"/>
              <w:spacing w:after="0"/>
              <w:rPr>
                <w:sz w:val="20"/>
                <w:szCs w:val="20"/>
                <w:color w:val="auto"/>
              </w:rPr>
            </w:pPr>
            <w:r>
              <w:rPr>
                <w:rFonts w:ascii="Arial" w:cs="Arial" w:eastAsia="Arial" w:hAnsi="Arial"/>
                <w:sz w:val="18"/>
                <w:szCs w:val="18"/>
                <w:b w:val="1"/>
                <w:bCs w:val="1"/>
                <w:color w:val="auto"/>
                <w:w w:val="98"/>
              </w:rPr>
              <w:t>TABLE OF CONTENTS</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40" w:type="dxa"/>
            <w:vAlign w:val="bottom"/>
            <w:gridSpan w:val="4"/>
          </w:tcPr>
          <w:p>
            <w:pPr>
              <w:ind w:left="46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580" w:type="dxa"/>
            <w:vAlign w:val="bottom"/>
            <w:vMerge w:val="restart"/>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PART I</w:t>
              </w:r>
            </w:hyperlink>
          </w:p>
        </w:tc>
        <w:tc>
          <w:tcPr>
            <w:tcW w:w="9560" w:type="dxa"/>
            <w:vAlign w:val="bottom"/>
            <w:gridSpan w:val="19"/>
            <w:vMerge w:val="restart"/>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580" w:type="dxa"/>
            <w:vAlign w:val="bottom"/>
            <w:tcBorders>
              <w:bottom w:val="single" w:sz="8" w:color="0000FF"/>
            </w:tcBorders>
            <w:vMerge w:val="continue"/>
          </w:tcPr>
          <w:p>
            <w:pPr>
              <w:spacing w:after="0"/>
              <w:rPr>
                <w:sz w:val="14"/>
                <w:szCs w:val="14"/>
                <w:color w:val="auto"/>
              </w:rPr>
            </w:pPr>
          </w:p>
        </w:tc>
        <w:tc>
          <w:tcPr>
            <w:tcW w:w="9560" w:type="dxa"/>
            <w:vAlign w:val="bottom"/>
            <w:gridSpan w:val="19"/>
            <w:vMerge w:val="continue"/>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580" w:type="dxa"/>
            <w:vAlign w:val="bottom"/>
          </w:tcPr>
          <w:p>
            <w:pPr>
              <w:spacing w:after="0"/>
              <w:rPr>
                <w:sz w:val="24"/>
                <w:szCs w:val="24"/>
                <w:color w:val="auto"/>
              </w:rPr>
            </w:pPr>
          </w:p>
        </w:tc>
        <w:tc>
          <w:tcPr>
            <w:tcW w:w="940" w:type="dxa"/>
            <w:vAlign w:val="bottom"/>
            <w:gridSpan w:val="2"/>
          </w:tcPr>
          <w:p>
            <w:pPr>
              <w:spacing w:after="0"/>
              <w:rPr>
                <w:rFonts w:ascii="Arial" w:cs="Arial" w:eastAsia="Arial" w:hAnsi="Arial"/>
                <w:sz w:val="16"/>
                <w:szCs w:val="16"/>
                <w:color w:val="0000EE"/>
                <w:w w:val="77"/>
              </w:rPr>
            </w:pPr>
            <w:hyperlink w:anchor="page4">
              <w:r>
                <w:rPr>
                  <w:rFonts w:ascii="Arial" w:cs="Arial" w:eastAsia="Arial" w:hAnsi="Arial"/>
                  <w:sz w:val="16"/>
                  <w:szCs w:val="16"/>
                  <w:color w:val="0000EE"/>
                  <w:w w:val="77"/>
                </w:rPr>
                <w:t>Item 1. Business</w:t>
              </w:r>
            </w:hyperlink>
          </w:p>
        </w:tc>
        <w:tc>
          <w:tcPr>
            <w:tcW w:w="8620" w:type="dxa"/>
            <w:vAlign w:val="bottom"/>
            <w:gridSpan w:val="17"/>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300" w:type="dxa"/>
            <w:vAlign w:val="bottom"/>
            <w:gridSpan w:val="4"/>
          </w:tcPr>
          <w:p>
            <w:pPr>
              <w:spacing w:after="0"/>
              <w:rPr>
                <w:rFonts w:ascii="Arial" w:cs="Arial" w:eastAsia="Arial" w:hAnsi="Arial"/>
                <w:sz w:val="16"/>
                <w:szCs w:val="16"/>
                <w:color w:val="0000EE"/>
                <w:w w:val="83"/>
              </w:rPr>
            </w:pPr>
            <w:hyperlink w:anchor="page12">
              <w:r>
                <w:rPr>
                  <w:rFonts w:ascii="Arial" w:cs="Arial" w:eastAsia="Arial" w:hAnsi="Arial"/>
                  <w:sz w:val="16"/>
                  <w:szCs w:val="16"/>
                  <w:color w:val="0000EE"/>
                  <w:w w:val="83"/>
                </w:rPr>
                <w:t>Item 1A. Risk Factors</w:t>
              </w:r>
            </w:hyperlink>
          </w:p>
        </w:tc>
        <w:tc>
          <w:tcPr>
            <w:tcW w:w="8260" w:type="dxa"/>
            <w:vAlign w:val="bottom"/>
            <w:gridSpan w:val="15"/>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12">
              <w:r>
                <w:rPr>
                  <w:rFonts w:ascii="Arial" w:cs="Arial" w:eastAsia="Arial" w:hAnsi="Arial"/>
                  <w:sz w:val="16"/>
                  <w:szCs w:val="16"/>
                  <w:color w:val="0000FF"/>
                </w:rPr>
                <w:t>12</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9560" w:type="dxa"/>
            <w:vAlign w:val="bottom"/>
            <w:gridSpan w:val="19"/>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Item 1B. Unresolved Staff Comment</w:t>
              </w:r>
            </w:hyperlink>
            <w:r>
              <w:rPr>
                <w:rFonts w:ascii="Arial" w:cs="Arial" w:eastAsia="Arial" w:hAnsi="Arial"/>
                <w:sz w:val="16"/>
                <w:szCs w:val="16"/>
                <w:color w:val="000000"/>
              </w:rPr>
              <w:t>s</w:t>
            </w:r>
          </w:p>
        </w:tc>
        <w:tc>
          <w:tcPr>
            <w:tcW w:w="1240" w:type="dxa"/>
            <w:vAlign w:val="bottom"/>
            <w:gridSpan w:val="4"/>
          </w:tcPr>
          <w:p>
            <w:pPr>
              <w:jc w:val="right"/>
              <w:ind w:right="20"/>
              <w:spacing w:after="0"/>
              <w:rPr>
                <w:rFonts w:ascii="Arial" w:cs="Arial" w:eastAsia="Arial" w:hAnsi="Arial"/>
                <w:sz w:val="16"/>
                <w:szCs w:val="16"/>
                <w:color w:val="0000FF"/>
              </w:rPr>
            </w:pPr>
            <w:hyperlink w:anchor="page24">
              <w:r>
                <w:rPr>
                  <w:rFonts w:ascii="Arial" w:cs="Arial" w:eastAsia="Arial" w:hAnsi="Arial"/>
                  <w:sz w:val="16"/>
                  <w:szCs w:val="16"/>
                  <w:color w:val="0000FF"/>
                </w:rPr>
                <w:t>25</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020" w:type="dxa"/>
            <w:vAlign w:val="bottom"/>
            <w:gridSpan w:val="3"/>
          </w:tcPr>
          <w:p>
            <w:pPr>
              <w:spacing w:after="0"/>
              <w:rPr>
                <w:rFonts w:ascii="Arial" w:cs="Arial" w:eastAsia="Arial" w:hAnsi="Arial"/>
                <w:sz w:val="16"/>
                <w:szCs w:val="16"/>
                <w:color w:val="0000EE"/>
                <w:w w:val="79"/>
              </w:rPr>
            </w:pPr>
            <w:hyperlink w:anchor="page25">
              <w:r>
                <w:rPr>
                  <w:rFonts w:ascii="Arial" w:cs="Arial" w:eastAsia="Arial" w:hAnsi="Arial"/>
                  <w:sz w:val="16"/>
                  <w:szCs w:val="16"/>
                  <w:color w:val="0000EE"/>
                  <w:w w:val="79"/>
                </w:rPr>
                <w:t>Item 2. Properties</w:t>
              </w:r>
            </w:hyperlink>
          </w:p>
        </w:tc>
        <w:tc>
          <w:tcPr>
            <w:tcW w:w="1220" w:type="dxa"/>
            <w:vAlign w:val="bottom"/>
            <w:gridSpan w:val="6"/>
          </w:tcPr>
          <w:p>
            <w:pPr>
              <w:spacing w:after="0"/>
              <w:rPr>
                <w:sz w:val="20"/>
                <w:szCs w:val="20"/>
                <w:color w:val="auto"/>
              </w:rPr>
            </w:pPr>
          </w:p>
        </w:tc>
        <w:tc>
          <w:tcPr>
            <w:tcW w:w="7320" w:type="dxa"/>
            <w:vAlign w:val="bottom"/>
            <w:gridSpan w:val="10"/>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25">
              <w:r>
                <w:rPr>
                  <w:rFonts w:ascii="Arial" w:cs="Arial" w:eastAsia="Arial" w:hAnsi="Arial"/>
                  <w:sz w:val="16"/>
                  <w:szCs w:val="16"/>
                  <w:color w:val="0000FF"/>
                </w:rPr>
                <w:t>25</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9560" w:type="dxa"/>
            <w:vAlign w:val="bottom"/>
            <w:gridSpan w:val="19"/>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Item 3. Legal Proceedings</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25">
              <w:r>
                <w:rPr>
                  <w:rFonts w:ascii="Arial" w:cs="Arial" w:eastAsia="Arial" w:hAnsi="Arial"/>
                  <w:sz w:val="16"/>
                  <w:szCs w:val="16"/>
                  <w:color w:val="0000FF"/>
                </w:rPr>
                <w:t>25</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940" w:type="dxa"/>
            <w:vAlign w:val="bottom"/>
            <w:gridSpan w:val="7"/>
          </w:tcPr>
          <w:p>
            <w:pPr>
              <w:spacing w:after="0"/>
              <w:rPr>
                <w:rFonts w:ascii="Arial" w:cs="Arial" w:eastAsia="Arial" w:hAnsi="Arial"/>
                <w:sz w:val="16"/>
                <w:szCs w:val="16"/>
                <w:color w:val="0000EE"/>
                <w:w w:val="84"/>
              </w:rPr>
            </w:pPr>
            <w:hyperlink w:anchor="page25">
              <w:r>
                <w:rPr>
                  <w:rFonts w:ascii="Arial" w:cs="Arial" w:eastAsia="Arial" w:hAnsi="Arial"/>
                  <w:sz w:val="16"/>
                  <w:szCs w:val="16"/>
                  <w:color w:val="0000EE"/>
                  <w:w w:val="84"/>
                </w:rPr>
                <w:t>Item 4. Mine Safety Disclosures</w:t>
              </w:r>
            </w:hyperlink>
          </w:p>
        </w:tc>
        <w:tc>
          <w:tcPr>
            <w:tcW w:w="7620" w:type="dxa"/>
            <w:vAlign w:val="bottom"/>
            <w:gridSpan w:val="12"/>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25">
              <w:r>
                <w:rPr>
                  <w:rFonts w:ascii="Arial" w:cs="Arial" w:eastAsia="Arial" w:hAnsi="Arial"/>
                  <w:sz w:val="16"/>
                  <w:szCs w:val="16"/>
                  <w:color w:val="0000FF"/>
                </w:rPr>
                <w:t>26</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0" w:type="dxa"/>
            <w:vAlign w:val="bottom"/>
            <w:tcBorders>
              <w:bottom w:val="single" w:sz="8" w:color="0000FF"/>
            </w:tcBorders>
          </w:tcPr>
          <w:p>
            <w:pPr>
              <w:spacing w:after="0"/>
              <w:rPr>
                <w:rFonts w:ascii="Arial" w:cs="Arial" w:eastAsia="Arial" w:hAnsi="Arial"/>
                <w:sz w:val="16"/>
                <w:szCs w:val="16"/>
                <w:color w:val="0000FF"/>
                <w:w w:val="96"/>
              </w:rPr>
            </w:pPr>
            <w:hyperlink w:anchor="page26">
              <w:r>
                <w:rPr>
                  <w:rFonts w:ascii="Arial" w:cs="Arial" w:eastAsia="Arial" w:hAnsi="Arial"/>
                  <w:sz w:val="16"/>
                  <w:szCs w:val="16"/>
                  <w:color w:val="0000FF"/>
                  <w:w w:val="96"/>
                </w:rPr>
                <w:t>PART II</w:t>
              </w:r>
            </w:hyperlink>
          </w:p>
        </w:tc>
        <w:tc>
          <w:tcPr>
            <w:tcW w:w="9560" w:type="dxa"/>
            <w:vAlign w:val="bottom"/>
            <w:gridSpan w:val="19"/>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7620" w:type="dxa"/>
            <w:vAlign w:val="bottom"/>
            <w:gridSpan w:val="18"/>
          </w:tcPr>
          <w:p>
            <w:pPr>
              <w:spacing w:after="0"/>
              <w:rPr>
                <w:rFonts w:ascii="Arial" w:cs="Arial" w:eastAsia="Arial" w:hAnsi="Arial"/>
                <w:sz w:val="16"/>
                <w:szCs w:val="16"/>
                <w:color w:val="0000EE"/>
                <w:w w:val="90"/>
              </w:rPr>
            </w:pPr>
            <w:hyperlink w:anchor="page26">
              <w:r>
                <w:rPr>
                  <w:rFonts w:ascii="Arial" w:cs="Arial" w:eastAsia="Arial" w:hAnsi="Arial"/>
                  <w:sz w:val="16"/>
                  <w:szCs w:val="16"/>
                  <w:color w:val="0000EE"/>
                  <w:w w:val="90"/>
                </w:rPr>
                <w:t>Item 5. Market for Registrant's Common Equity, Related Stockholder Matters and Issuer Purchases of Equity Securities</w:t>
              </w:r>
            </w:hyperlink>
          </w:p>
        </w:tc>
        <w:tc>
          <w:tcPr>
            <w:tcW w:w="1940" w:type="dxa"/>
            <w:vAlign w:val="bottom"/>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26">
              <w:r>
                <w:rPr>
                  <w:rFonts w:ascii="Arial" w:cs="Arial" w:eastAsia="Arial" w:hAnsi="Arial"/>
                  <w:sz w:val="16"/>
                  <w:szCs w:val="16"/>
                  <w:color w:val="0000FF"/>
                </w:rPr>
                <w:t>26</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940" w:type="dxa"/>
            <w:vAlign w:val="bottom"/>
            <w:gridSpan w:val="7"/>
          </w:tcPr>
          <w:p>
            <w:pPr>
              <w:spacing w:after="0"/>
              <w:rPr>
                <w:rFonts w:ascii="Arial" w:cs="Arial" w:eastAsia="Arial" w:hAnsi="Arial"/>
                <w:sz w:val="16"/>
                <w:szCs w:val="16"/>
                <w:color w:val="0000EE"/>
                <w:w w:val="85"/>
              </w:rPr>
            </w:pPr>
            <w:hyperlink w:anchor="page27">
              <w:r>
                <w:rPr>
                  <w:rFonts w:ascii="Arial" w:cs="Arial" w:eastAsia="Arial" w:hAnsi="Arial"/>
                  <w:sz w:val="16"/>
                  <w:szCs w:val="16"/>
                  <w:color w:val="0000EE"/>
                  <w:w w:val="85"/>
                </w:rPr>
                <w:t>Item 6. Selected Financial Data</w:t>
              </w:r>
            </w:hyperlink>
          </w:p>
        </w:tc>
        <w:tc>
          <w:tcPr>
            <w:tcW w:w="5680" w:type="dxa"/>
            <w:vAlign w:val="bottom"/>
            <w:gridSpan w:val="11"/>
          </w:tcPr>
          <w:p>
            <w:pPr>
              <w:spacing w:after="0"/>
              <w:rPr>
                <w:sz w:val="20"/>
                <w:szCs w:val="20"/>
                <w:color w:val="auto"/>
              </w:rPr>
            </w:pPr>
          </w:p>
        </w:tc>
        <w:tc>
          <w:tcPr>
            <w:tcW w:w="1940" w:type="dxa"/>
            <w:vAlign w:val="bottom"/>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27">
              <w:r>
                <w:rPr>
                  <w:rFonts w:ascii="Arial" w:cs="Arial" w:eastAsia="Arial" w:hAnsi="Arial"/>
                  <w:sz w:val="16"/>
                  <w:szCs w:val="16"/>
                  <w:color w:val="0000FF"/>
                </w:rPr>
                <w:t>27</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9560" w:type="dxa"/>
            <w:vAlign w:val="bottom"/>
            <w:gridSpan w:val="19"/>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Item 7. Management's Discussion and Analysis of Financial Condition and Results of Operations</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28">
              <w:r>
                <w:rPr>
                  <w:rFonts w:ascii="Arial" w:cs="Arial" w:eastAsia="Arial" w:hAnsi="Arial"/>
                  <w:sz w:val="16"/>
                  <w:szCs w:val="16"/>
                  <w:color w:val="0000FF"/>
                </w:rPr>
                <w:t>28</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6200" w:type="dxa"/>
            <w:vAlign w:val="bottom"/>
            <w:gridSpan w:val="15"/>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Item 7A. Quantitative and Qualitative Disclosures About Market Risk</w:t>
              </w:r>
            </w:hyperlink>
          </w:p>
        </w:tc>
        <w:tc>
          <w:tcPr>
            <w:tcW w:w="3360" w:type="dxa"/>
            <w:vAlign w:val="bottom"/>
            <w:gridSpan w:val="4"/>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6">
              <w:r>
                <w:rPr>
                  <w:rFonts w:ascii="Arial" w:cs="Arial" w:eastAsia="Arial" w:hAnsi="Arial"/>
                  <w:sz w:val="16"/>
                  <w:szCs w:val="16"/>
                  <w:color w:val="0000FF"/>
                </w:rPr>
                <w:t>46</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3380" w:type="dxa"/>
            <w:vAlign w:val="bottom"/>
            <w:gridSpan w:val="11"/>
          </w:tcPr>
          <w:p>
            <w:pPr>
              <w:spacing w:after="0"/>
              <w:rPr>
                <w:rFonts w:ascii="Arial" w:cs="Arial" w:eastAsia="Arial" w:hAnsi="Arial"/>
                <w:sz w:val="16"/>
                <w:szCs w:val="16"/>
                <w:color w:val="0000EE"/>
                <w:w w:val="86"/>
              </w:rPr>
            </w:pPr>
            <w:hyperlink w:anchor="page47">
              <w:r>
                <w:rPr>
                  <w:rFonts w:ascii="Arial" w:cs="Arial" w:eastAsia="Arial" w:hAnsi="Arial"/>
                  <w:sz w:val="16"/>
                  <w:szCs w:val="16"/>
                  <w:color w:val="0000EE"/>
                  <w:w w:val="86"/>
                </w:rPr>
                <w:t>Item 8. Financial Statements and Supplementary Data</w:t>
              </w:r>
            </w:hyperlink>
          </w:p>
        </w:tc>
        <w:tc>
          <w:tcPr>
            <w:tcW w:w="1060" w:type="dxa"/>
            <w:vAlign w:val="bottom"/>
            <w:gridSpan w:val="2"/>
          </w:tcPr>
          <w:p>
            <w:pPr>
              <w:spacing w:after="0"/>
              <w:rPr>
                <w:sz w:val="20"/>
                <w:szCs w:val="20"/>
                <w:color w:val="auto"/>
              </w:rPr>
            </w:pPr>
          </w:p>
        </w:tc>
        <w:tc>
          <w:tcPr>
            <w:tcW w:w="5120" w:type="dxa"/>
            <w:vAlign w:val="bottom"/>
            <w:gridSpan w:val="6"/>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7">
              <w:r>
                <w:rPr>
                  <w:rFonts w:ascii="Arial" w:cs="Arial" w:eastAsia="Arial" w:hAnsi="Arial"/>
                  <w:sz w:val="16"/>
                  <w:szCs w:val="16"/>
                  <w:color w:val="0000FF"/>
                </w:rPr>
                <w:t>47</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6300" w:type="dxa"/>
            <w:vAlign w:val="bottom"/>
            <w:gridSpan w:val="16"/>
          </w:tcPr>
          <w:p>
            <w:pPr>
              <w:spacing w:after="0"/>
              <w:rPr>
                <w:rFonts w:ascii="Arial" w:cs="Arial" w:eastAsia="Arial" w:hAnsi="Arial"/>
                <w:sz w:val="16"/>
                <w:szCs w:val="16"/>
                <w:color w:val="0000EE"/>
                <w:w w:val="90"/>
              </w:rPr>
            </w:pPr>
            <w:hyperlink w:anchor="page47">
              <w:r>
                <w:rPr>
                  <w:rFonts w:ascii="Arial" w:cs="Arial" w:eastAsia="Arial" w:hAnsi="Arial"/>
                  <w:sz w:val="16"/>
                  <w:szCs w:val="16"/>
                  <w:color w:val="0000EE"/>
                  <w:w w:val="90"/>
                </w:rPr>
                <w:t>Item 9. Changes in and Disagreements with Accountants on Accounting and Financial Disclosures</w:t>
              </w:r>
            </w:hyperlink>
          </w:p>
        </w:tc>
        <w:tc>
          <w:tcPr>
            <w:tcW w:w="3260" w:type="dxa"/>
            <w:vAlign w:val="bottom"/>
            <w:gridSpan w:val="3"/>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7">
              <w:r>
                <w:rPr>
                  <w:rFonts w:ascii="Arial" w:cs="Arial" w:eastAsia="Arial" w:hAnsi="Arial"/>
                  <w:sz w:val="16"/>
                  <w:szCs w:val="16"/>
                  <w:color w:val="0000FF"/>
                </w:rPr>
                <w:t>47</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2100" w:type="dxa"/>
            <w:vAlign w:val="bottom"/>
            <w:gridSpan w:val="8"/>
          </w:tcPr>
          <w:p>
            <w:pPr>
              <w:spacing w:after="0"/>
              <w:rPr>
                <w:rFonts w:ascii="Arial" w:cs="Arial" w:eastAsia="Arial" w:hAnsi="Arial"/>
                <w:sz w:val="16"/>
                <w:szCs w:val="16"/>
                <w:color w:val="0000EE"/>
                <w:w w:val="85"/>
              </w:rPr>
            </w:pPr>
            <w:hyperlink w:anchor="page47">
              <w:r>
                <w:rPr>
                  <w:rFonts w:ascii="Arial" w:cs="Arial" w:eastAsia="Arial" w:hAnsi="Arial"/>
                  <w:sz w:val="16"/>
                  <w:szCs w:val="16"/>
                  <w:color w:val="0000EE"/>
                  <w:w w:val="85"/>
                </w:rPr>
                <w:t>Item 9A. Controls and Procedures</w:t>
              </w:r>
            </w:hyperlink>
          </w:p>
        </w:tc>
        <w:tc>
          <w:tcPr>
            <w:tcW w:w="4200" w:type="dxa"/>
            <w:vAlign w:val="bottom"/>
            <w:gridSpan w:val="8"/>
          </w:tcPr>
          <w:p>
            <w:pPr>
              <w:spacing w:after="0"/>
              <w:rPr>
                <w:sz w:val="20"/>
                <w:szCs w:val="20"/>
                <w:color w:val="auto"/>
              </w:rPr>
            </w:pPr>
          </w:p>
        </w:tc>
        <w:tc>
          <w:tcPr>
            <w:tcW w:w="3260" w:type="dxa"/>
            <w:vAlign w:val="bottom"/>
            <w:gridSpan w:val="3"/>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7">
              <w:r>
                <w:rPr>
                  <w:rFonts w:ascii="Arial" w:cs="Arial" w:eastAsia="Arial" w:hAnsi="Arial"/>
                  <w:sz w:val="16"/>
                  <w:szCs w:val="16"/>
                  <w:color w:val="0000FF"/>
                </w:rPr>
                <w:t>47</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700" w:type="dxa"/>
            <w:vAlign w:val="bottom"/>
            <w:gridSpan w:val="6"/>
          </w:tcPr>
          <w:p>
            <w:pPr>
              <w:spacing w:after="0"/>
              <w:rPr>
                <w:rFonts w:ascii="Arial" w:cs="Arial" w:eastAsia="Arial" w:hAnsi="Arial"/>
                <w:sz w:val="16"/>
                <w:szCs w:val="16"/>
                <w:color w:val="0000EE"/>
                <w:w w:val="89"/>
              </w:rPr>
            </w:pPr>
            <w:hyperlink w:anchor="page48">
              <w:r>
                <w:rPr>
                  <w:rFonts w:ascii="Arial" w:cs="Arial" w:eastAsia="Arial" w:hAnsi="Arial"/>
                  <w:sz w:val="16"/>
                  <w:szCs w:val="16"/>
                  <w:color w:val="0000EE"/>
                  <w:w w:val="89"/>
                </w:rPr>
                <w:t>Item 9B. Other Information</w:t>
              </w:r>
            </w:hyperlink>
          </w:p>
        </w:tc>
        <w:tc>
          <w:tcPr>
            <w:tcW w:w="400" w:type="dxa"/>
            <w:vAlign w:val="bottom"/>
            <w:gridSpan w:val="2"/>
          </w:tcPr>
          <w:p>
            <w:pPr>
              <w:spacing w:after="0"/>
              <w:rPr>
                <w:sz w:val="20"/>
                <w:szCs w:val="20"/>
                <w:color w:val="auto"/>
              </w:rPr>
            </w:pPr>
          </w:p>
        </w:tc>
        <w:tc>
          <w:tcPr>
            <w:tcW w:w="7460" w:type="dxa"/>
            <w:vAlign w:val="bottom"/>
            <w:gridSpan w:val="11"/>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8">
              <w:r>
                <w:rPr>
                  <w:rFonts w:ascii="Arial" w:cs="Arial" w:eastAsia="Arial" w:hAnsi="Arial"/>
                  <w:sz w:val="16"/>
                  <w:szCs w:val="16"/>
                  <w:color w:val="0000FF"/>
                </w:rPr>
                <w:t>48</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20"/>
          </w:tcPr>
          <w:p>
            <w:pPr>
              <w:spacing w:after="0"/>
              <w:rPr>
                <w:rFonts w:ascii="Arial" w:cs="Arial" w:eastAsia="Arial" w:hAnsi="Arial"/>
                <w:sz w:val="16"/>
                <w:szCs w:val="16"/>
                <w:color w:val="0000FF"/>
              </w:rPr>
            </w:pPr>
            <w:hyperlink w:anchor="page26">
              <w:r>
                <w:rPr>
                  <w:rFonts w:ascii="Arial" w:cs="Arial" w:eastAsia="Arial" w:hAnsi="Arial"/>
                  <w:sz w:val="16"/>
                  <w:szCs w:val="16"/>
                  <w:color w:val="0000FF"/>
                </w:rPr>
                <w:t>PART III</w:t>
              </w:r>
            </w:hyperlink>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9560" w:type="dxa"/>
            <w:vAlign w:val="bottom"/>
            <w:gridSpan w:val="19"/>
          </w:tcPr>
          <w:p>
            <w:pPr>
              <w:spacing w:after="0"/>
              <w:rPr>
                <w:rFonts w:ascii="Arial" w:cs="Arial" w:eastAsia="Arial" w:hAnsi="Arial"/>
                <w:sz w:val="16"/>
                <w:szCs w:val="16"/>
                <w:color w:val="0000EE"/>
              </w:rPr>
            </w:pPr>
            <w:hyperlink w:anchor="page48">
              <w:r>
                <w:rPr>
                  <w:rFonts w:ascii="Arial" w:cs="Arial" w:eastAsia="Arial" w:hAnsi="Arial"/>
                  <w:sz w:val="16"/>
                  <w:szCs w:val="16"/>
                  <w:color w:val="0000EE"/>
                </w:rPr>
                <w:t>Item 10. Directors, Executive Officers and Corporate Governance</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48">
              <w:r>
                <w:rPr>
                  <w:rFonts w:ascii="Arial" w:cs="Arial" w:eastAsia="Arial" w:hAnsi="Arial"/>
                  <w:sz w:val="16"/>
                  <w:szCs w:val="16"/>
                  <w:color w:val="0000FF"/>
                </w:rPr>
                <w:t>49</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9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160" w:type="dxa"/>
            <w:vAlign w:val="bottom"/>
            <w:gridSpan w:val="12"/>
          </w:tcPr>
          <w:p>
            <w:pPr>
              <w:spacing w:after="0"/>
              <w:rPr>
                <w:rFonts w:ascii="Arial" w:cs="Arial" w:eastAsia="Arial" w:hAnsi="Arial"/>
                <w:sz w:val="16"/>
                <w:szCs w:val="16"/>
                <w:color w:val="0000EE"/>
              </w:rPr>
            </w:pPr>
            <w:hyperlink w:anchor="page48">
              <w:r>
                <w:rPr>
                  <w:rFonts w:ascii="Arial" w:cs="Arial" w:eastAsia="Arial" w:hAnsi="Arial"/>
                  <w:sz w:val="16"/>
                  <w:szCs w:val="16"/>
                  <w:color w:val="0000EE"/>
                </w:rPr>
                <w:t>Item 11. Executive Compensation</w:t>
              </w:r>
            </w:hyperlink>
          </w:p>
        </w:tc>
        <w:tc>
          <w:tcPr>
            <w:tcW w:w="5400" w:type="dxa"/>
            <w:vAlign w:val="bottom"/>
            <w:gridSpan w:val="7"/>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8">
              <w:r>
                <w:rPr>
                  <w:rFonts w:ascii="Arial" w:cs="Arial" w:eastAsia="Arial" w:hAnsi="Arial"/>
                  <w:sz w:val="16"/>
                  <w:szCs w:val="16"/>
                  <w:color w:val="0000FF"/>
                </w:rPr>
                <w:t>49</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9560" w:type="dxa"/>
            <w:vAlign w:val="bottom"/>
            <w:gridSpan w:val="19"/>
          </w:tcPr>
          <w:p>
            <w:pPr>
              <w:spacing w:after="0"/>
              <w:rPr>
                <w:rFonts w:ascii="Arial" w:cs="Arial" w:eastAsia="Arial" w:hAnsi="Arial"/>
                <w:sz w:val="16"/>
                <w:szCs w:val="16"/>
                <w:color w:val="0000EE"/>
              </w:rPr>
            </w:pPr>
            <w:hyperlink w:anchor="page48">
              <w:r>
                <w:rPr>
                  <w:rFonts w:ascii="Arial" w:cs="Arial" w:eastAsia="Arial" w:hAnsi="Arial"/>
                  <w:sz w:val="16"/>
                  <w:szCs w:val="16"/>
                  <w:color w:val="0000EE"/>
                </w:rPr>
                <w:t>Item 12. Security Ownership of Certain Beneficial Owners and Management and Related Stockholder Matter</w:t>
              </w:r>
            </w:hyperlink>
            <w:r>
              <w:rPr>
                <w:rFonts w:ascii="Arial" w:cs="Arial" w:eastAsia="Arial" w:hAnsi="Arial"/>
                <w:sz w:val="16"/>
                <w:szCs w:val="16"/>
                <w:color w:val="000000"/>
              </w:rPr>
              <w:t>s</w:t>
            </w:r>
          </w:p>
        </w:tc>
        <w:tc>
          <w:tcPr>
            <w:tcW w:w="1240" w:type="dxa"/>
            <w:vAlign w:val="bottom"/>
            <w:gridSpan w:val="4"/>
          </w:tcPr>
          <w:p>
            <w:pPr>
              <w:jc w:val="right"/>
              <w:ind w:right="20"/>
              <w:spacing w:after="0"/>
              <w:rPr>
                <w:rFonts w:ascii="Arial" w:cs="Arial" w:eastAsia="Arial" w:hAnsi="Arial"/>
                <w:sz w:val="16"/>
                <w:szCs w:val="16"/>
                <w:color w:val="0000FF"/>
              </w:rPr>
            </w:pPr>
            <w:hyperlink w:anchor="page48">
              <w:r>
                <w:rPr>
                  <w:rFonts w:ascii="Arial" w:cs="Arial" w:eastAsia="Arial" w:hAnsi="Arial"/>
                  <w:sz w:val="16"/>
                  <w:szCs w:val="16"/>
                  <w:color w:val="0000FF"/>
                </w:rPr>
                <w:t>49</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5160" w:type="dxa"/>
            <w:vAlign w:val="bottom"/>
            <w:gridSpan w:val="14"/>
          </w:tcPr>
          <w:p>
            <w:pPr>
              <w:spacing w:after="0"/>
              <w:rPr>
                <w:rFonts w:ascii="Arial" w:cs="Arial" w:eastAsia="Arial" w:hAnsi="Arial"/>
                <w:sz w:val="16"/>
                <w:szCs w:val="16"/>
                <w:color w:val="0000EE"/>
                <w:w w:val="89"/>
              </w:rPr>
            </w:pPr>
            <w:hyperlink w:anchor="page48">
              <w:r>
                <w:rPr>
                  <w:rFonts w:ascii="Arial" w:cs="Arial" w:eastAsia="Arial" w:hAnsi="Arial"/>
                  <w:sz w:val="16"/>
                  <w:szCs w:val="16"/>
                  <w:color w:val="0000EE"/>
                  <w:w w:val="89"/>
                </w:rPr>
                <w:t>Item 13. Certain Relationships, Related Transactions, and Director Independence</w:t>
              </w:r>
            </w:hyperlink>
          </w:p>
        </w:tc>
        <w:tc>
          <w:tcPr>
            <w:tcW w:w="1820" w:type="dxa"/>
            <w:vAlign w:val="bottom"/>
            <w:gridSpan w:val="3"/>
          </w:tcPr>
          <w:p>
            <w:pPr>
              <w:spacing w:after="0"/>
              <w:rPr>
                <w:sz w:val="20"/>
                <w:szCs w:val="20"/>
                <w:color w:val="auto"/>
              </w:rPr>
            </w:pPr>
          </w:p>
        </w:tc>
        <w:tc>
          <w:tcPr>
            <w:tcW w:w="2580" w:type="dxa"/>
            <w:vAlign w:val="bottom"/>
            <w:gridSpan w:val="2"/>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8">
              <w:r>
                <w:rPr>
                  <w:rFonts w:ascii="Arial" w:cs="Arial" w:eastAsia="Arial" w:hAnsi="Arial"/>
                  <w:sz w:val="16"/>
                  <w:szCs w:val="16"/>
                  <w:color w:val="0000FF"/>
                </w:rPr>
                <w:t>49</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3060" w:type="dxa"/>
            <w:vAlign w:val="bottom"/>
            <w:gridSpan w:val="10"/>
          </w:tcPr>
          <w:p>
            <w:pPr>
              <w:spacing w:after="0"/>
              <w:rPr>
                <w:rFonts w:ascii="Arial" w:cs="Arial" w:eastAsia="Arial" w:hAnsi="Arial"/>
                <w:sz w:val="16"/>
                <w:szCs w:val="16"/>
                <w:color w:val="0000EE"/>
                <w:w w:val="88"/>
              </w:rPr>
            </w:pPr>
            <w:hyperlink w:anchor="page48">
              <w:r>
                <w:rPr>
                  <w:rFonts w:ascii="Arial" w:cs="Arial" w:eastAsia="Arial" w:hAnsi="Arial"/>
                  <w:sz w:val="16"/>
                  <w:szCs w:val="16"/>
                  <w:color w:val="0000EE"/>
                  <w:w w:val="88"/>
                </w:rPr>
                <w:t>Item 14. Principal Accountant Fees and Services</w:t>
              </w:r>
            </w:hyperlink>
          </w:p>
        </w:tc>
        <w:tc>
          <w:tcPr>
            <w:tcW w:w="2100" w:type="dxa"/>
            <w:vAlign w:val="bottom"/>
            <w:gridSpan w:val="4"/>
          </w:tcPr>
          <w:p>
            <w:pPr>
              <w:spacing w:after="0"/>
              <w:rPr>
                <w:sz w:val="20"/>
                <w:szCs w:val="20"/>
                <w:color w:val="auto"/>
              </w:rPr>
            </w:pPr>
          </w:p>
        </w:tc>
        <w:tc>
          <w:tcPr>
            <w:tcW w:w="4400" w:type="dxa"/>
            <w:vAlign w:val="bottom"/>
            <w:gridSpan w:val="5"/>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8">
              <w:r>
                <w:rPr>
                  <w:rFonts w:ascii="Arial" w:cs="Arial" w:eastAsia="Arial" w:hAnsi="Arial"/>
                  <w:sz w:val="16"/>
                  <w:szCs w:val="16"/>
                  <w:color w:val="0000FF"/>
                </w:rPr>
                <w:t>49</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Borders>
              <w:bottom w:val="single" w:sz="8" w:color="0000FF"/>
            </w:tcBorders>
          </w:tcPr>
          <w:p>
            <w:pPr>
              <w:spacing w:after="0"/>
              <w:rPr>
                <w:rFonts w:ascii="Arial" w:cs="Arial" w:eastAsia="Arial" w:hAnsi="Arial"/>
                <w:sz w:val="16"/>
                <w:szCs w:val="16"/>
                <w:color w:val="0000FF"/>
                <w:w w:val="86"/>
              </w:rPr>
            </w:pPr>
            <w:hyperlink w:anchor="page26">
              <w:r>
                <w:rPr>
                  <w:rFonts w:ascii="Arial" w:cs="Arial" w:eastAsia="Arial" w:hAnsi="Arial"/>
                  <w:sz w:val="16"/>
                  <w:szCs w:val="16"/>
                  <w:color w:val="0000FF"/>
                  <w:w w:val="86"/>
                </w:rPr>
                <w:t>PART IV</w:t>
              </w:r>
            </w:hyperlink>
          </w:p>
        </w:tc>
        <w:tc>
          <w:tcPr>
            <w:tcW w:w="9560" w:type="dxa"/>
            <w:vAlign w:val="bottom"/>
            <w:gridSpan w:val="19"/>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580" w:type="dxa"/>
            <w:vAlign w:val="bottom"/>
          </w:tcPr>
          <w:p>
            <w:pPr>
              <w:spacing w:after="0"/>
              <w:rPr>
                <w:sz w:val="24"/>
                <w:szCs w:val="24"/>
                <w:color w:val="auto"/>
              </w:rPr>
            </w:pPr>
          </w:p>
        </w:tc>
        <w:tc>
          <w:tcPr>
            <w:tcW w:w="9560" w:type="dxa"/>
            <w:vAlign w:val="bottom"/>
            <w:gridSpan w:val="19"/>
          </w:tcPr>
          <w:p>
            <w:pPr>
              <w:spacing w:after="0"/>
              <w:rPr>
                <w:rFonts w:ascii="Arial" w:cs="Arial" w:eastAsia="Arial" w:hAnsi="Arial"/>
                <w:sz w:val="16"/>
                <w:szCs w:val="16"/>
                <w:color w:val="0000EE"/>
              </w:rPr>
            </w:pPr>
            <w:hyperlink w:anchor="page61">
              <w:r>
                <w:rPr>
                  <w:rFonts w:ascii="Arial" w:cs="Arial" w:eastAsia="Arial" w:hAnsi="Arial"/>
                  <w:sz w:val="16"/>
                  <w:szCs w:val="16"/>
                  <w:color w:val="0000EE"/>
                </w:rPr>
                <w:t>Item 15. Exhibits and Financial Statements Schedules</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50">
              <w:r>
                <w:rPr>
                  <w:rFonts w:ascii="Arial" w:cs="Arial" w:eastAsia="Arial" w:hAnsi="Arial"/>
                  <w:sz w:val="16"/>
                  <w:szCs w:val="16"/>
                  <w:color w:val="0000FF"/>
                </w:rPr>
                <w:t>50</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980" w:type="dxa"/>
            <w:vAlign w:val="bottom"/>
            <w:gridSpan w:val="10"/>
            <w:shd w:val="clear" w:color="auto" w:fill="0000EE"/>
          </w:tcPr>
          <w:p>
            <w:pPr>
              <w:spacing w:after="0" w:line="20" w:lineRule="exact"/>
              <w:rPr>
                <w:sz w:val="1"/>
                <w:szCs w:val="1"/>
                <w:color w:val="auto"/>
              </w:rPr>
            </w:pPr>
          </w:p>
        </w:tc>
        <w:tc>
          <w:tcPr>
            <w:tcW w:w="6180" w:type="dxa"/>
            <w:vAlign w:val="bottom"/>
            <w:gridSpan w:val="8"/>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20"/>
          </w:tcPr>
          <w:p>
            <w:pPr>
              <w:spacing w:after="0"/>
              <w:rPr>
                <w:rFonts w:ascii="Arial" w:cs="Arial" w:eastAsia="Arial" w:hAnsi="Arial"/>
                <w:sz w:val="16"/>
                <w:szCs w:val="16"/>
                <w:color w:val="0000FF"/>
              </w:rPr>
            </w:pPr>
            <w:hyperlink w:anchor="page60">
              <w:r>
                <w:rPr>
                  <w:rFonts w:ascii="Arial" w:cs="Arial" w:eastAsia="Arial" w:hAnsi="Arial"/>
                  <w:sz w:val="16"/>
                  <w:szCs w:val="16"/>
                  <w:color w:val="0000FF"/>
                </w:rPr>
                <w:t>SIGNATURES</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60">
              <w:r>
                <w:rPr>
                  <w:rFonts w:ascii="Arial" w:cs="Arial" w:eastAsia="Arial" w:hAnsi="Arial"/>
                  <w:sz w:val="16"/>
                  <w:szCs w:val="16"/>
                  <w:color w:val="0000FF"/>
                </w:rPr>
                <w:t>60</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8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Integra, headquartered in Plainsboro, New Jersey, is a world leader in medical technology. The Company employs approximately 3,300 people around the world who are dedicated to limiting uncertainty for surgeons, so that they can concentrate on providing the best patient care. Integra offers innovative solutions in orthopedic extremity surgery, neurosurgery, spine surgery, and reconstructive and general surgery. Revenues grew to $836.2 million in 2013, an increase of 1% from $830.9 million in 2012.</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Integra was founded on a technology platform to repair and regenerate tissue with engineered collagen devices. The Company has developed numerous product lines for applications ranging from burn and deep tissue wounds to regeneration of dura mater in the brain and repair of nerve and tendon. Over the past 25 years, Integra has grown by building upon this core regenerative medicine technology, acquiring businesses in markets with overlapping customer bases and developing products to further meet the needs of its target customers.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VISION</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aspire to be a multi-billion dollar diversified global medical technology company that helps patients by limiting uncertainty for medical professionals, and is a high quality investment for shareholders. We will achieve these goals by delivering on our Brand Promises to our customers worldwide and by becoming a top player in all markets in which we compete.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strategy is built around three pillars - optimize, execute and accelerate growth. These three pillars support our strategic initiatives to optimize our infrastructure, to deliver on our commitments through improved planning and communication, and to grow by introducing new products to the market through internal development, expanding geographically, and strategic acquisitions.</w:t>
      </w:r>
    </w:p>
    <w:p>
      <w:pPr>
        <w:spacing w:after="0" w:line="1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is an essential strategic approach for two reasons. First, the costs inherent in operating a medical technology company have increased at an accelerating rate in recent years and continue rising. Scale is therefore correlated with rates of profitability in our industry. Second, our operating footprint is more complex and less efficient than it can be, in part because we have not taken full advantage of the more than 40 acquisitions in our history. While we have demonstrated that we can quickly and profitably integrate new products and businesses, and have an active program to evaluate similar opportunities, we must simplify our structure and processes into singular, common systems in order to continue to add scale efficiently and profitably.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To that end, our executive leadership team has set forth several near-term objectives aligned to this strategy:</w:t>
      </w:r>
    </w:p>
    <w:p>
      <w:pPr>
        <w:spacing w:after="0" w:line="171"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i w:val="1"/>
          <w:iCs w:val="1"/>
          <w:color w:val="auto"/>
        </w:rPr>
        <w:t>Portfolio Optimization</w:t>
      </w:r>
      <w:r>
        <w:rPr>
          <w:rFonts w:ascii="Arial" w:cs="Arial" w:eastAsia="Arial" w:hAnsi="Arial"/>
          <w:sz w:val="17"/>
          <w:szCs w:val="17"/>
          <w:color w:val="auto"/>
        </w:rPr>
        <w:t>. Our investments in innovative product development should result in a multi-generational pipeline for our key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Consistent with Integra's competitive advantage, our product development efforts will focus on regenerative medicine, and other projects with the potential for significant returns on investment. We are also funding clinical evidence to support successful launches and improved reimbursement for existing products. Further, we have identified low-growth, low-margin products and product franchises for discontinuation and will continue to look at ways of focusing our portfolio. Additionally, we are open to considering divestiture opportunities under the appropriate circumstances.</w:t>
      </w:r>
    </w:p>
    <w:p>
      <w:pPr>
        <w:spacing w:after="0" w:line="119"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i w:val="1"/>
          <w:iCs w:val="1"/>
          <w:color w:val="auto"/>
        </w:rPr>
        <w:t>Geographic Expansion</w:t>
      </w:r>
      <w:r>
        <w:rPr>
          <w:rFonts w:ascii="Arial" w:cs="Arial" w:eastAsia="Arial" w:hAnsi="Arial"/>
          <w:sz w:val="16"/>
          <w:szCs w:val="16"/>
          <w:color w:val="auto"/>
        </w:rPr>
        <w:t>. We generate less than one quarter of our revenues from markets outside the United States whereas most large medical device</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earn around half of their revenues internationally. We therefore see an opportunity to accelerate revenue growth by increasing our international presence. We are securing ownership or other control of our product registrations and distribution system, and expanding our infrastructure in key markets. We also have a prioritized plan for registering and launching our existing products in countries where we already have some selling presence, but are missing key leading brands. We expect these efforts to increase our international business to a larger proportion of our overall revenues.</w:t>
      </w:r>
    </w:p>
    <w:p>
      <w:pPr>
        <w:spacing w:after="0" w:line="104" w:lineRule="exact"/>
        <w:rPr>
          <w:sz w:val="20"/>
          <w:szCs w:val="20"/>
          <w:color w:val="auto"/>
        </w:rPr>
      </w:pPr>
    </w:p>
    <w:p>
      <w:pPr>
        <w:jc w:val="both"/>
        <w:ind w:left="340"/>
        <w:spacing w:after="0" w:line="271" w:lineRule="auto"/>
        <w:rPr>
          <w:sz w:val="20"/>
          <w:szCs w:val="20"/>
          <w:color w:val="auto"/>
        </w:rPr>
      </w:pPr>
      <w:r>
        <w:rPr>
          <w:rFonts w:ascii="Arial" w:cs="Arial" w:eastAsia="Arial" w:hAnsi="Arial"/>
          <w:sz w:val="16"/>
          <w:szCs w:val="16"/>
          <w:i w:val="1"/>
          <w:iCs w:val="1"/>
          <w:color w:val="auto"/>
        </w:rPr>
        <w:t xml:space="preserve">Strategic Corporate Development. </w:t>
      </w:r>
      <w:r>
        <w:rPr>
          <w:rFonts w:ascii="Arial" w:cs="Arial" w:eastAsia="Arial" w:hAnsi="Arial"/>
          <w:sz w:val="16"/>
          <w:szCs w:val="16"/>
          <w:color w:val="auto"/>
        </w:rPr>
        <w:t>Over the years, we have successfully acquired and in-licensed businesses, products and technologies to grow our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Our corporate development program is a core competency, and an important part of our strategy is to continue to pursue strategic transactions and licensing agreements to increase scale. Heading into 2014, integrating the DuraSeal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lines will be a key objective, as will identifying additional opportunities. Acquisitions in particular may add a technology, expand international distribution, leverage one of our existing sales channels, or provide a new channel for an existing technology. These capabilities are increasingly important to remain competitive in today's environment.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jc w:val="both"/>
        <w:ind w:left="340"/>
        <w:spacing w:after="0" w:line="255" w:lineRule="auto"/>
        <w:rPr>
          <w:sz w:val="20"/>
          <w:szCs w:val="20"/>
          <w:color w:val="auto"/>
        </w:rPr>
      </w:pPr>
      <w:r>
        <w:rPr>
          <w:rFonts w:ascii="Arial" w:cs="Arial" w:eastAsia="Arial" w:hAnsi="Arial"/>
          <w:sz w:val="18"/>
          <w:szCs w:val="18"/>
          <w:i w:val="1"/>
          <w:iCs w:val="1"/>
          <w:color w:val="auto"/>
        </w:rPr>
        <w:t xml:space="preserve">Structural Cost Reduction. </w:t>
      </w:r>
      <w:r>
        <w:rPr>
          <w:rFonts w:ascii="Arial" w:cs="Arial" w:eastAsia="Arial" w:hAnsi="Arial"/>
          <w:sz w:val="18"/>
          <w:szCs w:val="18"/>
          <w:color w:val="auto"/>
        </w:rPr>
        <w:t>We have a large and complex manufacturing and distribution footprint. We have initiated plans to generate higher marginal</w:t>
      </w:r>
      <w:r>
        <w:rPr>
          <w:rFonts w:ascii="Arial" w:cs="Arial" w:eastAsia="Arial" w:hAnsi="Arial"/>
          <w:sz w:val="18"/>
          <w:szCs w:val="18"/>
          <w:i w:val="1"/>
          <w:iCs w:val="1"/>
          <w:color w:val="auto"/>
        </w:rPr>
        <w:t xml:space="preserve"> </w:t>
      </w:r>
      <w:r>
        <w:rPr>
          <w:rFonts w:ascii="Arial" w:cs="Arial" w:eastAsia="Arial" w:hAnsi="Arial"/>
          <w:sz w:val="18"/>
          <w:szCs w:val="18"/>
          <w:color w:val="auto"/>
        </w:rPr>
        <w:t>profit and increase cash flow by optimizing these operations around five centers of excellence. In addition, we have a significant number of suppliers for a company of our size, and have centralized strategic sourcing and procurement efforts. As a result, we expect to reduce our number of suppliers by 30%, which will help us lower our costs and to reduce our expenditures on goods and services. In conjunction with these activities, we are optimizing our inventory planning to increase cycles and decrease working capital requirements. Overall, these structural efficiencies should drive significant savings in our income statement and increase our cash flows.</w:t>
      </w:r>
    </w:p>
    <w:p>
      <w:pPr>
        <w:spacing w:after="0" w:line="139"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Common Systems Implementations</w:t>
      </w:r>
      <w:r>
        <w:rPr>
          <w:rFonts w:ascii="Arial" w:cs="Arial" w:eastAsia="Arial" w:hAnsi="Arial"/>
          <w:sz w:val="18"/>
          <w:szCs w:val="18"/>
          <w:color w:val="auto"/>
        </w:rPr>
        <w:t>. Our initiatives rely upon complexity reduction and common processes across our global operations. We have two</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efforts underway to enable that simplification. First, we are well along in an implementation of a common enterprise resource planning system ("ERP"), which will allow for more useful management information and much reduced administrative complexity. Second, we are building a common corporate quality system, which will enable a consistent approach across locations, reduce redundancies, and increase overall efficiency in this important function. Additionally, we have begun a global commercial effectiveness initiative, which will give us a common approach to our marketing efforts. These efforts will enable us to remove costs and complexity from our operations, leverage our existing capabilities as we grow, and integrate future acquisitions more quickly.</w:t>
      </w:r>
    </w:p>
    <w:p>
      <w:pPr>
        <w:spacing w:after="0" w:line="1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Finally, to ensure that our colleagues work together to achieve these strategic objectives, we are investing in training programs, and developing our leadership deeper in the organization. These objectives and investments are building the foundation necessary to support a growing, multi-billion dollar global medical technology company. Taken together, our strategy to execute, optimize and accelerate growth will enable us to become a company that helps limit uncertainty for our customers and touches millions of patients each year, while driving returns for our shareholders.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manufacture and sell our products in the following five reportable business segments: U.S. Neurosurgery, U.S. Extremities, U.S. Instruments, U.S. Spine and Other, and International. We included financial information regarding our reportable business segments and certain geographic information under "Item 7. Management's Discussion and Analysis of Financial Condition and Results of Operations" and in Note 14, "Segment and Geographic Information" to our consolidated financial statements.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Neurosurgery</w:t>
      </w:r>
    </w:p>
    <w:p>
      <w:pPr>
        <w:spacing w:after="0" w:line="90"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Our U.S. Neurosurgery sales organization sells a full line of products specifically for neurosurgery and neuro critical care. We have products for each step of a cranial procedure and the care of the patient after surgery. Our key products include dural repair products (both dural closure and dural sealants), tissue ablation equipment, intracranial monitoring equipment, cranial stabilization equipment, and cerebral spinal fluid (“CSF”) management devices. We sell equipment used in the neurosurgery operating room and neurosurgery intensive care unit (“NICU”). We sell our products through directly employed sales representatives.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Extremities</w:t>
      </w:r>
    </w:p>
    <w:p>
      <w:pPr>
        <w:spacing w:after="0" w:line="90"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Extremity reconstruction is a growing area of the orthopedic market. We define extremity reconstruction to mean the repair of soft tissue and the orthopedic reconstruction of bone in the foot, ankle and leg below the knee (Lower Extremity), and the hand, wrist, elbow and shoulder (Upper Extremity). Our key products include bone and joint fixation devices, implants and instruments for osteoarthritis, rheumatoid arthritis, wrist and shoulder arthroplasty, carpal tunnel syndrome, and cubital tunnel syndrome. Other key products include our regenerative medicine devices for the treatment of acute and chronic wounds, peripheral nerve repair and protection and tendon repair, and bone graft substitutes. We sell our products through a large direct sales organization and through specialty distributors focused on their respective surgical disciplines.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Instruments</w:t>
      </w:r>
    </w:p>
    <w:p>
      <w:pPr>
        <w:spacing w:after="0" w:line="90" w:lineRule="exact"/>
        <w:rPr>
          <w:sz w:val="20"/>
          <w:szCs w:val="20"/>
          <w:color w:val="auto"/>
        </w:rPr>
      </w:pPr>
    </w:p>
    <w:p>
      <w:pPr>
        <w:jc w:val="both"/>
        <w:ind w:left="340"/>
        <w:spacing w:after="0" w:line="235" w:lineRule="auto"/>
        <w:rPr>
          <w:sz w:val="20"/>
          <w:szCs w:val="20"/>
          <w:color w:val="auto"/>
        </w:rPr>
      </w:pPr>
      <w:r>
        <w:rPr>
          <w:rFonts w:ascii="Arial" w:cs="Arial" w:eastAsia="Arial" w:hAnsi="Arial"/>
          <w:sz w:val="18"/>
          <w:szCs w:val="18"/>
          <w:color w:val="auto"/>
        </w:rPr>
        <w:t>Our U.S. Instruments business is among the largest surgical instrument suppliers in the United States. Our portfolio includes over 60,000 instrument patterns and surgical products sold into a broad universe of users, including hospitals, surgery centers, and physician, dental and veterinary offices. In addition to selling hand-held instruments, we sell surgical headlight systems and table-mounted retractors. Our brands -- Jarit</w:t>
      </w:r>
      <w:r>
        <w:rPr>
          <w:rFonts w:ascii="Arial" w:cs="Arial" w:eastAsia="Arial" w:hAnsi="Arial"/>
          <w:sz w:val="25"/>
          <w:szCs w:val="25"/>
          <w:color w:val="auto"/>
          <w:vertAlign w:val="superscript"/>
        </w:rPr>
        <w:t>®</w:t>
      </w:r>
      <w:r>
        <w:rPr>
          <w:rFonts w:ascii="Arial" w:cs="Arial" w:eastAsia="Arial" w:hAnsi="Arial"/>
          <w:sz w:val="18"/>
          <w:szCs w:val="18"/>
          <w:color w:val="auto"/>
        </w:rPr>
        <w:t>, Miltex</w:t>
      </w:r>
      <w:r>
        <w:rPr>
          <w:rFonts w:ascii="Arial" w:cs="Arial" w:eastAsia="Arial" w:hAnsi="Arial"/>
          <w:sz w:val="25"/>
          <w:szCs w:val="25"/>
          <w:color w:val="auto"/>
          <w:vertAlign w:val="superscript"/>
        </w:rPr>
        <w:t>®</w:t>
      </w:r>
      <w:r>
        <w:rPr>
          <w:rFonts w:ascii="Arial" w:cs="Arial" w:eastAsia="Arial" w:hAnsi="Arial"/>
          <w:sz w:val="18"/>
          <w:szCs w:val="18"/>
          <w:color w:val="auto"/>
        </w:rPr>
        <w:t>, Padgett</w:t>
      </w:r>
      <w:r>
        <w:rPr>
          <w:rFonts w:ascii="Arial" w:cs="Arial" w:eastAsia="Arial" w:hAnsi="Arial"/>
          <w:sz w:val="25"/>
          <w:szCs w:val="25"/>
          <w:color w:val="auto"/>
          <w:vertAlign w:val="superscript"/>
        </w:rPr>
        <w:t>®</w:t>
      </w:r>
      <w:r>
        <w:rPr>
          <w:rFonts w:ascii="Arial" w:cs="Arial" w:eastAsia="Arial" w:hAnsi="Arial"/>
          <w:sz w:val="18"/>
          <w:szCs w:val="18"/>
          <w:color w:val="auto"/>
        </w:rPr>
        <w:t>, Ruggles</w:t>
      </w:r>
      <w:r>
        <w:rPr>
          <w:rFonts w:ascii="Arial" w:cs="Arial" w:eastAsia="Arial" w:hAnsi="Arial"/>
          <w:sz w:val="25"/>
          <w:szCs w:val="25"/>
          <w:color w:val="auto"/>
          <w:vertAlign w:val="superscript"/>
        </w:rPr>
        <w:t>®</w:t>
      </w:r>
      <w:r>
        <w:rPr>
          <w:rFonts w:ascii="Arial" w:cs="Arial" w:eastAsia="Arial" w:hAnsi="Arial"/>
          <w:sz w:val="18"/>
          <w:szCs w:val="18"/>
          <w:color w:val="auto"/>
        </w:rPr>
        <w:t>, Luxtec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Omni-Tract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are well-known. While we reach the Acute/Hospital segment primarily with a direct sales force, we reach the diverse Alternate Site market with distributors.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30" w:right="239" w:bottom="1440" w:gutter="0" w:footer="0" w:header="0"/>
        </w:sectPr>
      </w:pPr>
    </w:p>
    <w:bookmarkStart w:id="5" w:name="page6"/>
    <w:bookmarkEnd w:id="5"/>
    <w:p>
      <w:pPr>
        <w:ind w:left="340"/>
        <w:spacing w:after="0"/>
        <w:rPr>
          <w:sz w:val="20"/>
          <w:szCs w:val="20"/>
          <w:color w:val="auto"/>
        </w:rPr>
      </w:pPr>
      <w:r>
        <w:rPr>
          <w:rFonts w:ascii="Arial" w:cs="Arial" w:eastAsia="Arial" w:hAnsi="Arial"/>
          <w:sz w:val="18"/>
          <w:szCs w:val="18"/>
          <w:b w:val="1"/>
          <w:bCs w:val="1"/>
          <w:i w:val="1"/>
          <w:iCs w:val="1"/>
          <w:color w:val="auto"/>
        </w:rPr>
        <w:t>U.S. Spine and Other</w:t>
      </w:r>
    </w:p>
    <w:p>
      <w:pPr>
        <w:spacing w:after="0" w:line="90"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Our U.S. Spine and Other segment offers comprehensive spinal fusion technologies that surgeons use along the full length of the spine, as well as a broad and differentiated offering of related orthobiologics. Our key spinal hardware products include integrated interbody fusion devices, minimally invasive solutions, and deformity correction. We market and sell a complete line of orthobiologics, including demineralized bone products, collagen ceramic matrices and pure synthetic bone grafting solutions. We sell our products through specialty distributors focused on our spine and orthopedic surgeon customers, as well as through some direct sales representatives.</w:t>
      </w:r>
    </w:p>
    <w:p>
      <w:pPr>
        <w:spacing w:after="0" w:line="5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This segment also includes private-label sales of a broad set of our regenerative medicine technologies. Our customers are other large medical technology companies that sell to end markets primarily in orthopedics and wound care.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International</w:t>
      </w:r>
    </w:p>
    <w:p>
      <w:pPr>
        <w:spacing w:after="0" w:line="11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The International segment sells similar products to those discussed above, but they are managed through the following geographies: (i) Europe, Middle East and Africa, and (ii) Latin/South America, Asia-Pacific, Australia, New Zealand and Canada.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 OVERVIEW</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offer thousands of products for the medical specialties we target. We distinguish ourselves by emphasizing the importance of regenerative medicine, which we define as surgical implants derived from our proprietary collagen matrix technology and other biologic platforms. Our objective is to develop, acquire or otherwise provide products that will limit uncertainty for hospitals and surgeons. These products include our regenerative medicine implants, metal implants, instruments and equipment for orthopedic surgery, neurosurgery and general surgery.</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2013, approximately 23% of our revenues came from collagen-based regenerative medicine products. While these products vary in composition and structure, they operate under similar principles. We build our matrix products from collagen, which is the basic structural protein that binds cells together in the body. Our matrices (whether for the dura mater, dermis, peripheral nerves, tendon or bone) provide a scaffold to support the infiltration of the patient's own cells and the growth of blood vessels. Eventually, those infiltrating cells consume the collagen of the implanted matrix and promote the development of a new native extracellular matrix. In their interaction with the patient's body, our collagen matrices provide an environment to inhibit the formation of scar tissue, so the implant is absorbed over time, leaving healthy native tissue in its place. This basic technology can be applied to many different procedures. We sell these regenerative medicine products through most of our sales channels and reach additional markets through our private-label sales.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STRATEGY</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research and development activities focus on identifying unmet surgical needs and meeting those needs with innovative solutions and products. We apply our core competency in regenerative medicine to products for neurosurgical, orthopedic and spinal applications, and we have extensive programs in neuro-monitoring, cranial stabilization, tissue ablation, spine, extremity fixation, and joint arthroplasty. In addition to our activities aimed at acquiring or in-licensing new products, we are optimizing our current portfolio through product franchise review and rationalization. We are focusing our development efforts on innovative products with an emphasis on clinical research and product efficacy.</w:t>
      </w:r>
    </w:p>
    <w:p>
      <w:pPr>
        <w:spacing w:after="0" w:line="134" w:lineRule="exact"/>
        <w:rPr>
          <w:sz w:val="20"/>
          <w:szCs w:val="20"/>
          <w:color w:val="auto"/>
        </w:rPr>
      </w:pPr>
    </w:p>
    <w:p>
      <w:pPr>
        <w:jc w:val="both"/>
        <w:ind w:left="340"/>
        <w:spacing w:after="0" w:line="256" w:lineRule="auto"/>
        <w:rPr>
          <w:sz w:val="20"/>
          <w:szCs w:val="20"/>
          <w:color w:val="auto"/>
        </w:rPr>
      </w:pPr>
      <w:r>
        <w:rPr>
          <w:rFonts w:ascii="Arial" w:cs="Arial" w:eastAsia="Arial" w:hAnsi="Arial"/>
          <w:sz w:val="17"/>
          <w:szCs w:val="17"/>
          <w:i w:val="1"/>
          <w:iCs w:val="1"/>
          <w:color w:val="auto"/>
        </w:rPr>
        <w:t xml:space="preserve">Regenerative Medicine. </w:t>
      </w:r>
      <w:r>
        <w:rPr>
          <w:rFonts w:ascii="Arial" w:cs="Arial" w:eastAsia="Arial" w:hAnsi="Arial"/>
          <w:sz w:val="17"/>
          <w:szCs w:val="17"/>
          <w:color w:val="auto"/>
        </w:rPr>
        <w:t>Because implants derived from our regenerative medicine platform represent a fast-growing, high-margin opportunity for us, we</w:t>
      </w:r>
      <w:r>
        <w:rPr>
          <w:rFonts w:ascii="Arial" w:cs="Arial" w:eastAsia="Arial" w:hAnsi="Arial"/>
          <w:sz w:val="17"/>
          <w:szCs w:val="17"/>
          <w:i w:val="1"/>
          <w:iCs w:val="1"/>
          <w:color w:val="auto"/>
        </w:rPr>
        <w:t xml:space="preserve"> </w:t>
      </w:r>
      <w:r>
        <w:rPr>
          <w:rFonts w:ascii="Arial" w:cs="Arial" w:eastAsia="Arial" w:hAnsi="Arial"/>
          <w:sz w:val="17"/>
          <w:szCs w:val="17"/>
          <w:color w:val="auto"/>
        </w:rPr>
        <w:t>allocate a large portion of our research and development budget to these products. Our regenerative medicine development program applies our expertise in biomaterials and collagen matrices to neurosurgical, orthopedic and spinal surgery applications, as well as dermal regeneration, tendon and nerve repair, and chronic and acute wounds. Integra is conducting a multi-center, randomized, controlled clinical trial under an FDA Investigational Device Exemption (IDE) comparing the safety and effectiveness of INTEGRA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Dermal Regeneration Template to the standard of care for the treatment of diabetic foot ulcers. Integra completed enrollment in the clinical trial in December 2013. The pivotal trial enrolled 307 patients at 32 sites, and all patients are followed for up to 28 weeks. Once patient follow-up is complete, which is expected to occur in mid-2014, this data will form the foundation for submission to the United States Food and Drug Administration (FDA).</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Extremity Reconstruction. </w:t>
      </w:r>
      <w:r>
        <w:rPr>
          <w:rFonts w:ascii="Arial" w:cs="Arial" w:eastAsia="Arial" w:hAnsi="Arial"/>
          <w:sz w:val="18"/>
          <w:szCs w:val="18"/>
          <w:color w:val="auto"/>
        </w:rPr>
        <w:t>We develop fixation devices and other implants and instruments for upper and lower extremities.</w:t>
      </w:r>
    </w:p>
    <w:p>
      <w:pPr>
        <w:spacing w:after="0" w:line="17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Spine. </w:t>
      </w:r>
      <w:r>
        <w:rPr>
          <w:rFonts w:ascii="Arial" w:cs="Arial" w:eastAsia="Arial" w:hAnsi="Arial"/>
          <w:sz w:val="18"/>
          <w:szCs w:val="18"/>
          <w:color w:val="auto"/>
        </w:rPr>
        <w:t>Our expertise in implant engineering, biomaterials development and biomechanical testing provides a strong foundation for developing new</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for the spine. Additionally, we hold a number of spine patents that serve as a platform for future products, with particular emphasis in minimally invasive technologies. While we plan to continue filling the gaps in our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11" w:right="239" w:bottom="1440" w:gutter="0" w:footer="0" w:header="0"/>
        </w:sectPr>
      </w:pPr>
    </w:p>
    <w:bookmarkStart w:id="6" w:name="page7"/>
    <w:bookmarkEnd w:id="6"/>
    <w:p>
      <w:pPr>
        <w:ind w:left="340"/>
        <w:spacing w:after="0"/>
        <w:rPr>
          <w:sz w:val="20"/>
          <w:szCs w:val="20"/>
          <w:color w:val="auto"/>
        </w:rPr>
      </w:pPr>
      <w:r>
        <w:rPr>
          <w:rFonts w:ascii="Arial" w:cs="Arial" w:eastAsia="Arial" w:hAnsi="Arial"/>
          <w:sz w:val="17"/>
          <w:szCs w:val="17"/>
          <w:color w:val="auto"/>
        </w:rPr>
        <w:t>portfolio so that our current customers can use our products for more procedures, we are also developing novel technologies and new indications.</w:t>
      </w:r>
    </w:p>
    <w:p>
      <w:pPr>
        <w:spacing w:after="0" w:line="183"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We have based our strong orthobiologic product development capability on our bone matrix technology and our collagen technology, which is the basis of our osteoconductive collagen ceramic scaffold. We continue to develop line extensions based on these foundation technologies that further complete our offerings and we will continue to invest in the development of new novel technologies for bone grafting.</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Neurosurgery. </w:t>
      </w:r>
      <w:r>
        <w:rPr>
          <w:rFonts w:ascii="Arial" w:cs="Arial" w:eastAsia="Arial" w:hAnsi="Arial"/>
          <w:sz w:val="17"/>
          <w:szCs w:val="17"/>
          <w:color w:val="auto"/>
        </w:rPr>
        <w:t>We focus on expanding the market for our dural repair products, and on developing the next generation tissue ablation system.</w:t>
      </w:r>
    </w:p>
    <w:p>
      <w:pPr>
        <w:spacing w:after="0" w:line="183"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i w:val="1"/>
          <w:iCs w:val="1"/>
          <w:color w:val="auto"/>
        </w:rPr>
        <w:t xml:space="preserve">Instruments. </w:t>
      </w:r>
      <w:r>
        <w:rPr>
          <w:rFonts w:ascii="Arial" w:cs="Arial" w:eastAsia="Arial" w:hAnsi="Arial"/>
          <w:sz w:val="17"/>
          <w:szCs w:val="17"/>
          <w:color w:val="auto"/>
        </w:rPr>
        <w:t>We work with a number of principally German instrument partners to bring new patterns to the market, enabling us to add new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with minimal R&amp;D expense. Our lighting franchise is among the more dynamic, leading to ongoing development in LED technology.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competition in extremity reconstruction includes the DePuy/Synthes business of Johnson &amp; Johnson, Stryker Corporation, Tornier, Inc., Wright Medical Group, Inc., Zimmer, Inc., and Small Bone Innovations, Inc., as well as other major orthopedic companies that carry a full line of small bone and joint fixation and soft tissue products.</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Competitors in the spine and orthobiologics markets include Medtronic, Inc., Johnson &amp; Johnson, Biomet, Inc., Globus Medical Inc., NuVasive, Inc., Orthofix, Stryker Corporation, Zimmer, Inc., and Alphatec Spine, Inc.</w:t>
      </w:r>
    </w:p>
    <w:p>
      <w:pPr>
        <w:spacing w:after="0" w:line="11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primary competitors in the neurosurgery markets are Johnson &amp; Johnson, Medtronic, Inc., and Stryker Corporation. In addition, many of our neurosurgery product lines compete with smaller specialized companies and larger companies that do not otherwise focus on neurosurgery.</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Within the instruments market, we compete with the Aesculap division of B. Braun Medical Inc., as well as V. Mueller, a division of CareFusion. In addition, we compete with Symmetry Medical and many smaller instrument companies in the reusable and disposable specialty instruments markets. We rely on the depth and breadth of our sales and marketing organization and our procurement operation to maintain our competitive position in surgical instruments and allied surgical products.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Finally, in certain cases our products compete primarily against medical practices that treat a condition without using a medical device or any particular product, such as medical practices that use autograft tissue instead of our dermal regeneration products, duraplasty products and nerve repair products. Depending on the product line, we compete on the basis of our products' features, strength of our sales force or distributor, sophistication of our technology and cost effectiveness of our solution to the customer's medical requirements.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manufacturer and marketer of medical devices, and therefore are subject to extensive regulation by the Food and Drug Administrations ("FDA") and the Center for Medicare Services of the U.S. Department of Health and Human Services and other federal governmental agencies and, in some jurisdictions, by state and foreign governmental authorities. These regulations govern the introduction of new medical devices, the observance of certain standards with respect to the design, manufacture, testing, labeling (such as issuing a final rule in 2013 for a unique device identifier for virtually all medical devices), promotion and sales of the devices, the maintenance of certain records, the ability to track devices, the reporting of potential product defects, the import and export of devices, and other matters.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Plainsboro, New Jersey manufacturing facility was inspected by the FDA during the third quarter of 2011 which resulted in the issuance of FDA Form 483 observations, and we subsequently received a warning letter from the FDA on December 21, 2011 related to that inspection. The Plainsboro warning letter was closed out effective September 24, 2013 because the FDA found that the Company had addressed the issues raised in the warning letter and previous inspectional observations.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FDA inspected our manufacturing facility in Andover, England in June 2012. On November 5, 2012, we received a warning letter related to quality systems issues at the Andover manufacturing facility. Finally, the FDA inspected our Añasco, Puerto Rico facility in October and November 2012, and issued a warning letter for that facility in February 2013. On November 26, 2013, the FDA completed its second inspection of the Añasco facility and issued a new Form 483 with six additional observations. We have undertaken significant efforts to remediate the observations that the FDA has made since the conclusion of the inspections, and relieving the warning letters is a top priority.</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regulatory process of obtaining product approvals and clearances can be onerous and costly. The FDA requires, as a condition to marketing a medical device in the United States, that we secure a Premarket Notification clearance pursuant to Section 510(k)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30" w:right="239" w:bottom="1440" w:gutter="0" w:footer="0" w:header="0"/>
        </w:sectPr>
      </w:pPr>
    </w:p>
    <w:bookmarkStart w:id="7" w:name="page8"/>
    <w:bookmarkEnd w:id="7"/>
    <w:p>
      <w:pPr>
        <w:jc w:val="both"/>
        <w:spacing w:after="0" w:line="270" w:lineRule="auto"/>
        <w:rPr>
          <w:sz w:val="20"/>
          <w:szCs w:val="20"/>
          <w:color w:val="auto"/>
        </w:rPr>
      </w:pPr>
      <w:r>
        <w:rPr>
          <w:rFonts w:ascii="Arial" w:cs="Arial" w:eastAsia="Arial" w:hAnsi="Arial"/>
          <w:sz w:val="17"/>
          <w:szCs w:val="17"/>
          <w:color w:val="auto"/>
        </w:rPr>
        <w:t>of the Federal Food, Drug and Cosmetic Act (the “FD&amp;C Act”), an approved Premarket Approval application (or supplemental PMA application). Obtaining these approvals and clearances can take up to several years and may involve preclinical studies and clinical trials. The FDA may also require a post-approval clinical trial as a condition of approval. To perform clinical trials for significant risk devices in the United States on an unapproved product, we are required to obtain an Investigational Device Exemption (“IDE”) from the FDA. The FDA may also require a filing for FDA approval prior to marketing products that are modifications of existing products or new indications for existing products. Moreover, after clearance/approval is given, if the product is shown to be hazardous or defective, the FDA and foreign regulatory agencies have the power to withdraw the clearance or require us to change the device, its manufacturing process or its labeling, to supply additional proof of its safety and effectiveness or to recall, repair, replace or refund the cost of the medical device. Because we currently export medical devices manufactured in the United States that have not been approved by the FDA for distribution in the United States, we are required to obtain approval/registration in the country we are exporting to and maintain certain records relating to exports and make these available to the FDA for inspection, if required.</w:t>
      </w:r>
    </w:p>
    <w:p>
      <w:pPr>
        <w:spacing w:after="0" w:line="1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FDA Medical Device User Fee and Modernization Act of 2002 and the FDA Amendments Act of 2007 established regulations governing user fees for certain regulatory submissions to the FDA. Currently user fees are required for 510(k), PMA's, certain PMA supplements, PMA annual reports, FDA Establishment Registrations and other regulatory submissions.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Cells, Tissues and Cellular and Tissue-Based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Integra manufactures medical devices derived from human tissue (demineralized bone tissue).</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FDA has specific regulations governing human cells, tissues and cellular and tissue-based products, or HCT/Ps. An HCT/P is a product containing, or consisting of, human cells or tissue intended for transplantation into a human patient. Examples include bone, ligament, skin and cornea.</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Some HCT/Ps fall within the definition of a biological product, medical device or drug regulated under the FD&amp;C Act. These biologic, device or drug HCT/Ps must comply both with the requirements exclusively applicable to HCT/Ps and, in addition, with requirements applicable to biologics, devices or drugs, including premarket clearance or approval from the FDA.</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361 of the Public Health Service Act (“PHSA”), authorizes the FDA to issue regulations to prevent the introduction, transmission or spread of communicable disease. HCT/Ps regulated as “361” HCT/Ps are subject to requirements relating to registering facilities and listing products with the FDA, screening and testing for tissue donor eligibility, Good Tissue Practice when processing, storing, labeling, and distributing HCT/Ps, including required labeling information, stringent record keeping, and adverse event reporting.</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American Association of Tissue Banks (“AATB”) has issued operating standards for tissue banking. Compliance with these standards is a requirement in order to become an AATB-accredited tissue establishment. In addition, some states have their own tissue banking regulations. We are licensed or have permits for tissue banking in California, Florida, New York and Maryland.</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National Organ Transplant Act. </w:t>
      </w:r>
      <w:r>
        <w:rPr>
          <w:rFonts w:ascii="Arial" w:cs="Arial" w:eastAsia="Arial" w:hAnsi="Arial"/>
          <w:sz w:val="16"/>
          <w:szCs w:val="16"/>
          <w:color w:val="auto"/>
        </w:rPr>
        <w:t>Procurement of certain human organs and tissue for transplantation is subject to the restrictions of the National Organ</w:t>
      </w:r>
      <w:r>
        <w:rPr>
          <w:rFonts w:ascii="Arial" w:cs="Arial" w:eastAsia="Arial" w:hAnsi="Arial"/>
          <w:sz w:val="16"/>
          <w:szCs w:val="16"/>
          <w:i w:val="1"/>
          <w:iCs w:val="1"/>
          <w:color w:val="auto"/>
        </w:rPr>
        <w:t xml:space="preserve"> </w:t>
      </w:r>
      <w:r>
        <w:rPr>
          <w:rFonts w:ascii="Arial" w:cs="Arial" w:eastAsia="Arial" w:hAnsi="Arial"/>
          <w:sz w:val="16"/>
          <w:szCs w:val="16"/>
          <w:color w:val="auto"/>
        </w:rPr>
        <w:t>Transplant Act (“NOTA”), which prohibits the transfer of certain human organs, including skin and related tissue for valuable consideration, but permits the reasonable payment associated with the removal, transportation, implantation, processing, preservation, quality control and storage of human tissue and skin. We reimburse tissue banks for their expenses associated with the recovery, storage and transportation of donated human tissue that they provide to us for processing. We include in our pricing structure amounts paid to tissue banks to reimburse them for their expenses associated with the recovery and transportation of the tissue, in addition to certain costs associated with processing, preservation, quality control and storage of the tissue, marketing and medical education expenses, and costs associated with development of tissue processing technologies. NOTA payment allowances may be interpreted to limit the amount of costs and expenses that we may recover in our pricing for our products, thereby reducing our future revenue and profitability.</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Postmarket Requirements. </w:t>
      </w:r>
      <w:r>
        <w:rPr>
          <w:rFonts w:ascii="Arial" w:cs="Arial" w:eastAsia="Arial" w:hAnsi="Arial"/>
          <w:sz w:val="18"/>
          <w:szCs w:val="18"/>
          <w:color w:val="auto"/>
        </w:rPr>
        <w:t>After a device is cleared or approved for commercial distribution, numerous regulatory requirements apply. These include the FDA</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System Regulations which cover the procedures and documentation of the design, testing, production, control, quality assurance, labeling, packaging, sterilization, storage and shipping of medical devices; the FDA's general prohibition against promoting products for unapproved or 'off-label' uses;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and the Reports of Corrections and Removals regulation, which require manufacturers to report recalls and field corrective actions to the FDA if initiated to reduce a risk to health posed by the device or to remedy a violation of the FD&amp;C Act.</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required to register with the FDA as a medical device manufacturer. As such, our manufacturing sites are subject to periodic inspection by the FDA for compliance with the FDA's Quality System Regulations. These regulations require that we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30" w:right="239" w:bottom="1440" w:gutter="0" w:footer="0" w:header="0"/>
        </w:sectPr>
      </w:pPr>
    </w:p>
    <w:bookmarkStart w:id="8" w:name="page9"/>
    <w:bookmarkEnd w:id="8"/>
    <w:p>
      <w:pPr>
        <w:jc w:val="both"/>
        <w:spacing w:after="0" w:line="257" w:lineRule="auto"/>
        <w:rPr>
          <w:sz w:val="20"/>
          <w:szCs w:val="20"/>
          <w:color w:val="auto"/>
        </w:rPr>
      </w:pPr>
      <w:r>
        <w:rPr>
          <w:rFonts w:ascii="Arial" w:cs="Arial" w:eastAsia="Arial" w:hAnsi="Arial"/>
          <w:sz w:val="18"/>
          <w:szCs w:val="18"/>
          <w:color w:val="auto"/>
        </w:rPr>
        <w:t>manufacture our products and maintain our documents in a prescribed manner with respect to design, manufacturing, testing and control activities. Further, we are required to comply with various FDA requirements and other legal requirements for labeling and promotion. If the FDA believes that a company is not in compliance with applicable regulations, it may issue a warning letter, institute proceedings to detain or seize products, issue a recall order, impose operating restrictions, enjoin future violations and assess civil penalties against that company, its officers or its employees and may recommend criminal prosecution to the U.S. Department of Justice.</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Medical device regulations also are in effect in many of the countries in which we do business outside the United States. These laws range from comprehensive medical device approval and Quality System requirements for some or all of our medical device products to simpler requests for product data or certifications. The number and scope of these requirements are increasing. Under the European Union Medical Device Directive ("MDD"), medical devices must meet the Medical Device Directive standards and receive CE Mark Certification prior to marketing in the European Union (the “EU”). CE Mark Certification requires a comprehensive Quality System program, comprehensive technical documentation and data on the product, which are then reviewed by a Notified Body. A Notified Body is an organization designated by the national governments of the European Union member states to make independent judgments about whether a product complies with the requirements established by each CE marking directive. The Medical Device Directive, ISO 9000 series and ISO 13485 are recognized international quality standards that are designed to ensure that we develop and manufacture quality medical devices. Other countries are also instituting regulations regarding medical devices. Compliance with these regulations requires extensive documentation and clinical reports for all of our products, revisions to labeling, and other requirements such as facility inspections to comply with the registration requirements. A recognized Notified Body audits our facilities annually to verify our compliance with these standards.</w:t>
      </w:r>
    </w:p>
    <w:p>
      <w:pPr>
        <w:spacing w:after="0" w:line="1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EU, our products that contain human derived tissue, including demineralized bone material, are not medical devices as defined in the Medical Device Directive (93/42/EC). They are also not medicinal products as defined in Directive 2001/83/EC. Today, regulations, if applicable, are different from one EU member state to the next. Because of the absence of a harmonized regulatory framework and the proposed regulation for advanced therapy medicinal products in the EU, the approval process for human-derived cell or tissue-based medical products may be extensive, lengthy, expensive, and unpredictable.</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countries, as well as the EU, have issued regulations that govern products that contain materials derived from animal sources. Regulatory authorities are particularly concerned with materials infected with the agent that causes bovine spongiform encephalopathy (“BSE”), otherwise known as mad cow disease. These regulations affect our dermal regeneration products, duraplasty products, biomaterial products for the spine, nerve and tendon repair products and certain other products, all of which contain material derived from bovine tissue. Although we take great care to provide that our products are safe and free of agents that can cause disease, products that contain materials derived from animals, including our products, may become subject to additional regulation, or even be banned in certain countries, because of concern over the potential for prion transmission. Significant new regulations, a ban of our products, or a movement away from bovine-derived products because of an outbreak of BSE could have a material adverse effect on our current business or our ability to expand our business. See “Item 1A. Risk Factors - Certain of our products contain materials derived from animal sources and may become subject to additional regulation.”</w:t>
      </w:r>
    </w:p>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laws and regulations pertaining to healthcare fraud and abuse, including anti-kickback laws and physician self-referral laws that regulate the means by which companies in the health care industry may market their products to hospitals and health care professionals and may compete by discounting the prices of their products. The delivery of our products is subject to regulation regarding reimbursement, and federal healthcare laws apply when a customer submits a claim for a product that is reimbursed under a federally funded healthcare program. These rules require that we exercise care in structuring our sales and marketing practices and customer discount arrangements. See “Item 1A. Risk Factors - Oversight of the medical device industry might affect the manner in which we may sell medical devices and compete in the marketplace.”</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international operations subject us to laws regarding sanctioned countries, entities and persons, customs, import-export, laws regarding transactions in foreign countries, the U.S. Foreign Corrupt Practices Act and local anti-bribery and other laws regarding interactions with healthcare professionals. Among other things, these laws restrict, and in some cases prohibit, United States companies from directly or indirectly selling goods, technology or services to people or entities in certain countries. In addition, these laws require that we exercise care in structuring our sales and marketing practices in foreign countries.</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research, development and manufacturing processes involve the controlled use of certain hazardous materials. We are subject to country-specific, federal, state and local laws and regulations governing the use, manufacture, storage, handling and disposal of these materials and certain waste products. We believe that our environmental, health and safety procedures for handling and disposing of these materials comply with the standards prescribed by the controlling laws and regulations. However, risk of accidental releases or injury from these materials is possible. These risks are managed to minimize or eliminate associated business impacts. In the event of this type of accident, we could be held liable for damages that may result, and any liability could exceed our resources. We could be subject to a regulatory shutdown of a facility that could prevent the distribution and sale of products manufactured there for a significant period of time and we could suffer a casualty loss that could require a shutdown of the facility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9" w:name="page10"/>
    <w:bookmarkEnd w:id="9"/>
    <w:p>
      <w:pPr>
        <w:jc w:val="both"/>
        <w:spacing w:after="0" w:line="257" w:lineRule="auto"/>
        <w:rPr>
          <w:sz w:val="20"/>
          <w:szCs w:val="20"/>
          <w:color w:val="auto"/>
        </w:rPr>
      </w:pPr>
      <w:r>
        <w:rPr>
          <w:rFonts w:ascii="Arial" w:cs="Arial" w:eastAsia="Arial" w:hAnsi="Arial"/>
          <w:sz w:val="18"/>
          <w:szCs w:val="18"/>
          <w:color w:val="auto"/>
        </w:rPr>
        <w:t>in order to repair it, any of which could have a material, adverse effect on our business. Although we continuously strive to maintain full compliance with respect to all applicable global environmental, health and safety laws and regulations, we could incur substantial costs to fully comply with future laws and regulations, and our operations, business or assets may be impacted. Furthermore, global environmental, health and safety compliance is an ongoing process. Integra has compliance procedures in place for EHS programs, driven by a centrally led organizational structure that ensures proper implementation, which is essential to our overall business objectives.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above regulations, we are and may be subject to regulation under country-specific federal and state laws, including, but not limited to, requirements regarding record keeping, and the maintenance of personal information, including personal health information. As a public company, we are subject to the securities laws and regulations, including the Sarbanes-Oxley Act of 2002. We also are subject to other present, and could be subject to possible future, local, state, federal and foreign regulations.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Third-Party Reimbursement. </w:t>
      </w:r>
      <w:r>
        <w:rPr>
          <w:rFonts w:ascii="Arial" w:cs="Arial" w:eastAsia="Arial" w:hAnsi="Arial"/>
          <w:sz w:val="17"/>
          <w:szCs w:val="17"/>
          <w:color w:val="auto"/>
        </w:rPr>
        <w:t>Healthcare providers that purchase medical devices generally rely on third-party payors, including the Medicare and Medicaid</w:t>
      </w:r>
      <w:r>
        <w:rPr>
          <w:rFonts w:ascii="Arial" w:cs="Arial" w:eastAsia="Arial" w:hAnsi="Arial"/>
          <w:sz w:val="17"/>
          <w:szCs w:val="17"/>
          <w:i w:val="1"/>
          <w:iCs w:val="1"/>
          <w:color w:val="auto"/>
        </w:rPr>
        <w:t xml:space="preserve"> </w:t>
      </w:r>
      <w:r>
        <w:rPr>
          <w:rFonts w:ascii="Arial" w:cs="Arial" w:eastAsia="Arial" w:hAnsi="Arial"/>
          <w:sz w:val="17"/>
          <w:szCs w:val="17"/>
          <w:color w:val="auto"/>
        </w:rPr>
        <w:t>programs and private payors, such as indemnity insurers, employer group health insurance programs and managed care plans, to reimburse all or part of the cost of the products. As a result, demand for our products is and will continue to be dependent in part on the coverage and reimbursement policies of these payors. The manner in which reimbursement is sought and obtained varies based upon the type of payor involved and the setting in which the product is furnished and utilized. Reimbursement from Medicare, Medicaid and other third-party payors may be subject to periodic adjustments as a result of legislative, regulatory and policy changes as well as budgetary pressures. Possible reductions in, or eliminations of, coverage or reimbursement by third-party payors, or denial of, or provision of uneconomical reimbursement for new products, as a result of these changes may affect our customers' revenue and ability to purchase our products. Any changes in the healthcare regulatory, payment or enforcement landscape relative to our customers' healthcare services has the potential to significantly affect our operations and revenue.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seek patent and trademark protection for our key technology, products and product improvements, both in the United States and in selected foreign countries. When determined appropriate, we have enforced and plan to continue to enforce and defend our patent and trademark rights. In general, however, we do not rely solely on our patent and trademark estate to provide us with any significant competitive advantages as it relates to our existing product lines. We also rely upon trade secrets and continuing technological innovations to develop and maintain our competitive position. In an effort to protect our trade secrets, we have a policy of requiring our employees, consultants and advisors to execute proprietary information and invention assignment agreements upon commencement of employment or consulting relationships with us. These agreements also provide that all confidential information developed or made known to the individual during the course of their relationship with us must be kept confidential, except in specified circumstances.</w:t>
      </w:r>
    </w:p>
    <w:p>
      <w:pPr>
        <w:spacing w:after="0" w:line="32" w:lineRule="exact"/>
        <w:rPr>
          <w:sz w:val="20"/>
          <w:szCs w:val="20"/>
          <w:color w:val="auto"/>
        </w:rPr>
      </w:pPr>
    </w:p>
    <w:p>
      <w:pPr>
        <w:jc w:val="both"/>
        <w:spacing w:after="0" w:line="189" w:lineRule="auto"/>
        <w:rPr>
          <w:sz w:val="20"/>
          <w:szCs w:val="20"/>
          <w:color w:val="auto"/>
        </w:rPr>
      </w:pPr>
      <w:r>
        <w:rPr>
          <w:rFonts w:ascii="Arial" w:cs="Arial" w:eastAsia="Arial" w:hAnsi="Arial"/>
          <w:sz w:val="17"/>
          <w:szCs w:val="17"/>
          <w:color w:val="auto"/>
        </w:rPr>
        <w:t>AccuDrain</w:t>
      </w:r>
      <w:r>
        <w:rPr>
          <w:rFonts w:ascii="Arial" w:cs="Arial" w:eastAsia="Arial" w:hAnsi="Arial"/>
          <w:sz w:val="24"/>
          <w:szCs w:val="24"/>
          <w:color w:val="auto"/>
          <w:vertAlign w:val="superscript"/>
        </w:rPr>
        <w:t>®</w:t>
      </w:r>
      <w:r>
        <w:rPr>
          <w:rFonts w:ascii="Arial" w:cs="Arial" w:eastAsia="Arial" w:hAnsi="Arial"/>
          <w:sz w:val="17"/>
          <w:szCs w:val="17"/>
          <w:color w:val="auto"/>
        </w:rPr>
        <w:t>, Accell</w:t>
      </w:r>
      <w:r>
        <w:rPr>
          <w:rFonts w:ascii="Arial" w:cs="Arial" w:eastAsia="Arial" w:hAnsi="Arial"/>
          <w:sz w:val="24"/>
          <w:szCs w:val="24"/>
          <w:color w:val="auto"/>
          <w:vertAlign w:val="superscript"/>
        </w:rPr>
        <w:t>®</w:t>
      </w:r>
      <w:r>
        <w:rPr>
          <w:rFonts w:ascii="Arial" w:cs="Arial" w:eastAsia="Arial" w:hAnsi="Arial"/>
          <w:sz w:val="17"/>
          <w:szCs w:val="17"/>
          <w:color w:val="auto"/>
        </w:rPr>
        <w:t>, Accell Evo3</w:t>
      </w:r>
      <w:r>
        <w:rPr>
          <w:rFonts w:ascii="Arial" w:cs="Arial" w:eastAsia="Arial" w:hAnsi="Arial"/>
          <w:sz w:val="24"/>
          <w:szCs w:val="24"/>
          <w:color w:val="auto"/>
          <w:vertAlign w:val="superscript"/>
        </w:rPr>
        <w:t>®</w:t>
      </w:r>
      <w:r>
        <w:rPr>
          <w:rFonts w:ascii="Arial" w:cs="Arial" w:eastAsia="Arial" w:hAnsi="Arial"/>
          <w:sz w:val="17"/>
          <w:szCs w:val="17"/>
          <w:color w:val="auto"/>
        </w:rPr>
        <w:t>, Advansys</w:t>
      </w:r>
      <w:r>
        <w:rPr>
          <w:rFonts w:ascii="Arial" w:cs="Arial" w:eastAsia="Arial" w:hAnsi="Arial"/>
          <w:sz w:val="24"/>
          <w:szCs w:val="24"/>
          <w:color w:val="auto"/>
          <w:vertAlign w:val="superscript"/>
        </w:rPr>
        <w:t>®</w:t>
      </w:r>
      <w:r>
        <w:rPr>
          <w:rFonts w:ascii="Arial" w:cs="Arial" w:eastAsia="Arial" w:hAnsi="Arial"/>
          <w:sz w:val="17"/>
          <w:szCs w:val="17"/>
          <w:color w:val="auto"/>
        </w:rPr>
        <w:t>, Atoll ™, Ascension</w:t>
      </w:r>
      <w:r>
        <w:rPr>
          <w:rFonts w:ascii="Arial" w:cs="Arial" w:eastAsia="Arial" w:hAnsi="Arial"/>
          <w:sz w:val="24"/>
          <w:szCs w:val="24"/>
          <w:color w:val="auto"/>
          <w:vertAlign w:val="superscript"/>
        </w:rPr>
        <w:t>®</w:t>
      </w:r>
      <w:r>
        <w:rPr>
          <w:rFonts w:ascii="Arial" w:cs="Arial" w:eastAsia="Arial" w:hAnsi="Arial"/>
          <w:sz w:val="17"/>
          <w:szCs w:val="17"/>
          <w:color w:val="auto"/>
        </w:rPr>
        <w:t>, Bold</w:t>
      </w:r>
      <w:r>
        <w:rPr>
          <w:rFonts w:ascii="Arial" w:cs="Arial" w:eastAsia="Arial" w:hAnsi="Arial"/>
          <w:sz w:val="24"/>
          <w:szCs w:val="24"/>
          <w:color w:val="auto"/>
          <w:vertAlign w:val="superscript"/>
        </w:rPr>
        <w:t>®</w:t>
      </w:r>
      <w:r>
        <w:rPr>
          <w:rFonts w:ascii="Arial" w:cs="Arial" w:eastAsia="Arial" w:hAnsi="Arial"/>
          <w:sz w:val="17"/>
          <w:szCs w:val="17"/>
          <w:color w:val="auto"/>
        </w:rPr>
        <w:t>, Budde</w:t>
      </w:r>
      <w:r>
        <w:rPr>
          <w:rFonts w:ascii="Arial" w:cs="Arial" w:eastAsia="Arial" w:hAnsi="Arial"/>
          <w:sz w:val="24"/>
          <w:szCs w:val="24"/>
          <w:color w:val="auto"/>
          <w:vertAlign w:val="superscript"/>
        </w:rPr>
        <w:t>®</w:t>
      </w:r>
      <w:r>
        <w:rPr>
          <w:rFonts w:ascii="Arial" w:cs="Arial" w:eastAsia="Arial" w:hAnsi="Arial"/>
          <w:sz w:val="17"/>
          <w:szCs w:val="17"/>
          <w:color w:val="auto"/>
        </w:rPr>
        <w:t>, Buzz ™, Camino</w:t>
      </w:r>
      <w:r>
        <w:rPr>
          <w:rFonts w:ascii="Arial" w:cs="Arial" w:eastAsia="Arial" w:hAnsi="Arial"/>
          <w:sz w:val="24"/>
          <w:szCs w:val="24"/>
          <w:color w:val="auto"/>
          <w:vertAlign w:val="superscript"/>
        </w:rPr>
        <w:t>®</w:t>
      </w:r>
      <w:r>
        <w:rPr>
          <w:rFonts w:ascii="Arial" w:cs="Arial" w:eastAsia="Arial" w:hAnsi="Arial"/>
          <w:sz w:val="17"/>
          <w:szCs w:val="17"/>
          <w:color w:val="auto"/>
        </w:rPr>
        <w:t>, CRW</w:t>
      </w:r>
      <w:r>
        <w:rPr>
          <w:rFonts w:ascii="Arial" w:cs="Arial" w:eastAsia="Arial" w:hAnsi="Arial"/>
          <w:sz w:val="24"/>
          <w:szCs w:val="24"/>
          <w:color w:val="auto"/>
          <w:vertAlign w:val="superscript"/>
        </w:rPr>
        <w:t>®</w:t>
      </w:r>
      <w:r>
        <w:rPr>
          <w:rFonts w:ascii="Arial" w:cs="Arial" w:eastAsia="Arial" w:hAnsi="Arial"/>
          <w:sz w:val="17"/>
          <w:szCs w:val="17"/>
          <w:color w:val="auto"/>
        </w:rPr>
        <w:t>, Coral</w:t>
      </w:r>
      <w:r>
        <w:rPr>
          <w:rFonts w:ascii="Arial" w:cs="Arial" w:eastAsia="Arial" w:hAnsi="Arial"/>
          <w:sz w:val="24"/>
          <w:szCs w:val="24"/>
          <w:color w:val="auto"/>
          <w:vertAlign w:val="superscript"/>
        </w:rPr>
        <w:t>®</w:t>
      </w:r>
      <w:r>
        <w:rPr>
          <w:rFonts w:ascii="Arial" w:cs="Arial" w:eastAsia="Arial" w:hAnsi="Arial"/>
          <w:sz w:val="17"/>
          <w:szCs w:val="17"/>
          <w:color w:val="auto"/>
        </w:rPr>
        <w:t>, CUSA</w:t>
      </w:r>
      <w:r>
        <w:rPr>
          <w:rFonts w:ascii="Arial" w:cs="Arial" w:eastAsia="Arial" w:hAnsi="Arial"/>
          <w:sz w:val="24"/>
          <w:szCs w:val="24"/>
          <w:color w:val="auto"/>
          <w:vertAlign w:val="superscript"/>
        </w:rPr>
        <w:t>®</w:t>
      </w:r>
      <w:r>
        <w:rPr>
          <w:rFonts w:ascii="Arial" w:cs="Arial" w:eastAsia="Arial" w:hAnsi="Arial"/>
          <w:sz w:val="17"/>
          <w:szCs w:val="17"/>
          <w:color w:val="auto"/>
        </w:rPr>
        <w:t>, Daytona</w:t>
      </w:r>
      <w:r>
        <w:rPr>
          <w:rFonts w:ascii="Arial" w:cs="Arial" w:eastAsia="Arial" w:hAnsi="Arial"/>
          <w:sz w:val="24"/>
          <w:szCs w:val="24"/>
          <w:color w:val="auto"/>
          <w:vertAlign w:val="superscript"/>
        </w:rPr>
        <w:t>®</w:t>
      </w:r>
      <w:r>
        <w:rPr>
          <w:rFonts w:ascii="Arial" w:cs="Arial" w:eastAsia="Arial" w:hAnsi="Arial"/>
          <w:sz w:val="17"/>
          <w:szCs w:val="17"/>
          <w:color w:val="auto"/>
        </w:rPr>
        <w:t>, DenLite</w:t>
      </w:r>
      <w:r>
        <w:rPr>
          <w:rFonts w:ascii="Arial" w:cs="Arial" w:eastAsia="Arial" w:hAnsi="Arial"/>
          <w:sz w:val="24"/>
          <w:szCs w:val="24"/>
          <w:color w:val="auto"/>
          <w:vertAlign w:val="superscript"/>
        </w:rPr>
        <w:t>®</w:t>
      </w:r>
      <w:r>
        <w:rPr>
          <w:rFonts w:ascii="Arial" w:cs="Arial" w:eastAsia="Arial" w:hAnsi="Arial"/>
          <w:sz w:val="17"/>
          <w:szCs w:val="17"/>
          <w:color w:val="auto"/>
        </w:rPr>
        <w:t>, DuraGen</w:t>
      </w:r>
      <w:r>
        <w:rPr>
          <w:rFonts w:ascii="Arial" w:cs="Arial" w:eastAsia="Arial" w:hAnsi="Arial"/>
          <w:sz w:val="24"/>
          <w:szCs w:val="24"/>
          <w:color w:val="auto"/>
          <w:vertAlign w:val="superscript"/>
        </w:rPr>
        <w:t>®</w:t>
      </w:r>
      <w:r>
        <w:rPr>
          <w:rFonts w:ascii="Arial" w:cs="Arial" w:eastAsia="Arial" w:hAnsi="Arial"/>
          <w:sz w:val="17"/>
          <w:szCs w:val="17"/>
          <w:color w:val="auto"/>
        </w:rPr>
        <w:t>, DuraSeal</w:t>
      </w:r>
      <w:r>
        <w:rPr>
          <w:rFonts w:ascii="Arial" w:cs="Arial" w:eastAsia="Arial" w:hAnsi="Arial"/>
          <w:sz w:val="24"/>
          <w:szCs w:val="24"/>
          <w:color w:val="auto"/>
          <w:vertAlign w:val="superscript"/>
        </w:rPr>
        <w:t>®</w:t>
      </w:r>
      <w:r>
        <w:rPr>
          <w:rFonts w:ascii="Arial" w:cs="Arial" w:eastAsia="Arial" w:hAnsi="Arial"/>
          <w:sz w:val="17"/>
          <w:szCs w:val="17"/>
          <w:color w:val="auto"/>
        </w:rPr>
        <w:t>, DynaGraft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II, First Choice</w:t>
      </w:r>
      <w:r>
        <w:rPr>
          <w:rFonts w:ascii="Arial" w:cs="Arial" w:eastAsia="Arial" w:hAnsi="Arial"/>
          <w:sz w:val="24"/>
          <w:szCs w:val="24"/>
          <w:color w:val="auto"/>
          <w:vertAlign w:val="superscript"/>
        </w:rPr>
        <w:t>®</w:t>
      </w:r>
      <w:r>
        <w:rPr>
          <w:rFonts w:ascii="Arial" w:cs="Arial" w:eastAsia="Arial" w:hAnsi="Arial"/>
          <w:sz w:val="17"/>
          <w:szCs w:val="17"/>
          <w:color w:val="auto"/>
        </w:rPr>
        <w:t>, Hallu</w:t>
      </w:r>
      <w:r>
        <w:rPr>
          <w:rFonts w:ascii="Arial" w:cs="Arial" w:eastAsia="Arial" w:hAnsi="Arial"/>
          <w:sz w:val="24"/>
          <w:szCs w:val="24"/>
          <w:color w:val="auto"/>
          <w:vertAlign w:val="superscript"/>
        </w:rPr>
        <w:t>®</w:t>
      </w:r>
      <w:r>
        <w:rPr>
          <w:rFonts w:ascii="Arial" w:cs="Arial" w:eastAsia="Arial" w:hAnsi="Arial"/>
          <w:sz w:val="17"/>
          <w:szCs w:val="17"/>
          <w:color w:val="auto"/>
        </w:rPr>
        <w:t>, HeliCote</w:t>
      </w:r>
      <w:r>
        <w:rPr>
          <w:rFonts w:ascii="Arial" w:cs="Arial" w:eastAsia="Arial" w:hAnsi="Arial"/>
          <w:sz w:val="24"/>
          <w:szCs w:val="24"/>
          <w:color w:val="auto"/>
          <w:vertAlign w:val="superscript"/>
        </w:rPr>
        <w:t>®</w:t>
      </w:r>
      <w:r>
        <w:rPr>
          <w:rFonts w:ascii="Arial" w:cs="Arial" w:eastAsia="Arial" w:hAnsi="Arial"/>
          <w:sz w:val="17"/>
          <w:szCs w:val="17"/>
          <w:color w:val="auto"/>
        </w:rPr>
        <w:t>, HeliPlug</w:t>
      </w:r>
      <w:r>
        <w:rPr>
          <w:rFonts w:ascii="Arial" w:cs="Arial" w:eastAsia="Arial" w:hAnsi="Arial"/>
          <w:sz w:val="24"/>
          <w:szCs w:val="24"/>
          <w:color w:val="auto"/>
          <w:vertAlign w:val="superscript"/>
        </w:rPr>
        <w:t>®</w:t>
      </w:r>
      <w:r>
        <w:rPr>
          <w:rFonts w:ascii="Arial" w:cs="Arial" w:eastAsia="Arial" w:hAnsi="Arial"/>
          <w:sz w:val="17"/>
          <w:szCs w:val="17"/>
          <w:color w:val="auto"/>
        </w:rPr>
        <w:t>, HeliTape</w:t>
      </w:r>
      <w:r>
        <w:rPr>
          <w:rFonts w:ascii="Arial" w:cs="Arial" w:eastAsia="Arial" w:hAnsi="Arial"/>
          <w:sz w:val="24"/>
          <w:szCs w:val="24"/>
          <w:color w:val="auto"/>
          <w:vertAlign w:val="superscript"/>
        </w:rPr>
        <w:t>®</w:t>
      </w:r>
      <w:r>
        <w:rPr>
          <w:rFonts w:ascii="Arial" w:cs="Arial" w:eastAsia="Arial" w:hAnsi="Arial"/>
          <w:sz w:val="17"/>
          <w:szCs w:val="17"/>
          <w:color w:val="auto"/>
        </w:rPr>
        <w:t>, HeliMend</w:t>
      </w:r>
      <w:r>
        <w:rPr>
          <w:rFonts w:ascii="Arial" w:cs="Arial" w:eastAsia="Arial" w:hAnsi="Arial"/>
          <w:sz w:val="24"/>
          <w:szCs w:val="24"/>
          <w:color w:val="auto"/>
          <w:vertAlign w:val="superscript"/>
        </w:rPr>
        <w:t>®</w:t>
      </w:r>
      <w:r>
        <w:rPr>
          <w:rFonts w:ascii="Arial" w:cs="Arial" w:eastAsia="Arial" w:hAnsi="Arial"/>
          <w:sz w:val="17"/>
          <w:szCs w:val="17"/>
          <w:color w:val="auto"/>
        </w:rPr>
        <w:t>, Helistat</w:t>
      </w:r>
      <w:r>
        <w:rPr>
          <w:rFonts w:ascii="Arial" w:cs="Arial" w:eastAsia="Arial" w:hAnsi="Arial"/>
          <w:sz w:val="24"/>
          <w:szCs w:val="24"/>
          <w:color w:val="auto"/>
          <w:vertAlign w:val="superscript"/>
        </w:rPr>
        <w:t>®</w:t>
      </w:r>
      <w:r>
        <w:rPr>
          <w:rFonts w:ascii="Arial" w:cs="Arial" w:eastAsia="Arial" w:hAnsi="Arial"/>
          <w:sz w:val="17"/>
          <w:szCs w:val="17"/>
          <w:color w:val="auto"/>
        </w:rPr>
        <w:t>, Helitene</w:t>
      </w:r>
      <w:r>
        <w:rPr>
          <w:rFonts w:ascii="Arial" w:cs="Arial" w:eastAsia="Arial" w:hAnsi="Arial"/>
          <w:sz w:val="24"/>
          <w:szCs w:val="24"/>
          <w:color w:val="auto"/>
          <w:vertAlign w:val="superscript"/>
        </w:rPr>
        <w:t>®</w:t>
      </w:r>
      <w:r>
        <w:rPr>
          <w:rFonts w:ascii="Arial" w:cs="Arial" w:eastAsia="Arial" w:hAnsi="Arial"/>
          <w:sz w:val="17"/>
          <w:szCs w:val="17"/>
          <w:color w:val="auto"/>
        </w:rPr>
        <w:t>, Hintegra</w:t>
      </w:r>
      <w:r>
        <w:rPr>
          <w:rFonts w:ascii="Arial" w:cs="Arial" w:eastAsia="Arial" w:hAnsi="Arial"/>
          <w:sz w:val="24"/>
          <w:szCs w:val="24"/>
          <w:color w:val="auto"/>
          <w:vertAlign w:val="superscript"/>
        </w:rPr>
        <w:t>®</w:t>
      </w:r>
      <w:r>
        <w:rPr>
          <w:rFonts w:ascii="Arial" w:cs="Arial" w:eastAsia="Arial" w:hAnsi="Arial"/>
          <w:sz w:val="17"/>
          <w:szCs w:val="17"/>
          <w:color w:val="auto"/>
        </w:rPr>
        <w:t>, Hollywood™, ICOS™, Inforce</w:t>
      </w:r>
      <w:r>
        <w:rPr>
          <w:rFonts w:ascii="Arial" w:cs="Arial" w:eastAsia="Arial" w:hAnsi="Arial"/>
          <w:sz w:val="24"/>
          <w:szCs w:val="24"/>
          <w:color w:val="auto"/>
          <w:vertAlign w:val="superscript"/>
        </w:rPr>
        <w:t>®</w:t>
      </w:r>
      <w:r>
        <w:rPr>
          <w:rFonts w:ascii="Arial" w:cs="Arial" w:eastAsia="Arial" w:hAnsi="Arial"/>
          <w:sz w:val="17"/>
          <w:szCs w:val="17"/>
          <w:color w:val="auto"/>
        </w:rPr>
        <w:t>, Integra</w:t>
      </w:r>
      <w:r>
        <w:rPr>
          <w:rFonts w:ascii="Arial" w:cs="Arial" w:eastAsia="Arial" w:hAnsi="Arial"/>
          <w:sz w:val="24"/>
          <w:szCs w:val="24"/>
          <w:color w:val="auto"/>
          <w:vertAlign w:val="superscript"/>
        </w:rPr>
        <w:t>®</w:t>
      </w:r>
      <w:r>
        <w:rPr>
          <w:rFonts w:ascii="Arial" w:cs="Arial" w:eastAsia="Arial" w:hAnsi="Arial"/>
          <w:sz w:val="17"/>
          <w:szCs w:val="17"/>
          <w:color w:val="auto"/>
        </w:rPr>
        <w:t>, Integra Mozaik™, Jarit</w:t>
      </w:r>
      <w:r>
        <w:rPr>
          <w:rFonts w:ascii="Arial" w:cs="Arial" w:eastAsia="Arial" w:hAnsi="Arial"/>
          <w:sz w:val="24"/>
          <w:szCs w:val="24"/>
          <w:color w:val="auto"/>
          <w:vertAlign w:val="superscript"/>
        </w:rPr>
        <w:t>®</w:t>
      </w:r>
      <w:r>
        <w:rPr>
          <w:rFonts w:ascii="Arial" w:cs="Arial" w:eastAsia="Arial" w:hAnsi="Arial"/>
          <w:sz w:val="17"/>
          <w:szCs w:val="17"/>
          <w:color w:val="auto"/>
        </w:rPr>
        <w:t>, Licox</w:t>
      </w:r>
      <w:r>
        <w:rPr>
          <w:rFonts w:ascii="Arial" w:cs="Arial" w:eastAsia="Arial" w:hAnsi="Arial"/>
          <w:sz w:val="24"/>
          <w:szCs w:val="24"/>
          <w:color w:val="auto"/>
          <w:vertAlign w:val="superscript"/>
        </w:rPr>
        <w:t>®</w:t>
      </w:r>
      <w:r>
        <w:rPr>
          <w:rFonts w:ascii="Arial" w:cs="Arial" w:eastAsia="Arial" w:hAnsi="Arial"/>
          <w:sz w:val="17"/>
          <w:szCs w:val="17"/>
          <w:color w:val="auto"/>
        </w:rPr>
        <w:t>, LimiTorr™, Luxtec</w:t>
      </w:r>
      <w:r>
        <w:rPr>
          <w:rFonts w:ascii="Arial" w:cs="Arial" w:eastAsia="Arial" w:hAnsi="Arial"/>
          <w:sz w:val="24"/>
          <w:szCs w:val="24"/>
          <w:color w:val="auto"/>
          <w:vertAlign w:val="superscript"/>
        </w:rPr>
        <w:t>®</w:t>
      </w:r>
      <w:r>
        <w:rPr>
          <w:rFonts w:ascii="Arial" w:cs="Arial" w:eastAsia="Arial" w:hAnsi="Arial"/>
          <w:sz w:val="17"/>
          <w:szCs w:val="17"/>
          <w:color w:val="auto"/>
        </w:rPr>
        <w:t>, Malibu™, Manta Ray™, Miltex</w:t>
      </w:r>
      <w:r>
        <w:rPr>
          <w:rFonts w:ascii="Arial" w:cs="Arial" w:eastAsia="Arial" w:hAnsi="Arial"/>
          <w:sz w:val="24"/>
          <w:szCs w:val="24"/>
          <w:color w:val="auto"/>
          <w:vertAlign w:val="superscript"/>
        </w:rPr>
        <w:t>®</w:t>
      </w:r>
      <w:r>
        <w:rPr>
          <w:rFonts w:ascii="Arial" w:cs="Arial" w:eastAsia="Arial" w:hAnsi="Arial"/>
          <w:sz w:val="17"/>
          <w:szCs w:val="17"/>
          <w:color w:val="auto"/>
        </w:rPr>
        <w:t>, Movement</w:t>
      </w:r>
      <w:r>
        <w:rPr>
          <w:rFonts w:ascii="Arial" w:cs="Arial" w:eastAsia="Arial" w:hAnsi="Arial"/>
          <w:sz w:val="24"/>
          <w:szCs w:val="24"/>
          <w:color w:val="auto"/>
          <w:vertAlign w:val="superscript"/>
        </w:rPr>
        <w:t>®</w:t>
      </w:r>
      <w:r>
        <w:rPr>
          <w:rFonts w:ascii="Arial" w:cs="Arial" w:eastAsia="Arial" w:hAnsi="Arial"/>
          <w:sz w:val="17"/>
          <w:szCs w:val="17"/>
          <w:color w:val="auto"/>
        </w:rPr>
        <w:t>, NanoMetalene</w:t>
      </w:r>
      <w:r>
        <w:rPr>
          <w:rFonts w:ascii="Arial" w:cs="Arial" w:eastAsia="Arial" w:hAnsi="Arial"/>
          <w:sz w:val="24"/>
          <w:szCs w:val="24"/>
          <w:color w:val="auto"/>
          <w:vertAlign w:val="superscript"/>
        </w:rPr>
        <w:t>TM</w:t>
      </w:r>
      <w:r>
        <w:rPr>
          <w:rFonts w:ascii="Arial" w:cs="Arial" w:eastAsia="Arial" w:hAnsi="Arial"/>
          <w:sz w:val="17"/>
          <w:szCs w:val="17"/>
          <w:color w:val="auto"/>
        </w:rPr>
        <w:t>, NeuraGen</w:t>
      </w:r>
      <w:r>
        <w:rPr>
          <w:rFonts w:ascii="Arial" w:cs="Arial" w:eastAsia="Arial" w:hAnsi="Arial"/>
          <w:sz w:val="24"/>
          <w:szCs w:val="24"/>
          <w:color w:val="auto"/>
          <w:vertAlign w:val="superscript"/>
        </w:rPr>
        <w:t>®</w:t>
      </w:r>
      <w:r>
        <w:rPr>
          <w:rFonts w:ascii="Arial" w:cs="Arial" w:eastAsia="Arial" w:hAnsi="Arial"/>
          <w:sz w:val="17"/>
          <w:szCs w:val="17"/>
          <w:color w:val="auto"/>
        </w:rPr>
        <w:t>, NeuraWrap™, NewPort™, NuGrip™, Omni-Tract</w:t>
      </w:r>
      <w:r>
        <w:rPr>
          <w:rFonts w:ascii="Arial" w:cs="Arial" w:eastAsia="Arial" w:hAnsi="Arial"/>
          <w:sz w:val="24"/>
          <w:szCs w:val="24"/>
          <w:color w:val="auto"/>
          <w:vertAlign w:val="superscript"/>
        </w:rPr>
        <w:t>®</w:t>
      </w:r>
      <w:r>
        <w:rPr>
          <w:rFonts w:ascii="Arial" w:cs="Arial" w:eastAsia="Arial" w:hAnsi="Arial"/>
          <w:sz w:val="17"/>
          <w:szCs w:val="17"/>
          <w:color w:val="auto"/>
        </w:rPr>
        <w:t>, OrthoBlast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II, OSV II</w:t>
      </w:r>
      <w:r>
        <w:rPr>
          <w:rFonts w:ascii="Arial" w:cs="Arial" w:eastAsia="Arial" w:hAnsi="Arial"/>
          <w:sz w:val="24"/>
          <w:szCs w:val="24"/>
          <w:color w:val="auto"/>
          <w:vertAlign w:val="superscript"/>
        </w:rPr>
        <w:t>®</w:t>
      </w:r>
      <w:r>
        <w:rPr>
          <w:rFonts w:ascii="Arial" w:cs="Arial" w:eastAsia="Arial" w:hAnsi="Arial"/>
          <w:sz w:val="17"/>
          <w:szCs w:val="17"/>
          <w:color w:val="auto"/>
        </w:rPr>
        <w:t>, Qwix</w:t>
      </w:r>
      <w:r>
        <w:rPr>
          <w:rFonts w:ascii="Arial" w:cs="Arial" w:eastAsia="Arial" w:hAnsi="Arial"/>
          <w:sz w:val="24"/>
          <w:szCs w:val="24"/>
          <w:color w:val="auto"/>
          <w:vertAlign w:val="superscript"/>
        </w:rPr>
        <w:t>®</w:t>
      </w:r>
      <w:r>
        <w:rPr>
          <w:rFonts w:ascii="Arial" w:cs="Arial" w:eastAsia="Arial" w:hAnsi="Arial"/>
          <w:sz w:val="17"/>
          <w:szCs w:val="17"/>
          <w:color w:val="auto"/>
        </w:rPr>
        <w:t>, Padgett</w:t>
      </w:r>
      <w:r>
        <w:rPr>
          <w:rFonts w:ascii="Arial" w:cs="Arial" w:eastAsia="Arial" w:hAnsi="Arial"/>
          <w:sz w:val="24"/>
          <w:szCs w:val="24"/>
          <w:color w:val="auto"/>
          <w:vertAlign w:val="superscript"/>
        </w:rPr>
        <w:t>®</w:t>
      </w:r>
      <w:r>
        <w:rPr>
          <w:rFonts w:ascii="Arial" w:cs="Arial" w:eastAsia="Arial" w:hAnsi="Arial"/>
          <w:sz w:val="17"/>
          <w:szCs w:val="17"/>
          <w:color w:val="auto"/>
        </w:rPr>
        <w:t>, Panta</w:t>
      </w:r>
      <w:r>
        <w:rPr>
          <w:rFonts w:ascii="Arial" w:cs="Arial" w:eastAsia="Arial" w:hAnsi="Arial"/>
          <w:sz w:val="24"/>
          <w:szCs w:val="24"/>
          <w:color w:val="auto"/>
          <w:vertAlign w:val="superscript"/>
        </w:rPr>
        <w:t>®</w:t>
      </w:r>
      <w:r>
        <w:rPr>
          <w:rFonts w:ascii="Arial" w:cs="Arial" w:eastAsia="Arial" w:hAnsi="Arial"/>
          <w:sz w:val="17"/>
          <w:szCs w:val="17"/>
          <w:color w:val="auto"/>
        </w:rPr>
        <w:t>, Redmond™, Ruggles</w:t>
      </w:r>
      <w:r>
        <w:rPr>
          <w:rFonts w:ascii="Arial" w:cs="Arial" w:eastAsia="Arial" w:hAnsi="Arial"/>
          <w:sz w:val="24"/>
          <w:szCs w:val="24"/>
          <w:color w:val="auto"/>
          <w:vertAlign w:val="superscript"/>
        </w:rPr>
        <w:t>®</w:t>
      </w:r>
      <w:r>
        <w:rPr>
          <w:rFonts w:ascii="Arial" w:cs="Arial" w:eastAsia="Arial" w:hAnsi="Arial"/>
          <w:sz w:val="17"/>
          <w:szCs w:val="17"/>
          <w:color w:val="auto"/>
        </w:rPr>
        <w:t>, SafeGuard</w:t>
      </w:r>
      <w:r>
        <w:rPr>
          <w:rFonts w:ascii="Arial" w:cs="Arial" w:eastAsia="Arial" w:hAnsi="Arial"/>
          <w:sz w:val="24"/>
          <w:szCs w:val="24"/>
          <w:color w:val="auto"/>
          <w:vertAlign w:val="superscript"/>
        </w:rPr>
        <w:t>®</w:t>
      </w:r>
      <w:r>
        <w:rPr>
          <w:rFonts w:ascii="Arial" w:cs="Arial" w:eastAsia="Arial" w:hAnsi="Arial"/>
          <w:sz w:val="17"/>
          <w:szCs w:val="17"/>
          <w:color w:val="auto"/>
        </w:rPr>
        <w:t>, SeaSpine</w:t>
      </w:r>
      <w:r>
        <w:rPr>
          <w:rFonts w:ascii="Arial" w:cs="Arial" w:eastAsia="Arial" w:hAnsi="Arial"/>
          <w:sz w:val="24"/>
          <w:szCs w:val="24"/>
          <w:color w:val="auto"/>
          <w:vertAlign w:val="superscript"/>
        </w:rPr>
        <w:t>®</w:t>
      </w:r>
      <w:r>
        <w:rPr>
          <w:rFonts w:ascii="Arial" w:cs="Arial" w:eastAsia="Arial" w:hAnsi="Arial"/>
          <w:sz w:val="17"/>
          <w:szCs w:val="17"/>
          <w:color w:val="auto"/>
        </w:rPr>
        <w:t>, Sonoma™ , Subtalar MBA</w:t>
      </w:r>
      <w:r>
        <w:rPr>
          <w:rFonts w:ascii="Arial" w:cs="Arial" w:eastAsia="Arial" w:hAnsi="Arial"/>
          <w:sz w:val="24"/>
          <w:szCs w:val="24"/>
          <w:color w:val="auto"/>
          <w:vertAlign w:val="superscript"/>
        </w:rPr>
        <w:t>®</w:t>
      </w:r>
      <w:r>
        <w:rPr>
          <w:rFonts w:ascii="Arial" w:cs="Arial" w:eastAsia="Arial" w:hAnsi="Arial"/>
          <w:sz w:val="17"/>
          <w:szCs w:val="17"/>
          <w:color w:val="auto"/>
        </w:rPr>
        <w:t>, TenoGlide</w:t>
      </w:r>
      <w:r>
        <w:rPr>
          <w:rFonts w:ascii="Arial" w:cs="Arial" w:eastAsia="Arial" w:hAnsi="Arial"/>
          <w:sz w:val="24"/>
          <w:szCs w:val="24"/>
          <w:color w:val="auto"/>
          <w:vertAlign w:val="superscript"/>
        </w:rPr>
        <w:t>®</w:t>
      </w:r>
      <w:r>
        <w:rPr>
          <w:rFonts w:ascii="Arial" w:cs="Arial" w:eastAsia="Arial" w:hAnsi="Arial"/>
          <w:sz w:val="17"/>
          <w:szCs w:val="17"/>
          <w:color w:val="auto"/>
        </w:rPr>
        <w:t>, Titan™ , Trel-X™, Trel-XC</w:t>
      </w:r>
      <w:r>
        <w:rPr>
          <w:rFonts w:ascii="Arial" w:cs="Arial" w:eastAsia="Arial" w:hAnsi="Arial"/>
          <w:sz w:val="24"/>
          <w:szCs w:val="24"/>
          <w:color w:val="auto"/>
          <w:vertAlign w:val="superscript"/>
        </w:rPr>
        <w:t>®</w:t>
      </w:r>
      <w:r>
        <w:rPr>
          <w:rFonts w:ascii="Arial" w:cs="Arial" w:eastAsia="Arial" w:hAnsi="Arial"/>
          <w:sz w:val="17"/>
          <w:szCs w:val="17"/>
          <w:color w:val="auto"/>
        </w:rPr>
        <w:t>, Trel-XPress</w:t>
      </w:r>
      <w:r>
        <w:rPr>
          <w:rFonts w:ascii="Arial" w:cs="Arial" w:eastAsia="Arial" w:hAnsi="Arial"/>
          <w:sz w:val="24"/>
          <w:szCs w:val="24"/>
          <w:color w:val="auto"/>
          <w:vertAlign w:val="superscript"/>
        </w:rPr>
        <w:t>TM</w:t>
      </w:r>
      <w:r>
        <w:rPr>
          <w:rFonts w:ascii="Arial" w:cs="Arial" w:eastAsia="Arial" w:hAnsi="Arial"/>
          <w:sz w:val="17"/>
          <w:szCs w:val="17"/>
          <w:color w:val="auto"/>
        </w:rPr>
        <w:t>, Tibiaxys</w:t>
      </w:r>
      <w:r>
        <w:rPr>
          <w:rFonts w:ascii="Arial" w:cs="Arial" w:eastAsia="Arial" w:hAnsi="Arial"/>
          <w:sz w:val="24"/>
          <w:szCs w:val="24"/>
          <w:color w:val="auto"/>
          <w:vertAlign w:val="superscript"/>
        </w:rPr>
        <w:t>®</w:t>
      </w:r>
      <w:r>
        <w:rPr>
          <w:rFonts w:ascii="Arial" w:cs="Arial" w:eastAsia="Arial" w:hAnsi="Arial"/>
          <w:sz w:val="17"/>
          <w:szCs w:val="17"/>
          <w:color w:val="auto"/>
        </w:rPr>
        <w:t>, Uni-CP™, Uni-Clip</w:t>
      </w:r>
      <w:r>
        <w:rPr>
          <w:rFonts w:ascii="Arial" w:cs="Arial" w:eastAsia="Arial" w:hAnsi="Arial"/>
          <w:sz w:val="24"/>
          <w:szCs w:val="24"/>
          <w:color w:val="auto"/>
          <w:vertAlign w:val="superscript"/>
        </w:rPr>
        <w:t>®</w:t>
      </w:r>
      <w:r>
        <w:rPr>
          <w:rFonts w:ascii="Arial" w:cs="Arial" w:eastAsia="Arial" w:hAnsi="Arial"/>
          <w:sz w:val="17"/>
          <w:szCs w:val="17"/>
          <w:color w:val="auto"/>
        </w:rPr>
        <w:t>, Universal2™, Zuma™, and the Integra logo are some of the material trademarks of Integra LifeSciences Corporation and its subsidiaries. MAYFIELD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a registered trademark of SM USA, Inc., and is used by Integra under license.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December 31, 2013, we had approximately 3,300 employees engaged in production and production support (including warehouse, engineering and facilities personnel), quality assurance/quality control, research and development, regulatory and clinical affairs, sales, marketing, administration and finance. Except for certain employees at our facilities in France and Mexico, none of our employees is subject to a collective bargaining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information about our geographical areas is set forth under “Item 7. Management's Discussion and Analysis of Financial Condition and Results of Operations - Geographic Product Revenues and Operations” and in our financial statements Note 14, “Segment and Geographic Information,” to our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3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SOURCES OF RAW MATERIALS</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general, raw materials essential to our businesses are readily available from multiple sources. For reasons of quality assurance, availability, or cost effectiveness, certain components and raw materials are available only from a sole supplier. Our policy is to maintain sufficient inventory of components so that our production will not be significantly disrupted even if a particular component or material is not available for a period of time.</w:t>
      </w:r>
    </w:p>
    <w:p>
      <w:pPr>
        <w:spacing w:after="0" w:line="1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of our products, including our dermal regeneration products, duraplasty products, biomaterial products for the spine, nerve and tendon repair products and certain other products, contain material derived from bovine tissue. We take great care to provide that our products are safe and free of agents that can cause disease. In particular, the collagen used in the products that Integra manufactures is derived only from the deep flexor tendon of cattle less than 24 months old from New Zealand, a country that has never had a reported case of bovine spongiform encephalopathy, or from the United States. The World Health Organization classifies different types of cattle tissue for relative risk of BSE transmission. Deep flexor tendon is in the lowest-risk category for BSE transmission (the same category as milk, for example), and is therefore considered to have a negligible risk of containing the agent that causes BSE.</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our demineralized bone matrix products contain human tissue in the form of ground cortical and cancellous bone. We source the bone tissue only from FDA and the American Association of Tissue Banks (“AATB”) registered and inspected tissue banks. The donors are rigorously screened, tested, and processed in accordance with the FDA and AATB requirements. Only donated tissue from FDA and AATB registered, inspected, non-profit tissue banks is qualified to source for our raw materials. Additionally, each donor must pass all of the FDA-specified bacterial and viral testing before the raw material is distributed to Integra for further processing. We receive with each donor lot a certification of the safety of the raw material from the tissue bank's medical director.</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an added assurance of safety, each lot of bone is released into the manufacturing process only after our staff of quality assurance microbiologists screen the incoming bone and serology test records. During our manufacturing process, the bone particles are subjected to our proprietary process and terminally sterilized. We have demonstrated through our testing that this type of rigorous processing further enhances the safety and effectiveness of our demineralized bone material products.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during our fourth quarter tend to be stronger than other quarters because many hospitals increase their purchases of our products during the fourth quarter to coincide with the end of their budget cycles. In general, our first quarter usually has lower revenues than the preceding fourth quarter, the second and third quarters have higher revenues than the first quarter, and the fourth quarter revenues are the highest in the year. The main exceptions to this pattern occur because of material intervening 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are subject to the informational requirements of the Securities Exchange Act of 1934, as amended, (the “Exchange Act”). In accordance with the Exchange Act, we file annual, quarterly and special reports, proxy statements and other information with the Securities and Exchange Commission. You may view our financial information, including the information contained in this report, and other reports we file with the Securities and Exchange Commission, on the Internet, without charge as soon as reasonably practicable after we file them with the Securities and Exchange Commission, in the “SEC Filings” page of the Investor Relations section of our website at </w:t>
      </w:r>
      <w:r>
        <w:rPr>
          <w:rFonts w:ascii="Arial" w:cs="Arial" w:eastAsia="Arial" w:hAnsi="Arial"/>
          <w:sz w:val="18"/>
          <w:szCs w:val="18"/>
          <w:u w:val="single" w:color="auto"/>
          <w:color w:val="auto"/>
        </w:rPr>
        <w:t>www.integralife.com</w:t>
      </w:r>
      <w:r>
        <w:rPr>
          <w:rFonts w:ascii="Arial" w:cs="Arial" w:eastAsia="Arial" w:hAnsi="Arial"/>
          <w:sz w:val="18"/>
          <w:szCs w:val="18"/>
          <w:color w:val="auto"/>
        </w:rPr>
        <w:t xml:space="preserve">. You may also obtain a copy of any of these reports, without charge, from our investor relations department, 311 Enterprise Drive, Plainsboro, NJ 08536. Alternatively, you may view or obtain reports filed with the Securities and Exchange Commission at the SEC Public Reference Room at 100 F Street, N.E. in Washington, D.C. 20549, or at the Securities and Exchange Commission's Internet site at </w:t>
      </w:r>
      <w:r>
        <w:rPr>
          <w:rFonts w:ascii="Arial" w:cs="Arial" w:eastAsia="Arial" w:hAnsi="Arial"/>
          <w:sz w:val="18"/>
          <w:szCs w:val="18"/>
          <w:u w:val="single" w:color="auto"/>
          <w:color w:val="auto"/>
        </w:rPr>
        <w:t>www.sec.gov</w:t>
      </w:r>
      <w:r>
        <w:rPr>
          <w:rFonts w:ascii="Arial" w:cs="Arial" w:eastAsia="Arial" w:hAnsi="Arial"/>
          <w:sz w:val="18"/>
          <w:szCs w:val="18"/>
          <w:color w:val="auto"/>
        </w:rPr>
        <w:t>. Please call the Securities and Exchange Commission at 1-800-SEC-0330 for further information on the operation of the public reference facilities.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0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made statements in this report, including statements under “Business” and “Management's Discussion and Analysis of Financial Condition and Results of Operations” that constitute forward-looking statements within the meaning of Section 27A of the Securities Act of 1933, as amended (the “Securities Act”), and Section 21E of the Exchange Act. These forward-looking statements are subject to a number of risks, uncertainties and assumptions about us including, among other things:</w:t>
      </w:r>
    </w:p>
    <w:p>
      <w:pPr>
        <w:spacing w:after="0" w:line="34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and business conditions, both nationally and in our international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and estimates concerning future financial performance, financing plans and the impact of 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in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demand for our products, particularly capital equipment;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produce collagen-based products in sufficient quantities to meet sales demands;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concerning our ongoing restructuring, integration and manufacturing transfer and expansion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and future regulations affecting our business, and enforcement of those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debt and equity financing to fund capital expenditures and working capital requirements and acquisitions;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physicians' willingness to adopt our recently launched and planned products, third-party payors' willingness to provide or continue reimbursement for any of our products and our ability to secure regulatory approval for products in development;</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initiatives launched by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including trade secrets;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acquisitions, integrate operations post-acquisition and maintain relationships with customers of acquired entities;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remediate all matters identified in FDA warning letters that we received or may receive;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 factors described in the section entitled "Risk Factors" in this report.</w:t>
      </w:r>
    </w:p>
    <w:p>
      <w:pPr>
        <w:spacing w:after="0" w:line="2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can identify these forward-looking statements by forward-looking words such as “believe,” “may,” “could,” “might,” “will,” “estimate,” “continue,” “anticipate,” “intend,” “seek,” “plan,” “expect,” “should,” “would” and similar expressions in this report. We undertake no obligation to publicly update or revise any forward-looking statements, whether as a result of new information, future events or otherwise. In light of these risks and uncertainties, the forward-looking events and circumstances discussed in this report may not occur and actual results could differ materially from those anticipated or implied in the forward-looking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operating results may fluctuate.</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operating results, including components of operating results such as gross margin and cost of product sales, may fluctuate from time to time, and such fluctuations could affect our stock price. Our operating results have fluctuated in the past and can be expected to fluctuate from time to time in the future. Some of the factors that may cause these fluctuations include:</w:t>
      </w:r>
    </w:p>
    <w:p>
      <w:pPr>
        <w:spacing w:after="0" w:line="262"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conditions worldwide, which could affect the ability of hospitals and other customers to purchase our products and could result in a reduction in elective and non-reimbursed operative procedures;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our restructuring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timing of significant customer orders, which tend to increase in the fourth quarter to coincide with the end of budget cycles for many hospitals;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our existing products, as well as products in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regulatory approvals;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rates of exchange between the U.S. dollar and other currencies of foreign countries in which we do business, such as the euro, British pounds, Swiss francs, Canadian dollars, Japanese yen, and Australian dollars;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expenses incurred and business lost in connection with product field correction actions or recalls;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10" w:right="239" w:bottom="1440" w:gutter="0" w:footer="0" w:header="0"/>
        </w:sectPr>
      </w:pPr>
    </w:p>
    <w:bookmarkStart w:id="12" w:name="page13"/>
    <w:bookmarkEnd w:id="12"/>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backorders and lost sales resulting from stoppages in production relating to product recalls or field corrective actions;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cost or decreases in the supply of raw materials, including energy and steel;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manufacture and ship our products efficiently or in sufficient quantities to meet sales demands;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our research and development expenditures;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expenditures for major initiatives, such as our global ERP implementation and the validation of our new regenerative medicine facility;</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reimbursement for our products by third-party payors such as Medicare, Medicaid, private and public health insurers and foreign governmental health systems;</w:t>
      </w: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inspections of our manufacturing facilities for compliance with Quality System Regulations (Good Manufacturing Practices) which could result in Form 483 observations, warning letters, injunctions or other adverse findings from the FDA or from equivalent regulatory bodies, and corrective actions, procedural changes and other actions that we determine are necessary or appropriate to address the results of those inspections, any of which may affect production and our ability to supply our customers with our products;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increased regulatory scrutiny of certain of our products, including products which we manufacture for others, could result in their being removed from the market; and</w:t>
      </w:r>
    </w:p>
    <w:p>
      <w:pPr>
        <w:ind w:left="660" w:right="2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goodwill and intangible asset impairment charges if future operating results of the acquired businesses are significantly less than the results anticipated at the time of the acquisitions.</w:t>
      </w:r>
    </w:p>
    <w:p>
      <w:pPr>
        <w:spacing w:after="0" w:line="265"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The industry and market segments in which we operate are highly competitive, and we may be unable to compete effectively with other companies.</w:t>
      </w:r>
    </w:p>
    <w:p>
      <w:pPr>
        <w:spacing w:after="0" w:line="11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general, there is intense competition among medical device companies. We compete with established medical technology companies in many of our product areas. Competition also comes from early-stage companies that have alternative technological solutions for our primary clinical targets, as well as universities, research institutions and other non-profit entities. Many of our competitors have access to greater financial, technical, research and development, marketing, manufacturing, sales, distribution, administrative, consulting and other resources than we do. Our competitors may be more effective at developing commercial products. Our competitors may be able to gain market share by offering lower-cost products or by offering products that enjoy better reimbursement methodologies from third-party payors, such as Medicare, Medicaid, private and public health insurers and foreign governmental health systems.</w:t>
      </w:r>
    </w:p>
    <w:p>
      <w:pPr>
        <w:spacing w:after="0" w:line="5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competitive position will depend on our ability to achieve market acceptance for our products, develop new products, implement production and marketing plans, secure regulatory approval for products under development, obtain and maintain reimbursement coverage under Medicare, Medicaid and private healthcare insurance, obtain patent protection and to produce products consistently in sufficient quantities to meet demand. We may need to develop new applications for our products to remain competitive. Technological advances by one or more of our current or future competitors or their achievement of superior reimbursement from Medicare, Medicaid and private healthcare insurance could render our present or future products obsolete or uneconomical. Our future success will depend upon our ability to compete effectively against current technology as well as to respond effectively to technological advances. Competitive pressures could adversely affect our profitability. Additionally, purchasing decisions of our customers may be based on clinical evidence or comparative effectiveness studies and, because of our vast array of products, we might not be able to fund the studies necessary or provide the required information to compete effectively. Other companies may have more resources available to fund such studies. For example, competitors have launched and have been developing products to compete with our duraplasty products, extremity reconstruction implants, neuro critical care monitors and ultrasonic tissue ablation devices, among others.</w:t>
      </w:r>
    </w:p>
    <w:p>
      <w:pPr>
        <w:spacing w:after="0" w:line="4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primary competitors in the neurosurgery markets are Medtronic, Inc., Johnson &amp; Johnson, and Stryker Corporation. In addition, many of our neurosurgery product lines compete with smaller specialized companies or larger companies that do not otherwise focus on neurosurgery. Our competitors in extremity reconstruction include the DePuy/Synthes business of Johnson &amp; Johnson, Stryker Corporation, and Zimmer Inc., as well as other major orthopedic companies that carry a full line of reconstructive products. We also compete with Wright Medical Group, Inc., Small Bone Innovations, Inc., Tornier, Inc. and other companies in the extremity reconstruction market category. Our competitors in the spinal implant and orthobiologics markets include Medtronic, Inc., Johnson &amp; Johnson, Stryker Corporation, Zimmer, Inc., NuVasive, Inc., Biomet, Inc., Globus Medical, Inc., Alphatec Spine, Inc., Orthofix, and several smaller, biologically focused companies. In surgical instruments, we compete with the Aesculap division of B. Braun Medical, Inc., as well as V. Mueller, a division of CareFusion. In addition, we compete with Symmetry Medical Inc. and many smaller instrument companies in the reusable and disposable specialty instruments markets. Our private-label products face diverse and broad competition, depending on the market addressed by the product. Finally, in certain cases our products compete primarily against medical practices that treat a condition without using a device or any particular product, such as the medical practices that use autograft tissue instead of our dermal regeneration products, duraplasty products and nerve repair products.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3" w:name="page14"/>
    <w:bookmarkEnd w:id="13"/>
    <w:p>
      <w:pPr>
        <w:ind w:left="180" w:right="20"/>
        <w:spacing w:after="0" w:line="277" w:lineRule="auto"/>
        <w:rPr>
          <w:sz w:val="20"/>
          <w:szCs w:val="20"/>
          <w:color w:val="auto"/>
        </w:rPr>
      </w:pPr>
      <w:r>
        <w:rPr>
          <w:rFonts w:ascii="Arial" w:cs="Arial" w:eastAsia="Arial" w:hAnsi="Arial"/>
          <w:sz w:val="18"/>
          <w:szCs w:val="18"/>
          <w:b w:val="1"/>
          <w:bCs w:val="1"/>
          <w:i w:val="1"/>
          <w:iCs w:val="1"/>
          <w:color w:val="auto"/>
        </w:rPr>
        <w:t>Our current strategy involves growth through acquisitions, which requires us to incur substantial costs and potential liabilities for which we may never realize the anticipated benefits.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internally generated growth, our current strategy involves growth through acquisitions. Between January 1, 2011 and December 31, 2013, we have acquired 3 businesses at a total cost of approximately $159.4 million. Subsequent to year-end, on January 15, 2014, the Company acquired all outstanding shares of Confluent Surgical, Inc., ("Confluent Surgical") - including its surgical sealant and adhesion barrier product lines - from Covidien Group S.a.r.l, ("Covidien") for an aggregate purchase price of $231.0 million and at that time made a separate prepayment of $4.0 million under a transitional supply agreement with an affiliate of Covidien.</w:t>
      </w:r>
    </w:p>
    <w:p>
      <w:pPr>
        <w:spacing w:after="0" w:line="53"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We may be unable to continue to implement our growth strategy, and our strategy ultimately may be unsuccessful. A significant portion of our growth in revenues has resulted from, and is expected to continue to result from, the acquisition of businesses complementary to our own. We engage in evaluations of potential acquisitions and are in various stages of discussion regarding possible acquisitions, certain of which, if consummated, could be significant to us. Any new acquisition could result in material transaction expenses, increased interest and amortization expense, increased depreciation expense, increased operating expense, and possible in-process research and development charges for acquisitions that do not meet the definition of a “business,” any of which could have a material adverse effect on our operating results. Certain businesses that we acquire may not have adequate financial, disclosure, regulatory, quality or other compliance controls at the time we acquire them. As we grow by acquisition, we must manage and integrate the new businesses to bring them into our systems for financial, disclosure, compliance, regulatory and quality control, realize economies of scale, and control costs. In addition, acquisitions involve other risks, including diversion of management resources otherwise available for development of our business and risks associated with entering markets in which our marketing teams and sales force has limited experience or where experienced distribution alliances are not available. Our future profitability will depend in part upon our ability to develop further our resources to adapt to these new products or business areas and to identify and enter into or maintain satisfactory distribution networks. We may not be able to identify suitable acquisition candidates in the future, obtain acceptable financing or consummate any future acquisitions. If we cannot integrate acquired operations, manage the cost of providing our products or price our products appropriately, our profitability could suffer. In addition, as a result of our acquisitions of other healthcare businesses, we may be subject to the risk of unanticipated business uncertainties, regulatory and other compliance matters or legal liabilities relating to those acquired businesses for which the sellers of the acquired businesses may not indemnify us, for which we may not be able to obtain insurance (or adequate insurance), or for which the indemnification may not be sufficient to cover the ultimate liabilities.</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future financial results could be adversely affected by impairments or other charges.</w:t>
      </w:r>
    </w:p>
    <w:p>
      <w:pPr>
        <w:spacing w:after="0" w:line="2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Since we have grown through acquisitions, we have $249.8 million of goodwill and $49.9 million of indefinite-lived intangible assets as of December 31, 2013. Under the authoritative guidance for determining the useful life of intangible assets, we are required to test both goodwill and indefinite-lived intangible assets for impairment on an annual basis based upon a fair value approach, rather than amortizing them over time. We are also required to test goodwill and indefinite-lived intangible assets for impairment between annual tests if an event occurs such as a significant decline in revenues or cash flows for certain products, or the discount rates used in the calculations of discounted cash flow change significantly, or circumstances change that would more likely than not reduce our enterprise fair value below its book value. If such a decline, rate change or circumstance were to materialize, we may record an impairment of these intangible assets that could be material to the financial statements. See “Management’s Discussion and Analysis of Financial Condition and Results of Operations - Critical Accounting Estimates” of this report.</w:t>
      </w:r>
    </w:p>
    <w:p>
      <w:pPr>
        <w:spacing w:after="0" w:line="1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guidance on long-lived assets requires that we assess the impairment of our long-lived assets, including finite-lived intangible assets, whenever events or changes in circumstances indicate that the carrying value may not be recoverable as measured by the sum of the expected future undiscounted cash flows. As of December 31, 2013, we had $299.1 million of finite-lived intangible assets.</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December 31, 2013 our tradenames have a carrying value of $66.5 million and decisions relating to our trade names may occur over time as our re-branding strategy continues to be implemented. Additionally, we may discontinue certain products in the future as we continue to assess the profitability of our product lines. As a result, we may need to record impairment charges or accelerate amortization on certain trade names or technology-related intangible assets in the future.</w:t>
      </w:r>
    </w:p>
    <w:p>
      <w:pPr>
        <w:spacing w:after="0" w:line="52" w:lineRule="exact"/>
        <w:rPr>
          <w:sz w:val="20"/>
          <w:szCs w:val="20"/>
          <w:color w:val="auto"/>
        </w:rPr>
      </w:pPr>
    </w:p>
    <w:p>
      <w:pPr>
        <w:jc w:val="both"/>
        <w:ind w:right="20" w:firstLine="324"/>
        <w:spacing w:after="0" w:line="302" w:lineRule="auto"/>
        <w:rPr>
          <w:sz w:val="20"/>
          <w:szCs w:val="20"/>
          <w:color w:val="auto"/>
        </w:rPr>
      </w:pPr>
      <w:r>
        <w:rPr>
          <w:rFonts w:ascii="Arial" w:cs="Arial" w:eastAsia="Arial" w:hAnsi="Arial"/>
          <w:sz w:val="16"/>
          <w:szCs w:val="16"/>
          <w:color w:val="auto"/>
        </w:rPr>
        <w:t>The value of a medical device business is often volatile, and the assumptions underlying our estimates made in connection with our assessments under the guidance may change as a result of that volatility or other factors outside our control and may result in impairment charges. The amount of any such impairment charges could be significant and could have a material adverse effect on our reported financial results for the period in which the charge is taken and could have an adverse effect on the market price of our securities, including the notes and the common stock into which they may be converted.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49" w:right="239" w:bottom="1440" w:gutter="0" w:footer="0" w:header="0"/>
        </w:sectPr>
      </w:pPr>
    </w:p>
    <w:bookmarkStart w:id="14" w:name="page15"/>
    <w:bookmarkEnd w:id="14"/>
    <w:p>
      <w:pPr>
        <w:ind w:left="180"/>
        <w:spacing w:after="0" w:line="277" w:lineRule="auto"/>
        <w:rPr>
          <w:sz w:val="20"/>
          <w:szCs w:val="20"/>
          <w:color w:val="auto"/>
        </w:rPr>
      </w:pPr>
      <w:r>
        <w:rPr>
          <w:rFonts w:ascii="Arial" w:cs="Arial" w:eastAsia="Arial" w:hAnsi="Arial"/>
          <w:sz w:val="18"/>
          <w:szCs w:val="18"/>
          <w:b w:val="1"/>
          <w:bCs w:val="1"/>
          <w:i w:val="1"/>
          <w:iCs w:val="1"/>
          <w:color w:val="auto"/>
        </w:rPr>
        <w:t>The adoption of healthcare reform in the United States and initiatives sponsored by other governments may adversely affect our business, results of operations and/or financial condition.</w:t>
      </w:r>
    </w:p>
    <w:p>
      <w:pPr>
        <w:spacing w:after="0" w:line="3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operations may be substantially affected by potential fundamental changes in the political, economic and regulatory landscape of the healthcare industry. Government and private sector initiatives to limit the growth of healthcare costs are continuing in the U.S., and in many other countries where we do business, causing the marketplace to put increased emphasis on the delivery of more cost-effective treatments. These initiatives include price regulation, competitive pricing, coverage and payment policies, comparative effectiveness of therapies, technology assessments and managed-care arrangements.</w:t>
      </w:r>
    </w:p>
    <w:p>
      <w:pPr>
        <w:spacing w:after="0" w:line="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March 2010, significant reforms to the U.S. healthcare system were adopted in the form of the Patient Protection and Affordable Care Act (the “Affordable Care Act”). The Affordable Care Act includes provisions that, among other things, reduce and/or limit Medicare reimbursement, require all individuals to have health insurance (with limited exceptions) and impose new and/or increased taxes. Specifically, the law requires the medical device industry to subsidize healthcare reform by implementing a 2.3% excise tax on the sale of certain medical devices by a manufacturer, producer or importer of such devices in the United States starting after December 31, 2012. Because the substantial majority of our revenues is generated in the United States, the Affordable Care Act has affected our financial results.</w:t>
      </w:r>
    </w:p>
    <w:p>
      <w:pPr>
        <w:spacing w:after="0" w:line="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the Affordable Care Act also requires detailed disclosure of gifts and other remuneration made to healthcare professionals, which may have a negative impact on our relationships with customers and ability to seek input on product design or involvement in research.</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provisions of the Affordable Care Act could meaningfully change the way healthcare is developed and delivered in the United States, and may adversely affect our business and results of operations.</w:t>
      </w:r>
    </w:p>
    <w:p>
      <w:pPr>
        <w:spacing w:after="0" w:line="3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There are many programs and requirements for which the details have not yet been fully established or consequences not fully understood, and it is unclear what the full impact of the legislation will be. We cannot predict what healthcare programs and regulations will ultimately be implemented at the U.S. federal or state level, or the effect of any future legislation or regulation in the United States or elsewhere. However, any changes that lower reimbursements for our products or reduce medical procedure volumes could have a material adverse effect on our business, financial condition and results of operations.</w:t>
      </w:r>
    </w:p>
    <w:p>
      <w:pPr>
        <w:spacing w:after="0" w:line="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Initiatives sponsored by government agencies, legislative bodies and the private sector to limit the growth of healthcare costs, including price regulation and competitive pricing, are ongoing in other markets where we do business.</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Further, the Affordable Care Act encourages hospitals and physicians to work collaboratively through shared savings programs, such as accountable care organizations, as well as other bundled payment initiatives, which may ultimately result in the reduction of medical device purchases and the consolidation of medical device suppliers used by hospitals.</w:t>
      </w:r>
    </w:p>
    <w:p>
      <w:pPr>
        <w:spacing w:after="0" w:line="46"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Changes in the healthcare industry may require us to decrease the selling price for our products, may reduce the size of the market for our products, or may eliminate a market, any of which could have a negative impact on our financial performance.</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Trends toward managed care, healthcare cost containment and other changes in government and private sector initiatives in the United States and other countries in which we do business are placing increased emphasis on the delivery of more cost-effective medical therapies that could adversely affect the sale and/or the prices of our products. For example:</w:t>
      </w:r>
    </w:p>
    <w:p>
      <w:pPr>
        <w:spacing w:after="0" w:line="262" w:lineRule="exact"/>
        <w:rPr>
          <w:sz w:val="20"/>
          <w:szCs w:val="20"/>
          <w:color w:val="auto"/>
        </w:rPr>
      </w:pPr>
    </w:p>
    <w:p>
      <w:pPr>
        <w:jc w:val="both"/>
        <w:ind w:left="660" w:hanging="328"/>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mentioned above, the Affordable Care Act, which is intended to expand access to health insurance coverage over time, will result in major changes in the United States healthcare system that could have an adverse effect on our business, including a 2.3% excise tax on U.S. sales of most medical devices, implemented in 2013, which has adversely affected our earnings;</w:t>
      </w: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third-party payors of hospital services and hospital outpatient services, including Medicare, Medicaid, private and public health insurers and foreign governmental health systems, annually revise their payment methodologies, which can result in stricter standards for reimbursement of hospital charges for certain medical procedures or the elimination of reimbursement;</w:t>
      </w:r>
    </w:p>
    <w:p>
      <w:pPr>
        <w:spacing w:after="0" w:line="1"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foreign governmental health systems have revised, and continue to consider whether to revise, their payment methodologies, which have resulted and could continue to result in stricter standards for reimbursement of hospital charges for certain medical procedures leading to less government reimbursement, thereby putting downward pricing pressure on our products or rendering some uneconomical;</w:t>
      </w: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Medicare, Medicaid, private and public health insurer and foreign governmental cutbacks could create downward price pressure on our products;</w:t>
      </w:r>
    </w:p>
    <w:p>
      <w:pPr>
        <w:spacing w:after="0" w:line="32" w:lineRule="exact"/>
        <w:rPr>
          <w:rFonts w:ascii="Arial" w:cs="Arial" w:eastAsia="Arial" w:hAnsi="Arial"/>
          <w:sz w:val="16"/>
          <w:szCs w:val="16"/>
          <w:color w:val="auto"/>
        </w:rPr>
      </w:pPr>
    </w:p>
    <w:p>
      <w:pPr>
        <w:jc w:val="both"/>
        <w:ind w:left="660" w:hanging="328"/>
        <w:spacing w:after="0" w:line="2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United States, local Medicare coverage as well as commercial carrier coverage determinations will reduce or eliminate reimbursement or coverage for certain of our wound matrix products as well as other collagen products in most regions, negatively affecting our market for these products, and future determinations could reduce or eliminate reimbursement or coverage for these products in other regions and could reduce or eliminate reimbursement or coverage for other products;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49" w:right="239" w:bottom="1440" w:gutter="0" w:footer="0" w:header="0"/>
        </w:sectPr>
      </w:pPr>
    </w:p>
    <w:bookmarkStart w:id="15" w:name="page16"/>
    <w:bookmarkEnd w:id="15"/>
    <w:p>
      <w:pPr>
        <w:jc w:val="both"/>
        <w:ind w:left="660" w:hanging="328"/>
        <w:spacing w:after="0" w:line="25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has been a consolidation among healthcare facilities and purchasers of medical devices in the United States some of whom prefer to limit the number of suppliers from whom they purchase medical products, and these entities may decide to stop purchasing our products or demand discounts on our prices;</w:t>
      </w:r>
    </w:p>
    <w:p>
      <w:pPr>
        <w:ind w:left="660" w:right="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has been a growing movement of physicians becoming employees of hospitals and other healthcare entities, which aligns surgeon product choices with his or her employers' purchasing decisions, and adds to pricing pressures;</w:t>
      </w:r>
    </w:p>
    <w:p>
      <w:pPr>
        <w:jc w:val="both"/>
        <w:ind w:left="660" w:hanging="328"/>
        <w:spacing w:after="0" w:line="323"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United States, we are party to contracts with group purchasing organizations, which negotiate pricing for many member hospitals, that require us to discount our prices for certain of our products and limit our ability to raise prices for certain of our products, particularly surgical instruments;</w:t>
      </w:r>
    </w:p>
    <w:p>
      <w:pPr>
        <w:spacing w:after="0" w:line="138" w:lineRule="exact"/>
        <w:rPr>
          <w:rFonts w:ascii="Arial" w:cs="Arial" w:eastAsia="Arial" w:hAnsi="Arial"/>
          <w:sz w:val="16"/>
          <w:szCs w:val="16"/>
          <w:color w:val="auto"/>
        </w:rPr>
      </w:pPr>
    </w:p>
    <w:p>
      <w:pPr>
        <w:ind w:left="660" w:hanging="328"/>
        <w:spacing w:after="0" w:line="29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there is economic pressure to contain healthcare costs in domestic and international markets, and, regardless of the consolidation discussed above, providers generally are exploring ways to cut costs by eliminating purchases or driving reductions in the prices that they pay for medical devices;</w:t>
      </w: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are proposed and existing laws, regulations and industry policies in domestic and international markets regulating the sales and marketing practices and the pricing and profitability of companies in the healthcare industry;</w:t>
      </w: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proposed laws or regulations will permit hospitals to provide financial incentives to doctors for reducing hospital costs (known as gainsharing), will award physician efficiency (known as physician profiling), and will encourage partnerships with healthcare service and goods providers to reduce prices;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prevalence of physician-owned distributorships catering to the spinal surgery market has reduced and may continue to reduce our ability to compete effectively for business from surgeons who own such distributorships; and</w:t>
      </w:r>
    </w:p>
    <w:p>
      <w:pPr>
        <w:ind w:left="6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have been initiatives by third-party payors and foreign governmental health systems to challenge the prices charged for medical products that could affect our ability to sell products on a competitive basis.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and all of the above factors could materially and adversely affect our levels of revenue and our profitability.</w:t>
      </w:r>
    </w:p>
    <w:p>
      <w:pPr>
        <w:spacing w:after="0" w:line="90"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are subject to stringent domestic and foreign medical device regulation and any adverse regulatory action may materially adversely affect our financial condition and business operations.</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products, development activities and manufacturing processes are subject to extensive and rigorous regulation by numerous government agencies, including the FDA and comparable foreign agencies. To varying degrees, each of these agencies monitors and enforces our compliance with laws and regulations governing the development, testing, manufacturing, labeling, marketing and distribution of our medical devices. The process of obtaining marketing approval or clearance from the FDA and comparable foreign regulatory agencies for new products, or for enhancements or modifications to existing products, could:</w:t>
      </w:r>
    </w:p>
    <w:p>
      <w:pPr>
        <w:spacing w:after="0" w:line="14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take a significant amount of time;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the expenditure of substantial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involve rigorous and expensive pre-clinical and clinical testing, as well as increased post-market surveillance;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involve modifications, repairs or replacements of our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result in limitations on the indicated uses of our products.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be certain that we will receive required approval or clearance from the FDA and foreign regulatory agencies for new products or modifications to existing products on a timely basis. The failure to receive approval or clearance for significant new products or modifications to existing products on a timely basis could have a material adverse effect on our financial condition and results of operations.</w:t>
      </w:r>
    </w:p>
    <w:p>
      <w:pPr>
        <w:spacing w:after="0" w:line="4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Both before and after a product is commercially released, we have ongoing responsibilities under FDA regulations. For example, we are required to comply with the FDA's Quality System Regulation (QSR), which mandates that manufacturers of medical devices adhere to certain quality assurance requirements pertaining to, among other things, validation of manufacturing processes, controls for purchasing product components, and documentation practices. As another example, the Federal Medical Device Reporting regulation requires us to provide information to the FDA whenever there is evidence that reasonably suggests that a device may have caused or contributed to a death or serious injury or, that a malfunction occurred which would be likely to cause or contribute to a death or serious injury upon recurrence. Compliance with applicable regulatory requirements is subject to continual review and is monitored rigorously through periodic inspections by the FDA, which may result in observations on Form 483, and in some cases warning letters, that require corrective action. If the FDA were to conclude that we are not in compliance with applicable laws or regulations, or that any of our medical devices are ineffective or pose an unreasonable health risk, the FDA could ban such medical devices, detain or seize such medical devices, order a recall, repair, replacement, or refund of such devices, or require us to notify health professionals and others that the devices present unreasonable risks of substantial harm to the public health.</w:t>
      </w:r>
    </w:p>
    <w:p>
      <w:pPr>
        <w:spacing w:after="0" w:line="2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FDA has been increasing its scrutiny of the medical device industry and the government is expected to continue to scrutinize the industry closely with inspections, and possibly enforcement actions, by the FDA or other agencies. Additionally, the FDA may restrict manufacturing and impose other operating restrictions, enjoin and restrain certain violations of applicable law pertaining to medical devices, and assess civil or criminal penalties against our officers, employees, or us. The FDA may also</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t>recommend prosecution to the Department of Justice. Any adverse regulatory action, depending on its magnitude, may restrict us from effectively manufacturing, marketing and selling our products. In addition, negative publicity and product liability claims resulting from any adverse regulatory action could have a material adverse effect on our financial condition and results of operations.</w:t>
      </w:r>
    </w:p>
    <w:p>
      <w:pPr>
        <w:spacing w:after="0" w:line="2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have outstanding FDA warning letters related to our Andover, England and Añasco, Puerto Rico facilities. We have incurred, and will incur, expenses to remediate issues identified in those warning letters and other observations issued in connection with other inspections at other facilities, and to prepare our manufacturing facilities for anticipated FDA inspections. The FDA has notified us that it will not grant requests for exportation certificates to foreign governments for our Añasco, Puerto Rico facility (the “Añasco Facility”) until the violations identified in the warning letter have been corrected. If such remediation cannot be completed in a timely manner, we may not be able to sell such products in certain markets. There can be no assurance that such remediation and preparation activities will address all such observations to the FDA's satisfaction, or that the FDA will not impose additional regulatory sanctions with respect to such observations. On November 26, 2013, the FDA completed an inspection of the Añasco Facility. The Añasco Facility is operating subject to an FDA warning letter dated February 13, 2013 that relates to quality systems and compliance issues. The inspection began on October 25, 2013 and focused primarily on the issues raised in the February 13, 2013 warning letter. At the end of the inspection, the FDA issued a new Form 483 with six observations, relating to Corrective and Preventative Action (“CAPA”), quality system procedures and instructions, procedures pertaining to complaints, procedures pertaining to checking and maintaining equipment, procedures for finished device acceptance and procedures to prevent contamination of equipment or products. Of these, the FDA designated the first observation, related to CAPA, and the third observation, related to complaint procedures, as repeat observations. The FDA did not issue repeat observations about validated processes, document control procedures, process control procedures or schedules for the adjustment, cleaning and maintenance of equipment. The Company had committed to several corporate-wide corrections and additional site corrections and will continue to complete these within the timeframes provided to the FDA in order to remediate the observations that the FDA has made.</w:t>
      </w:r>
    </w:p>
    <w:p>
      <w:pPr>
        <w:spacing w:after="0" w:line="2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FDA Safety and Innovation Act (FDASIA), which includes the Medical Device User Fee Amendments of 2012 (MDUFA III), as well as other medical device provisions, went into effect October 1, 2012. This includes performance goals and user fees paid to the FDA by medical device companies when they register and list with the FDA and when they submit an application to market a device in the U.S. This will affect the fees paid to the FDA over the five-year period that FDASIA is in effect. As part of FDASIA, there are also new requirements regarding FDA Establishment Registration and Listing of Medical Devices. All foreign manufacturers must register and list medical devices for sale in the U.S. All of our facilities comply with these requirements. That said, we also source products from foreign contract manufacturers. From this business practice, it is possible that some of our foreign contract manufacturers will not comply with the new requirements and choose not to register with the FDA. In such an event, we will need to determine if there are alternative foreign contract manufacturers who comply with the FDA Establishment Registration requirements. If such a foreign contract manufacturer is a sole supplier of one of our products, there is a risk that we may not be able to source another supplier.</w:t>
      </w:r>
    </w:p>
    <w:p>
      <w:pPr>
        <w:spacing w:after="0" w:line="22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FDA issued a final rule on September 24, 2013 to establish a system to adequately identify devices through distribution and use. This rule requires the label of medical devices to include a unique device identifier (“UDI”), except where the rule provides for an exception or alternative placement. The labeler must submit product information concerning devices to FDA's Global Unique Device Identification Database, unless subject to an exception or alternative. The system established by this rule requires the label and device package of each medical device to include a UDI and requires that each UDI be provided in a plain-text version and in a form that uses automatic identification and data capture technology. If the device is intended to be used more than once and intended to be reprocessed before each use, then there is a requirement for the UDI to be directly marked on the device itself. This regulation will require significant resources and expense to comply with the regulation.</w:t>
      </w:r>
    </w:p>
    <w:p>
      <w:pPr>
        <w:spacing w:after="0" w:line="21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some of our orthobiologics products are subject to FDA and certain state regulations regarding human cells, tissues, and cellular or tissue-based products, which include requirements for Establishment Registration and listing, donor eligibility, current good tissue practices, labeling, adverse-event reporting, and inspection and enforcement. Some states have their own tissue banking regulation. We are licensed or have permits as a tissue bank in California, Florida, New York and Maryland. In addition, tissue banks may undergo voluntary accreditation by the American Association of Tissue Banks (the “AATB”). The AATB has issued operating standards for tissue banking. Compliance with these standards is a requirement in order to become a licensed tissue bank. Finally, the FDA issued new regulations regarding “Current Good Manufacturing Practice Requirements for Combination Products” on January 22, 2013. While we have not had any products approved or cleared through the FDA as Combination Products, these new regulations may apply to some of our product lines that were approved or cleared previously. There could be additional costs associated with compliance with these new Good Manufacturing Practice Requirements regulations for Combination Products.</w:t>
      </w:r>
    </w:p>
    <w:p>
      <w:pPr>
        <w:spacing w:after="0" w:line="22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manufacture medical devices that are subject to various electrical safety standards. Many countries have adopted the recommendations of the International Electrotechnical Commission (“IEC”) for the safety and effectiveness of medical electrical equipment. The IEC is a non-profit, non-governmental international standards organization that prepares and publishes International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49" w:right="239" w:bottom="1440" w:gutter="0" w:footer="0" w:header="0"/>
        </w:sectPr>
      </w:pPr>
    </w:p>
    <w:bookmarkStart w:id="17" w:name="page18"/>
    <w:bookmarkEnd w:id="17"/>
    <w:p>
      <w:pPr>
        <w:jc w:val="both"/>
        <w:spacing w:after="0" w:line="257" w:lineRule="auto"/>
        <w:rPr>
          <w:sz w:val="20"/>
          <w:szCs w:val="20"/>
          <w:color w:val="auto"/>
        </w:rPr>
      </w:pPr>
      <w:r>
        <w:rPr>
          <w:rFonts w:ascii="Arial" w:cs="Arial" w:eastAsia="Arial" w:hAnsi="Arial"/>
          <w:sz w:val="18"/>
          <w:szCs w:val="18"/>
          <w:color w:val="auto"/>
        </w:rPr>
        <w:t>Standards for all electrical, electronic and related technologies. Their updated standards were implemented in some markets starting in July 2012 and have continued to be adopted over the following years worldwide. If we cannot comply with these standards, we may not be able to sell some of our products in the affected markets. Most of our affected products have already been modified to meet the new standards and are substantially in compliance with these standards. Except in limited circumstances, we do not anticipate any delays in selling our products in the markets that have adopted the IEC updated standards.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addition, the FDCA permits device manufacturers to promote products solely for the uses and indications set forth in the approved product labeling. A number of enforcement actions have been taken against manufacturers that promote products for “off-label” uses, including actions alleging that federal health care program reimbursement of products promoted for "off-label" uses are false and fraudulent claims to the government. The failure to comply with “off-label” promotion restrictions can result in significant financial penalties and a required corporate integrity agreement with the federal government imposing significant administrative obligations and costs, and potential evaluation from federal health care programs.</w:t>
      </w:r>
    </w:p>
    <w:p>
      <w:pPr>
        <w:spacing w:after="0" w:line="21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Foreign governmental regulations have become increasingly stringent and more common, and we may become subject to even more rigorous regulation by foreign governmental authorities in the future. Penalties for a company's noncompliance with foreign governmental regulation could be severe, including revocation or suspension of a company's business license and criminal sanctions. Any domestic or foreign governmental medical device law or regulation imposed in the future may have a material adverse effect on our financial condition and business operations.</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Certain of our products contain materials derived from animal sources and may become subject to additional regulation.</w:t>
      </w:r>
    </w:p>
    <w:p>
      <w:pPr>
        <w:spacing w:after="0" w:line="9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Certain of our products, including our dermal regeneration products, duraplasty products, biomaterial products for the spine, nerve and tendon repair products and certain other products, contain material derived from bovine tissue. In 2013 approximately 23% of our revenues were attributable to products containing material derived from bovine tissue. Products that contain materials derived from animal sources, including food, pharmaceuticals and medical devices, are subject to scrutiny in the media and by regulatory authorities. Regulatory authorities are concerned about the potential for the transmission of disease from animals to humans via those materials. This public scrutiny has been particularly acute in Japan and Western Europe with respect to products derived from animal sources, because of concern that materials infected with the agent that causes bovine spongiform encephalopathy, otherwise known as BSE or mad cow disease, may, if ingested or implanted, cause a variant of the human Creutzfeldt-Jakob Disease, an ultimately fatal disease with no known cure. Cases of BSE in cattle discovered in Canada and the United States have increased awareness of the issue in North America. In 2013, the World Organization for Animal Health (OIE) recommended that the United States risk classification for BSE be upgraded from controlled risk to negligible risk.</w:t>
      </w:r>
    </w:p>
    <w:p>
      <w:pPr>
        <w:spacing w:after="0" w:line="3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take care to provide that our products are safe and free of agents that can cause disease. In particular, we have qualified a source of collagen from a country outside the United States that is considered BSE-free. The World Health Organization classifies different types of cattle tissue for relative risk of BSE transmission. Deep flexor tendon is in the lowest-risk categories for BSE transmission (the same category as milk, for example), and is therefore considered to have a negligible risk of containing the agent that causes BSE (an improperly folded protein known as a prion). Nevertheless, products that contain materials derived from animals, including our products, could become subject to additional regulation, or even be banned in certain countries, because of concern over the potential for the transmission of prions. Significant new regulation, or a ban of our products, could have a material adverse effect on our current business or our ability to expand our business.</w:t>
      </w:r>
    </w:p>
    <w:p>
      <w:pPr>
        <w:spacing w:after="0" w:line="5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Certain countries, such as Japan, China, Taiwan and Argentina, have issued regulations that require our collagen products be processed from bovine tendon sourced from countries where no cases of BSE have occurred, and the EU has requested that our dural replacement products and other products that are used in neurological tissue be sourced from bovine tendon sourced from a country where no cases of BSE have occurred. Currently, we purchase our tendon from the United States and New Zealand. We received approval in the EU, Japan, Taiwan, China and Argentina for the use of New Zealand-sourced tendon in the manufacturing of our products. If we cannot continue to use or qualify a source of tendon from New Zealand or another country that has never had a case of BSE, we will not be permitted to sell our collagen products in certain countries.</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Certain of our products are derived from human tissue and are subject to additional regulations and requirements.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manufacture medical devices derived from human tissue (demineralized bone tissue). The FDA has specific regulations governing human cells, tissues and cellular and tissue-based products, or HCT/Ps. An HCT/P is a product containing or consisting of human cells or tissue intended for transplantation into a human patient. Examples include bone, ligament, skin and cornea.</w:t>
      </w:r>
    </w:p>
    <w:p>
      <w:pPr>
        <w:spacing w:after="0" w:line="4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Some HCT/Ps also meet the definition of a biological product, medical device or drug regulated under the FD&amp;C ACT. Section 361 of the PHSA authorizes the FDA to issue regulations to prevent the introduction, transmission or spread of communicable disease. HCT/Ps regulated as “361” HCT/Ps are subject to requirements relating to registering facilities and listing products with FDA, screening and testing for tissue donor eligibility, Good Tissue Practice, or GTP, when processing, storing, labeling, and distribution HCT/Ps, including required labeling information, stringent record keeping; and adverse event reporting. These biologic, device or drug HCT/Ps must comply both with the requirements exclusively applicable to 361 HCT/Ps and, in addition, with requirements applicable to biologics, devices or drugs, including premarket clearance or approval.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49" w:right="239" w:bottom="1440" w:gutter="0" w:footer="0" w:header="0"/>
        </w:sectPr>
      </w:pPr>
    </w:p>
    <w:bookmarkStart w:id="18" w:name="page19"/>
    <w:bookmarkEnd w:id="18"/>
    <w:p>
      <w:pPr>
        <w:jc w:val="both"/>
        <w:ind w:firstLine="324"/>
        <w:spacing w:after="0" w:line="264" w:lineRule="auto"/>
        <w:rPr>
          <w:sz w:val="20"/>
          <w:szCs w:val="20"/>
          <w:color w:val="auto"/>
        </w:rPr>
      </w:pPr>
      <w:r>
        <w:rPr>
          <w:rFonts w:ascii="Arial" w:cs="Arial" w:eastAsia="Arial" w:hAnsi="Arial"/>
          <w:sz w:val="18"/>
          <w:szCs w:val="18"/>
          <w:color w:val="auto"/>
        </w:rPr>
        <w:t>The American Association of Tissue Banks (“AATB”) has issued operating standards for tissue banking. Compliance with these standards is a requirement in order to become a licensed tissue bank. In addition, some states have their own tissue banking regulations. We are licensed or have permits as a tissue bank in California, Florida, New York and Maryland.</w:t>
      </w:r>
    </w:p>
    <w:p>
      <w:pPr>
        <w:spacing w:after="0" w:line="4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procurement of certain human organs and tissue for transplantation is subject to the restrictions of the National Organ Transplant Act (“NOTA”), which prohibits the transfer of certain human organs, including skin and related tissue for valuable consideration, but permits the reasonable payment associated with the removal, transportation, implantation, processing, preservation, quality control and storage of human tissue and skin. We reimburse tissue banks for their expenses associated with the recovery, storage and transportation of donated human tissue that they provide to us for processing. We include in our pricing structure amounts paid to tissue banks to reimburse them for their expenses associated with the recovery and transportation of the tissue, in addition to certain costs associated with processing, preservation, quality control and storage of the tissue, marketing and medical education expenses, and costs associated with development of tissue processing technologies. NOTA payment allowances may be interpreted to limit the amount of costs and expenses that we can recover in our pricing for our products, thereby reducing our future revenue and profitability. If we were to be found to have violated NOTA’s prohibition on the sale or transfer of human tissue for valuable consideration, we would potentially be subject to criminal enforcement sanctions, which could materially and adversely affect our results of operations.</w:t>
      </w:r>
    </w:p>
    <w:p>
      <w:pPr>
        <w:spacing w:after="0" w:line="4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the EU, regulations, if applicable, differ from one EU member state to the next. Because of the absence of a harmonized regulatory framework and the proposed regulation for advanced therapy medicinal products in the EU, as well as for other countries, the approval process for human derived cell or tissue based medical products could be extensive, lengthy, expensive, and unpredictable. Among others, some of our orthobiologics products are subject to EU member states’ regulations that govern the donation, procurement, testing, coding, traceability, processing, preservation, storage, and distribution of human tissues and cells and cellular or tissue-based products. These EU member states’ regulations include requirements for registration, listing, labeling, adverse-event reporting, and inspection and enforcement. Some EU member states have their own tissue banking regulations.</w:t>
      </w:r>
    </w:p>
    <w:p>
      <w:pPr>
        <w:spacing w:after="0" w:line="30"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Lack of market acceptance for our products or market preference for technologies that compete with our products could reduce our revenues and profitability.</w:t>
      </w:r>
    </w:p>
    <w:p>
      <w:pPr>
        <w:spacing w:after="0" w:line="3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cannot be certain that our current products or any other products that we develop or market will achieve or maintain market acceptance. Certain of the medical indications that our devices can treat can also be treated by other medical devices or by medical practices that do not include a device. The medical community widely accepts many alternative treatments, and certain of these other treatments have a long history of use. For example, the use of autograft tissue is a well-established means for repairing the dermis, and it competes for acceptance in the market with our collagen-based wound care products.</w:t>
      </w:r>
    </w:p>
    <w:p>
      <w:pPr>
        <w:spacing w:after="0" w:line="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cannot be certain that our new devices and procedures will be able to replace those established treatments or that physicians, the medical community or third-party payors, including Medicare, Medicaid, private and public health insurers and foreign governmental health systems, will accept and utilize our devices or any other medical products that we may develop. For example, greater market acceptance of our wound graft products may ultimately depend on our ability to demonstrate that higher rates of reimbursement are justified because they are an attractive and cost-effective alternative to other treatment options. Additionally, if there are negative events in the industry, whether real or perceived, there could be a negative impact on the industry as a whole. For example, we believe that some in the medical community have lingering concerns over the risk of disease transmission through the use of natural bone graft substitutes.</w:t>
      </w:r>
    </w:p>
    <w:p>
      <w:pPr>
        <w:spacing w:after="0" w:line="5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addition, our future success depends, in part, on our ability to develop additional products. Even if we determine that a product candidate has medical benefits, the cost of commercializing that product candidate could be too high to justify development. Competitors could develop products that are more effective, achieve or maintain more favorable reimbursement status from third-party payors both domestically and internationally, including Medicare, Medicaid, private and public health insurers, and foreign governmental health systems, cost less or are ready for commercial introduction before our products. If we are unable to develop additional commercially viable products, our future prospects could be adversely affected.</w:t>
      </w:r>
    </w:p>
    <w:p>
      <w:pPr>
        <w:spacing w:after="0" w:line="3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Market acceptance of our products depends on many factors, including our ability to convince prospective collaborators and customers that our technology is an attractive alternative to other technologies, to manufacture products in sufficient quantities and at acceptable costs, and to supply and service sufficient quantities of our products directly or through our distribution alliances. In addition, unfavorable reimbursement methodologies, or adverse determinations of third-party payors, including Medicare, Medicaid, private and public health insurers, and foreign governmental health systems, against our products or third-party determinations that favor a competitor’s product over ours, could harm acceptance or continued use of our products. The industry is subject to rapid and continuous change arising from, among other things, consolidation, technological improvements, the pressure on governments, third-party payors and providers to reduce healthcare costs, and healthcare reform legislation and initiatives domestically and internationally. One or more of these factors may vary unpredictably, and such variations could have a material adverse effect on our competitive position. We may not be able to adjust our contemplated plan of development to meet changing market demands.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49" w:right="239" w:bottom="1440" w:gutter="0" w:footer="0" w:header="0"/>
        </w:sectPr>
      </w:pPr>
    </w:p>
    <w:bookmarkStart w:id="19" w:name="page20"/>
    <w:bookmarkEnd w:id="19"/>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Current economic conditions may adversely affect the ability of hospitals, other customers, suppliers and distributors to access funds or otherwise have available liquidity, which could reduce orders for our products or interrupt our production or distribution or result in a reduction in elective and non-reimbursed operative procedures.</w:t>
      </w:r>
    </w:p>
    <w:p>
      <w:pPr>
        <w:spacing w:after="0" w:line="22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Current economic conditions, especially in Europe, may adversely affect the ability of hospitals and other customers to access funds to enable them to fund their operating and capital budgets. As a result, hospitals and other customers may reduce budgets or put all or part of their budgets on hold or close their operations, which could have a negative effect on our sales, particularly the sales of capital equipment such as our ultrasonic surgical aspirators, neuromonitors and stereotactic products, or result in a reduction in elective and non-reimbursed procedures. Governmental austerity policies in Europe and other markets have reduced and could continue to reduce the amount of money available to purchase medical products, including our products.</w:t>
      </w:r>
    </w:p>
    <w:p>
      <w:pPr>
        <w:spacing w:after="0" w:line="1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Disruptions in the financial markets may adversely affect the availability and cost of credit to us.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Senior Credit Facility and 2016 Notes (both hereinafter defined) all mature in 2016. Subsequent to December 31, 2013 we incurred additional borrowing under our Senior Credit Facility, and as a result we have approximately $651.9 million of outstanding borrowings under these two financing arrangements. The Company may attempt to refinance or extend, either or both of these obligations, over the next 12-18 months depending on prevailing market conditions. Our ability to refinance or extend these obligations will depend on our operating and financial performance, which in turn is subject to prevailing economic conditions and financial, business and other factors beyond our control. Any disruptions in our operations, the financial markets, or overall economy may adversely affect the availability and cost of credit to us.</w:t>
      </w:r>
    </w:p>
    <w:p>
      <w:pPr>
        <w:spacing w:after="0" w:line="35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 may be difficult to replace some of our suppliers.</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Outside vendors, some of whom are sole-source suppliers, provide key components and raw materials used in the manufacture of our products. Although we believe that alternative sources for many of these components and raw materials are available, any interruption in supply of a limited or sole-source component or raw material could harm our ability to manufacture our products until a new or alternative source of supply is identified and qualified. In addition, an uncorrected defect or supplier’s variation in a component or raw material, either unknown to us or incompatible with our manufacturing process, could harm our ability to manufacture products. We may not be able to find a sufficient alternative supplier in a reasonable time period, or on commercially reasonable terms, if at all, and our ability to produce and supply our products could be impaired. We believe that these factors are most likely to affect the following products that we manufacture:</w:t>
      </w:r>
    </w:p>
    <w:p>
      <w:pPr>
        <w:spacing w:after="0" w:line="270" w:lineRule="exact"/>
        <w:rPr>
          <w:sz w:val="20"/>
          <w:szCs w:val="20"/>
          <w:color w:val="auto"/>
        </w:rPr>
      </w:pPr>
    </w:p>
    <w:p>
      <w:pPr>
        <w:ind w:left="980" w:hanging="648"/>
        <w:spacing w:after="0" w:line="258" w:lineRule="auto"/>
        <w:tabs>
          <w:tab w:leader="none" w:pos="656"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collagen-based products, such as the Integra</w:t>
      </w:r>
      <w:r>
        <w:rPr>
          <w:rFonts w:ascii="Arial" w:cs="Arial" w:eastAsia="Arial" w:hAnsi="Arial"/>
          <w:sz w:val="18"/>
          <w:szCs w:val="18"/>
          <w:color w:val="auto"/>
          <w:vertAlign w:val="superscript"/>
        </w:rPr>
        <w:t>®</w:t>
      </w:r>
      <w:r>
        <w:rPr>
          <w:rFonts w:ascii="Arial" w:cs="Arial" w:eastAsia="Arial" w:hAnsi="Arial"/>
          <w:sz w:val="18"/>
          <w:szCs w:val="18"/>
          <w:color w:val="auto"/>
        </w:rPr>
        <w:t xml:space="preserve"> Dermal Regeneration Template and wound matrix products, the DuraGen</w:t>
      </w:r>
      <w:r>
        <w:rPr>
          <w:rFonts w:ascii="Arial" w:cs="Arial" w:eastAsia="Arial" w:hAnsi="Arial"/>
          <w:sz w:val="18"/>
          <w:szCs w:val="18"/>
          <w:color w:val="auto"/>
          <w:vertAlign w:val="superscript"/>
        </w:rPr>
        <w:t>®</w:t>
      </w:r>
      <w:r>
        <w:rPr>
          <w:rFonts w:ascii="Arial" w:cs="Arial" w:eastAsia="Arial" w:hAnsi="Arial"/>
          <w:sz w:val="18"/>
          <w:szCs w:val="18"/>
          <w:color w:val="auto"/>
        </w:rPr>
        <w:t xml:space="preserve"> family of products, and our Absorbable Collagen Sponges;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products made from silicone, such as our neurosurgical shunts and drainage systems and hemodynamic shunts;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products which use many different specialty parts from numerous suppliers, such as our intracranial monitors and catheters;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products that use pyrolytic carbon (i.e., PyroCarbon) technology, such as certain of our reconstructive extremity orthopedic implants.</w:t>
      </w:r>
    </w:p>
    <w:p>
      <w:pPr>
        <w:spacing w:after="0" w:line="2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some of our orthobiologics products rely on a small number of tissue banks accredited by the American Association of Tissue Banks, or AATB, for the supply of human tissue, a crucial component of our bone graft substitutes. We cannot be certain that these tissue banks will be able to fulfill our requirements or that we will be able to successfully negotiate with other accredited tissue facilities on satisfactory terms.</w:t>
      </w:r>
    </w:p>
    <w:p>
      <w:pPr>
        <w:spacing w:after="0" w:line="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our Confluent Surgical acquisition in January 2014, we entered into a multi-year supply agreement with an affiliate of the seller to continue to manufacture the acquired surgical sealant and adhesion barrier product lines.</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were suddenly unable to purchase products from one or more of these companies, we would need a significant period of time to qualify a replacement, and the production of any affected products could be disrupted.</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While it is our policy to maintain sufficient inventory of components so that our production will not be significantly disrupted even if a particular component or material is not available for a period of time, we remain at risk that we will not be able to qualify new components or materials quickly enough to prevent a disruption if one or more of our suppliers ceases production of important components or materials.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49" w:right="239" w:bottom="1440" w:gutter="0" w:footer="0" w:header="0"/>
        </w:sectPr>
      </w:pPr>
    </w:p>
    <w:bookmarkStart w:id="20" w:name="page21"/>
    <w:bookmarkEnd w:id="20"/>
    <w:p>
      <w:pPr>
        <w:ind w:left="220"/>
        <w:spacing w:after="0" w:line="277" w:lineRule="auto"/>
        <w:rPr>
          <w:sz w:val="20"/>
          <w:szCs w:val="20"/>
          <w:color w:val="auto"/>
        </w:rPr>
      </w:pPr>
      <w:r>
        <w:rPr>
          <w:rFonts w:ascii="Arial" w:cs="Arial" w:eastAsia="Arial" w:hAnsi="Arial"/>
          <w:sz w:val="18"/>
          <w:szCs w:val="18"/>
          <w:b w:val="1"/>
          <w:bCs w:val="1"/>
          <w:i w:val="1"/>
          <w:iCs w:val="1"/>
          <w:color w:val="auto"/>
        </w:rPr>
        <w:t>Our intellectual property rights may not provide meaningful commercial protection for our products, potentially enabling third parties to use our technology or very similar technology and could reduce our ability to compete in the market.</w:t>
      </w:r>
    </w:p>
    <w:p>
      <w:pPr>
        <w:spacing w:after="0" w:line="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 compete effectively, we depend, in part, on our ability to maintain the proprietary nature of our technologies and manufacturing processes, which includes the ability to obtain, protect and enforce patents on our technology and to protect our trade secrets. We own or have licensed patents that cover aspects of some of our product lines. Our patents, however, may not provide us with any significant competitive advantage. Others may challenge our patents and, as a result, our patents could be narrowed, invalidated or rendered unenforceable. Competitors may develop products similar to ours that our patents do not cover. In addition, our current and future patent applications may not result in the issuance of patents in the United States or foreign countries. Further, there is a substantial backlog of patent applications at the U.S. Patent and Trademark Office, and the approval or rejection of patent applications may take several years.</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competitive position depends, in part, upon unpatented trade secrets which we may be unable to protect.</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competitive position also depends upon unpatented trade secrets, which are difficult to protect. We cannot assure you that others will not independently develop substantially equivalent proprietary information and techniques or otherwise gain access to our trade secrets, that our trade secrets will not be disclosed or that we can effectively protect our rights to unpatented trade secrets.</w:t>
      </w:r>
    </w:p>
    <w:p>
      <w:pPr>
        <w:spacing w:after="0" w:line="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an effort to protect our trade secrets, we require our employees, consultants and advisors to execute confidentiality and invention assignment agreements upon commencement of employment or consulting relationships with us. These agreements provide that, except in specified circumstances, all confidential information developed or made known to the individual during the course of their relationship with us must be kept confidential. We cannot assure you, however, that these agreements will provide meaningful protection for our trade secrets or other proprietary information in the event of the unauthorized use or disclosure of confidential information.</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success will depend partly on our ability to operate without infringing or misappropriating the proprietary rights of others.</w:t>
      </w:r>
    </w:p>
    <w:p>
      <w:pPr>
        <w:spacing w:after="0" w:line="9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may be sued for infringing the intellectual property rights of others. In addition, we may find it necessary, if threatened, to initiate a lawsuit seeking a declaration from a court that we do not infringe the proprietary rights of others or that their rights are invalid or unenforceable. If we do not prevail in any litigation, in addition to any damages we might have to pay, we would be required to stop the infringing activity (which could include a cessation of selling the products in question) or obtain a license for the proprietary rights involved. Any required license may be unavailable to us on acceptable terms, if at all. In addition, some licenses may be nonexclusive and allow our competitors to access the same technology we license.</w:t>
      </w:r>
    </w:p>
    <w:p>
      <w:pPr>
        <w:spacing w:after="0" w:line="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fail to obtain a required license or are unable to design our products so as not to infringe on the proprietary rights of others, we may be unable to sell some of our products, and this potential inability could have a material adverse effect on our revenues and profitability.</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be involved in lawsuits relating to our intellectual property rights and promotional practices, which may be expensive.</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protect or enforce our intellectual property rights, we may have to initiate or defend legal proceedings, such as infringement suits or opposition proceedings, against or by third parties. In addition, we may have to institute proceedings regarding our competitors’ promotional practices or defend proceedings regarding our promotional practices. Legal proceedings are costly, and, even if we prevail, the cost of the legal proceedings could affect our profitability. In addition, litigation is time-consuming and could divert management attention and resources away from our business. Moreover, in response to our claims against other parties, those parties could assert counterclaims against us.</w:t>
      </w:r>
    </w:p>
    <w:p>
      <w:pPr>
        <w:spacing w:after="0" w:line="215"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b w:val="1"/>
          <w:bCs w:val="1"/>
          <w:i w:val="1"/>
          <w:iCs w:val="1"/>
          <w:color w:val="auto"/>
        </w:rPr>
        <w:t>If any of our manufacturing facilities were damaged and/or our manufacturing or business processes interrupted, we could experience lost revenues and our business could be seriously harmed.</w:t>
      </w:r>
    </w:p>
    <w:p>
      <w:pPr>
        <w:spacing w:after="0" w:line="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Damage to our manufacturing, development or research facilities because of fire, extreme weather conditions, natural disaster, power loss, communications failure, unauthorized entry or other events, such as a flu or other health epidemic, could cause us to cease development and manufacturing of some or all of our products. In particular, our San Diego and Irvine, California facilities are susceptible to earthquake damage, wildfire damage and power losses from electrical shortages as are other businesses in Southern California. Our Añasco, Puerto Rico plant, where we manufacture collagen, silicone and our private-label products, is vulnerable to hurricane, storm, earthquake and wind damage. Our Plainsboro, New Jersey facility is vulnerable to hurricane damage. Although we maintain property damage and business interruption insurance coverage on these facilities, our insurance might not cover all losses under such circumstances, and we may not be able to renew or obtain such insurance in the future on acceptable terms with adequate coverage or at reasonable costs.</w:t>
      </w:r>
    </w:p>
    <w:p>
      <w:pPr>
        <w:spacing w:after="0" w:line="5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certain of our surgical instruments have some manufacturing processes performed by third parties in Pakistan, which is subject to political instability and unrest, and we purchase a much smaller amount of instruments directly from vendors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11" w:right="239" w:bottom="1440" w:gutter="0" w:footer="0" w:header="0"/>
        </w:sectPr>
      </w:pPr>
    </w:p>
    <w:bookmarkStart w:id="21" w:name="page22"/>
    <w:bookmarkEnd w:id="21"/>
    <w:p>
      <w:pPr>
        <w:jc w:val="both"/>
        <w:spacing w:after="0" w:line="257" w:lineRule="auto"/>
        <w:rPr>
          <w:sz w:val="20"/>
          <w:szCs w:val="20"/>
          <w:color w:val="auto"/>
        </w:rPr>
      </w:pPr>
      <w:r>
        <w:rPr>
          <w:rFonts w:ascii="Arial" w:cs="Arial" w:eastAsia="Arial" w:hAnsi="Arial"/>
          <w:sz w:val="18"/>
          <w:szCs w:val="18"/>
          <w:color w:val="auto"/>
        </w:rPr>
        <w:t>there. Such instability could interrupt our ability to sell surgical instruments to our customers and could have a material adverse effect on our revenues and earnings. While we have developed a relationship with an alternative provider of these services in another country, and continue to work to develop other providers in other countries, we cannot guarantee that we will be completely successful in establishing all of these relationships. Even if we are successful in establishing all of these alternative relationships, we cannot guarantee that we will be able to do so at the same level of costs or that we will be able to pass along additional costs to our customers.</w:t>
      </w:r>
    </w:p>
    <w:p>
      <w:pPr>
        <w:spacing w:after="0" w:line="5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Further, we manufacture certain products in Europe and our European headquarters is located in France, which has experienced labor strikes. Thus far, strikes have not had a material impact on our business; however, if such strikes were to occur, there is no assurance that they would not disrupt our business, and any such disruption could have a material adverse effect on our business.</w:t>
      </w:r>
    </w:p>
    <w:p>
      <w:pPr>
        <w:spacing w:after="0" w:line="4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An experienced third party hosts and maintains the enterprise business system used to support certain of our transaction processing for accounting and financial reporting, supply chain and manufacturing. Currently, we are developing a comprehensive disaster recovery plan for the Company’s infrastructure. As we have not put such a plan in place, we have adopted alternative solutions to mitigate business risk, including backup equipment, power and communications. We also implemented a comprehensive backup and recovery process for our key software applications. Our global production and distribution operations are dependent on the effective management of information flow between facilities. An interruption of the support provided by our enterprise business systems could have a material adverse effect on the business.</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We may experience difficulties, delays, performance impact or unexpected costs from consolidation of facilities.</w:t>
      </w:r>
    </w:p>
    <w:p>
      <w:pPr>
        <w:spacing w:after="0" w:line="225"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We plan on consolidating several facilities in 2014, and may further consolidate our operations in the future in order to improve our cost structure, achieve increased operating efficiencies, and improve our competitive standing or results of operations and/or to address unfavorable economic conditions. As part of these initiatives, we may also lose favorable tax incentives or not be able to renew leases on acceptable terms. We may further reduce staff, make changes to certain capital projects, close certain production operations and abandon leases for certain facilities that will not be used in our operations. In conjunction with any actions, we will continue to make significant investments and build the framework for our future growth. We may not realize, in full or in part, the anticipated benefits and savings from these efforts due to unforeseen difficulties, delays, implementation issues or unexpected costs. If we are unable to achieve or maintain all of the resulting savings or benefits to our business or other unforeseen events occur, our business and results of operations may be adversely affected.</w:t>
      </w:r>
    </w:p>
    <w:p>
      <w:pPr>
        <w:spacing w:after="0" w:line="354"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are exposed to a variety of risks relating to our international sales and operations, including fluctuations in exchange rates, local economic conditions and delays in collection of accounts receivable.</w:t>
      </w:r>
    </w:p>
    <w:p>
      <w:pPr>
        <w:spacing w:after="0" w:line="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generate significant revenues outside the United States in multiple foreign currencies including euros, British pounds, Swiss francs, Canadian dollars, Japanese yen, and Australian dollars, and in U.S. dollar-denominated transactions conducted with customers who generate revenue in currencies other than the U.S. dollar. For those foreign customers who purchase our products in U.S. dollars, currency fluctuations between the U.S. dollar and the currencies in which those customers do business may have a negative impact on the demand for our products in foreign countries where the U.S. dollar has increased in value compared to the local currency.</w:t>
      </w:r>
    </w:p>
    <w:p>
      <w:pPr>
        <w:spacing w:after="0" w:line="5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Since we have operations based outside the United States and we generate revenues and incur operating expenses in multiple foreign currencies including euros, British pounds, Swiss francs, Canadian dollars, Japanese yen, and Australian dollars, we experience currency exchange risk with respect to those foreign currency-denominated revenues and expenses.</w:t>
      </w:r>
    </w:p>
    <w:p>
      <w:pPr>
        <w:spacing w:after="0" w:line="4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cannot predict the consolidated effects of exchange rate fluctuations upon our future operating results because of the number of currencies involved, the variability of currency exposure and the potential volatility of currency exchange rates. Although we address currency risk management through regular operating and financing activities, and, on a limited basis, through the use of derivative financial instruments, those actions may not prove to be fully effective. For a description of our use of derivative financial instruments, see Note 5, “Derivative Instruments” in our consolidated financial statements.</w:t>
      </w:r>
    </w:p>
    <w:p>
      <w:pPr>
        <w:spacing w:after="0" w:line="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international operations subject us to laws regarding sanctioned countries, entities and persons, customs, import-export, laws regarding transactions in foreign countries, the U.S. Foreign Corrupt Practices Act and local anti-bribery and other laws regarding interactions with healthcare professionals, and product registration requirements. Among other things, these laws restrict, and in some cases prohibit, U.S. companies from directly or indirectly selling goods, technology or services to people or entities in certain countries. In addition, these laws require that we exercise care in structuring our sales and marketing practices and effecting product registrations in foreign countries.</w:t>
      </w:r>
    </w:p>
    <w:p>
      <w:pPr>
        <w:spacing w:after="0" w:line="5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Local economic conditions, legal, regulatory or political considerations, disruptions from strikes, the effectiveness of our sales representatives and distributors, local competition, in-country reimbursement methodologies and changes in local medical practice could also affect our sales to foreign markets. Relationships with customers and effective terms of sale frequently vary by country, often with longer-term receivables than are typical in the United States.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49" w:right="239" w:bottom="1440" w:gutter="0" w:footer="0" w:header="0"/>
        </w:sectPr>
      </w:pPr>
    </w:p>
    <w:bookmarkStart w:id="22" w:name="page23"/>
    <w:bookmarkEnd w:id="22"/>
    <w:p>
      <w:pPr>
        <w:ind w:left="180"/>
        <w:spacing w:after="0"/>
        <w:rPr>
          <w:sz w:val="20"/>
          <w:szCs w:val="20"/>
          <w:color w:val="auto"/>
        </w:rPr>
      </w:pPr>
      <w:r>
        <w:rPr>
          <w:rFonts w:ascii="Arial" w:cs="Arial" w:eastAsia="Arial" w:hAnsi="Arial"/>
          <w:sz w:val="17"/>
          <w:szCs w:val="17"/>
          <w:b w:val="1"/>
          <w:bCs w:val="1"/>
          <w:i w:val="1"/>
          <w:iCs w:val="1"/>
          <w:color w:val="auto"/>
        </w:rPr>
        <w:t>Oversight of the medical device industry might affect the manner in which we may sell medical devices and compete in the marketplace.</w:t>
      </w:r>
    </w:p>
    <w:p>
      <w:pPr>
        <w:spacing w:after="0" w:line="1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There are laws and regulations that govern the means by which companies in the healthcare industry may market their products to healthcare professionals and may compete by discounting the prices of their products, including for example, the federal Anti-Kickback Statute, the federal False Claims Act, the federal Health Insurance Portability and Accountability Act of 1996, state law equivalents to these federal laws that are meant to protect against fraud and abuse and analogous laws in foreign countries. Violations of these laws are punishable by criminal and civil sanctions, including, but not limited to, in some instances civil and criminal penalties, damages, fines, exclusion from participation in federal and state healthcare programs, including Medicare and Medicaid. Although we exercise care in structuring our sales and marketing practices and customer discount arrangements to comply with those laws and regulations, we cannot assure that:</w:t>
      </w:r>
    </w:p>
    <w:p>
      <w:pPr>
        <w:spacing w:after="0" w:line="270" w:lineRule="exact"/>
        <w:rPr>
          <w:sz w:val="20"/>
          <w:szCs w:val="20"/>
          <w:color w:val="auto"/>
        </w:rPr>
      </w:pPr>
    </w:p>
    <w:p>
      <w:pPr>
        <w:ind w:left="66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officials charged with responsibility for enforcing those laws will not assert that our sales and marketing practices or customer discount arrangements are in violation of those laws or regulations; or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regulators or courts will interpret those laws or regulations in a manner consistent with our interpretation.</w:t>
      </w:r>
    </w:p>
    <w:p>
      <w:pPr>
        <w:spacing w:after="0" w:line="2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Correspondingly, federal and state laws are also sometimes open to interpretation, and from time to time we may find ourselves at a competitive disadvantage if our interpretation differs from that of our competitors. AdvaMed (U.S.), EucoMed (Europe), MEDEC (Canada), and MTAA (Australia), some of the principal trade associations for the medical device industry, promulgate model codes of ethics that set forth standards by which its members should (and non-member companies may) abide in the promotion of their products; AdvaMed is undergoing initiatives in Latin America and Asia Pacific to develop regional codes of ethics there as well. We have in place policies and procedures for compliance that we believe are at least as stringent as those set forth in the revised AdvaMed Code, and we regularly train our sales and marketing personnel on our policies regarding sales and marketing practices. Pursuant to the revised AdvaMed Code, we have certified our adoption of the revised AdvaMed Code. Nevertheless, the sales and marketing practices of our industry have been the subject of increased scrutiny from federal and state government agencies, and we believe that this trend will continue. For example, recent federal legislation, state legislation and foreign legislation requires detailed disclosure of gifts and other remuneration made to healthcare professionals. In addition, prosecutorial scrutiny and governmental oversight, on the state and federal levels, over some major device companies regarding the retention of healthcare professionals as consultants has limited the manner in which medical device companies may retain healthcare professionals as consultants. Various hospital organizations, medical societies and trade associations are establishing their own practices that may require detailed disclosures of relationships between healthcare professionals and medical device companies or ban or restrict certain marketing and sales practices such as gifts and business meals.</w:t>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Our private-label product lines depend significantly on key relationships with third parties, which we could be unable to establish and maintain.</w:t>
      </w:r>
    </w:p>
    <w:p>
      <w:pPr>
        <w:spacing w:after="0" w:line="11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private-label business depends in part on our entering into and maintaining collaborative or alliance agreements with third parties concerning product marketing, as well as research and development programs. The third parties with whom we have entered into agreements might terminate these agreements for a variety of reasons, including developing other sources for the products that we supply. Termination of our most important relationships could adversely affect our expectations for the growth of private-label products.</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have significant product liability exposure and our insurance may not cover all potential claims.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product liability and other claims in the event that our technologies or products are alleged to have caused harm. We may not be able to obtain insurance for the potential liability on acceptable terms with adequate coverage or at reasonable costs. Any potential product liability claims could exceed the amount of our insurance coverage or may be excluded from coverage under the terms of the policy. Our insurance may not be renewed at a cost and level of coverage comparable to that then in effect.</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are subject to requirements relating to hazardous materials which may impose significant compliance or other costs on us.</w:t>
      </w:r>
    </w:p>
    <w:p>
      <w:pPr>
        <w:spacing w:after="0" w:line="9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research, development and manufacturing processes involve the controlled use of certain hazardous materials. In addition, we own and/or lease a number of facilities at which hazardous materials have been used in the past. Finally, we have acquired various companies that historically have used certain hazardous materials and that have owned and/or leased facilities at which hazardous materials have been used. For all of these reasons, we are subject to federal, state, foreign, and local laws and regulations governing the use, manufacture, storage, handling, treatment, remediation, and disposal of hazardous materials and certain waste products (“Environmental Laws”). For example, our allograft bone tissue processing may generate waste materials, which in the United States, are classified as medical waste under Environmental Laws. Although we believe that our procedures for handling and disposing of hazardous materials comply with the Environmental Laws, the Environmental Laws may be amended in ways that increase our cost of compliance, perhaps materially.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49" w:right="239" w:bottom="1440" w:gutter="0" w:footer="0" w:header="0"/>
        </w:sectPr>
      </w:pPr>
    </w:p>
    <w:bookmarkStart w:id="23" w:name="page24"/>
    <w:bookmarkEnd w:id="23"/>
    <w:p>
      <w:pPr>
        <w:jc w:val="both"/>
        <w:ind w:firstLine="324"/>
        <w:spacing w:after="0" w:line="279" w:lineRule="auto"/>
        <w:rPr>
          <w:sz w:val="20"/>
          <w:szCs w:val="20"/>
          <w:color w:val="auto"/>
        </w:rPr>
      </w:pPr>
      <w:r>
        <w:rPr>
          <w:rFonts w:ascii="Arial" w:cs="Arial" w:eastAsia="Arial" w:hAnsi="Arial"/>
          <w:sz w:val="17"/>
          <w:szCs w:val="17"/>
          <w:color w:val="auto"/>
        </w:rPr>
        <w:t>Furthermore, the risk of accidental contamination or injury from these materials cannot be eliminated, and there is also a risk that such contamination previously has occurred in connection with one of our facilities or in connection with one of the companies we have purchased. In the event of such an accident, or contamination we could be held liable for any damages that result and any related liability could exceed the limits or fall outside the coverage of our insurance and could exceed our resources. We may not be able to maintain insurance on acceptable terms or at all.</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experience difficulties implementing our new global enterprise resource planning system</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engaged in a multi-year implementation of a new global enterprise resource planning system to improve our operational efficiency. The ERP is designed to accurately maintain our financial reporting data and provide information to our management team important to the operation of the business. Our ERP has required, and will require, the investment of significant human and financial resources. The implementation of this new ERP system involves numerous risks, including disruption to our normal accounting procedures and internal control over financial reporting, inaccuracies in the conversion of electronic data, difficulties integrating the systems and processes, additional costs to continue to refine the system’s functionality, and disruption of our financial reporting process. We may not be able to successfully implement the ERP without experiencing significant delays, increased costs, or other difficulties. Any significant disruption or deficiency in the design or implementation of the ERP could adversely affect our ability to estimate supply chain needs, plan production requirements, process orders, ship product, send invoices and track payments, fulfill contractual obligations, accurately forecast sales, or otherwise operate our business, all of which could negatively impact sales and profits.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are dependent on information technology and if we fail to properly maintain the integrity of our data, our business could be materially affected.</w:t>
      </w:r>
    </w:p>
    <w:p>
      <w:pPr>
        <w:spacing w:after="0" w:line="24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increasingly dependent on sophisticated information technology for our infrastructure and to support business decisions. As a result of technology initiatives, recently enacted regulations, changes in our system platforms and integration of new business acquisitions, we have been consolidating and integrating the number of systems. Our information systems require an ongoing commitment of significant resources to maintain, protect, and enhance existing systems and develop new systems to keep pace with continuing changes in information processing technology, evolving systems and regulatory standards, the increasing need to protect patient and customer information, and changing customer patterns. Any significant breakdown, intrusion, interruption, corruption, or destruction of these systems, as well as any data breaches, could have a material adverse effect on our business.</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third parties may attempt to hack into our systems and may obtain data relating to patients or the Company’s proprietary information. If we fail to maintain or protect our information systems and data integrity effectively, we could lose existing customers, have difficulty attracting new customers, suffer backlash from negative public relations, have problems in determining product cost estimates and establishing appropriate pricing, have difficulty preventing, detecting, and controlling fraud, have disputes with customers, physicians, and other health care professionals, have regulatory sanctions or penalties imposed, have increases in operating expenses, incur expenses or lose revenues as a result of a data privacy breach, or suffer other adverse consequences.</w:t>
      </w:r>
    </w:p>
    <w:p>
      <w:pPr>
        <w:spacing w:after="0" w:line="58"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New regulations related to “conflict minerals” may force us to incur additional expenses, may make our supply chain more complex and may result in damage to our reputation with customers.</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August 22, 2012, the Securities and Exchange Commission adopted new disclosure regulations for public companies that manufacture products that contain certain minerals (i.e., tin, tantalum, tungsten or gold) known as conflict minerals, if these conflict minerals are necessary to the functionality or production of our products. These regulations require such companies to report annually whether or not such conflict minerals originate from the Democratic Republic of Congo (“DRC”) and adjoining countries and in some cases to perform extensive due diligence on their supply chains for such conflict minerals. The implementation of these new requirements could adversely affect the sourcing, availability and pricing of tin, tantalum, tungsten and gold used in the manufacture of medical devices, including our products. In addition, we may incur additional costs to comply with the disclosure requirements, including costs related to determining the source of any of the relevant conflict minerals used in our products. Since our supply chain is complex, the due diligence procedures that we implement may not enable us to determine the origins for these conflict minerals or determine that these conflict minerals are DRC conflict-free, which may harm our reputation. We may also face difficulties in satisfying any customers who may require that our products be certified as DRC conflict-free, which could harm our relationships with these customers and result in a loss of revenue. These new requirements also could have the effect of limiting the pool of suppliers from which we source tin, tantalum, tungsten and gold, and we may be unable to obtain conflict-free minerals at competitive prices, which could increase our costs and adversely affect our manufacturing operations and our profitability.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49" w:right="239" w:bottom="1440" w:gutter="0" w:footer="0" w:header="0"/>
        </w:sectPr>
      </w:pPr>
    </w:p>
    <w:bookmarkStart w:id="24" w:name="page25"/>
    <w:bookmarkEnd w:id="24"/>
    <w:p>
      <w:pPr>
        <w:ind w:left="40"/>
        <w:spacing w:after="0"/>
        <w:tabs>
          <w:tab w:leader="none" w:pos="11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filing of this Annual Report on Form 10-K, we had no unresolved comments from the staff of the Securities and Exchange Commission that were received not less than 180 days before the end of our 2013 fiscal year.</w:t>
      </w:r>
    </w:p>
    <w:p>
      <w:pPr>
        <w:spacing w:after="0" w:line="30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principal executive offices are located in Plainsboro, New Jersey. Our principal manufacturing and research facilities are located in California, Massachusetts, New Jersey, Ohio, Pennsylvania, France, Germany, Ireland, Mexico, Puerto Rico and the United Kingdom. Our instrument procurement operations are located in Germany. Our primary distribution centers are located in Nevada, Ohio, Pennsylvania, Australia, Belgium, Canada and France. In addition, we lease several smaller facilities to support additional administrative, assembly, and distribution operations. Third parties own and operate the facilities in Nevada and Belgium. We own our facilities in Biot, France, Andover, United Kingdom, and Rietheim-Weilheim, Germany and certain facilities in Ohio and Pennsylvania and we lease all of our other facilities. We also have repair centers in California, Massachusetts, Ohio, Australia and Germany.</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manufacturing facilities are registered with the FDA. Our facilities are subject to FDA inspection to ensure compliance with Quality System regulations. For further information regarding the status of FDA inspections, see the "Government Regulation" and "Management's Discussion and Analysis of Financial Condition and Results of Operations - Update on Remediation Activities" sections in this Form 10-K.</w:t>
      </w:r>
    </w:p>
    <w:p>
      <w:pPr>
        <w:spacing w:after="0" w:line="31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Various lawsuits, claims and proceedings are pending or have been settled by us; the most significant of which are described below.</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6, 2012, the Company was contacted by the United States Attorney's Office for the District of New Jersey regarding the activities of sales representatives in a single region within our Extremities Reconstruction division. The U.S. Attorney's Office is investigating the activities of three sales representatives, one of whom was a supervisor until terminated by the Company for failure to cooperate with this investigation. The activities at issue pertain to alleged improper billing of products for extremities indications. The Company is cooperating with the United States Attorney's Office on a voluntary basis and is not a subject or target of an investigation at this time.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manufactures and sells certain extremities products internationally pursuant to a license agreement that the licensor has indicated it will terminate effective October 20, 2014 after the parties were unable to resolve disagreements under the license agreement. Revenues for products sold under that license agreement approximated $5.5 million in 2013. Subject to certain conditions described in the license agreement, Integra may sell the remaining inventory of covered products after the expiration of the license agreement. The licensor currently is conducting an audit of the Company’s activities under the license agreement. At this time, we cannot predict whether the licensor will bring any claims against the company or whether those claims, if successful, would have a material, adverse effect on the financial results of the company Should the licensor bring any claims against the Company, the Company might assert counterclaims against the licensor.</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34" w:right="239" w:bottom="1440" w:gutter="0" w:footer="0" w:header="0"/>
        </w:sectPr>
      </w:pPr>
    </w:p>
    <w:bookmarkStart w:id="25" w:name="page26"/>
    <w:bookmarkEnd w:id="25"/>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080" w:right="600" w:hanging="1039"/>
        <w:spacing w:after="0" w:line="277" w:lineRule="auto"/>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Holders and Dividends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common stock trades on The NASDAQ Global Market under the symbol “IART.” The following table lists the high and low sales prices for our common stock for each quarter for the last two years: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2013</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2012</w:t>
            </w:r>
          </w:p>
        </w:tc>
        <w:tc>
          <w:tcPr>
            <w:tcW w:w="700" w:type="dxa"/>
            <w:vAlign w:val="bottom"/>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High</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Low</w:t>
            </w:r>
          </w:p>
        </w:tc>
        <w:tc>
          <w:tcPr>
            <w:tcW w:w="200" w:type="dxa"/>
            <w:vAlign w:val="bottom"/>
          </w:tcPr>
          <w:p>
            <w:pPr>
              <w:spacing w:after="0"/>
              <w:rPr>
                <w:sz w:val="20"/>
                <w:szCs w:val="20"/>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High</w:t>
            </w: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Low</w:t>
            </w:r>
          </w:p>
        </w:tc>
      </w:tr>
      <w:tr>
        <w:trPr>
          <w:trHeight w:val="27"/>
        </w:trPr>
        <w:tc>
          <w:tcPr>
            <w:tcW w:w="7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47.84</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35.99</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42.48</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36.70</w:t>
            </w:r>
          </w:p>
        </w:tc>
        <w:tc>
          <w:tcPr>
            <w:tcW w:w="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42.76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35.71</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31.61</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44.11</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39.01</w:t>
            </w:r>
          </w:p>
        </w:tc>
        <w:tc>
          <w:tcPr>
            <w:tcW w:w="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35.74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23.22</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have not paid any cash dividends on our common stock since our formation. Our credit facility limits the amount of dividends that we may pay. See “Item</w:t>
      </w:r>
    </w:p>
    <w:p>
      <w:pPr>
        <w:spacing w:after="0" w:line="46" w:lineRule="exact"/>
        <w:rPr>
          <w:sz w:val="20"/>
          <w:szCs w:val="20"/>
          <w:color w:val="auto"/>
        </w:rPr>
      </w:pPr>
    </w:p>
    <w:p>
      <w:pPr>
        <w:jc w:val="both"/>
        <w:ind w:firstLine="8"/>
        <w:spacing w:after="0" w:line="302" w:lineRule="auto"/>
        <w:tabs>
          <w:tab w:leader="none" w:pos="192"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Management’s Discussion and Analysis of Financial Condition and Results of Operations — Liquidity and Capital Resources — Amended and Restated Senior Credit Agreement.” Any future determinations to pay cash dividends on the common stock will be at the discretion of our Board of Directors and will depend upon our results of operations, cash flows, and financial condition and other factors deemed relevant by the Board of Directors.</w:t>
      </w:r>
    </w:p>
    <w:p>
      <w:pPr>
        <w:spacing w:after="0" w:line="1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number of stockholders of record as of February 24, 2014 was approximately 743, which includes stockholders whose shares were held in nominee name.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sales of unregistered securities during the years ended December 31, 2013, 2012 or 2011.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Registered Securities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2013, we sold 4.025 million shares of our common stock (including 525,000 shares from the exercise of the underwriters’ option for additional shares) in a registered public offering to a select group of underwriters through a Registration Statement on Form S-3 (File No. 333-192079) that was declared effective by the Securities and Exchange Commission on November 4, 2013. The shares of common stock were sold at a price of $40.00 per share (before underwriting discounts and commissions). The aggregate offering proceeds were $161.0 million. Following the sale of the common stock, the public offering terminated.</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incurred total offering costs of approximately $8.5 million, which includes the amounts paid for underwriters' discounts and commissions of 5.0%, and other offering costs. The net proceeds of the offering were $152.5 million after deducting these expenses. No offering expenses were paid directly or indirectly to any of our directors or officers (or their associates) or persons owning ten percent or more of any class of our equity securities or to any other affiliates.</w:t>
      </w:r>
    </w:p>
    <w:p>
      <w:pPr>
        <w:spacing w:after="0" w:line="133" w:lineRule="exact"/>
        <w:rPr>
          <w:sz w:val="20"/>
          <w:szCs w:val="20"/>
          <w:color w:val="auto"/>
        </w:rPr>
      </w:pPr>
    </w:p>
    <w:p>
      <w:pPr>
        <w:ind w:right="1280"/>
        <w:spacing w:after="0" w:line="438" w:lineRule="auto"/>
        <w:rPr>
          <w:sz w:val="20"/>
          <w:szCs w:val="20"/>
          <w:color w:val="auto"/>
        </w:rPr>
      </w:pPr>
      <w:r>
        <w:rPr>
          <w:rFonts w:ascii="Arial" w:cs="Arial" w:eastAsia="Arial" w:hAnsi="Arial"/>
          <w:sz w:val="18"/>
          <w:szCs w:val="18"/>
          <w:color w:val="auto"/>
        </w:rPr>
        <w:t xml:space="preserve">We have used the entire net proceeds from this offering to pay down a portion of our outstanding Senior Credit Facility balance during 2013. The foregoing represents our best estimate of our use of proceeds for the period indicated. </w:t>
      </w:r>
      <w:r>
        <w:rPr>
          <w:rFonts w:ascii="Arial" w:cs="Arial" w:eastAsia="Arial" w:hAnsi="Arial"/>
          <w:sz w:val="18"/>
          <w:szCs w:val="18"/>
          <w:b w:val="1"/>
          <w:bCs w:val="1"/>
          <w:color w:val="auto"/>
        </w:rPr>
        <w:t>Issuer Purchases of Equity Securities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3, 2011, the Company’s Board of Directors authorized the Company to repurchase shares of common stock from the proceeds of the 2016 Notes in connection with that offering.</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authorization above, on October 23, 2012, the Company's Board of Directors authorized the repurchase of up to $75.0 million of its outstanding common stock through December 2014.</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shares of common stock repurchased by the Company under any of these authorizations in the year ended December 31, 2013.</w:t>
      </w:r>
    </w:p>
    <w:p>
      <w:pPr>
        <w:sectPr>
          <w:pgSz w:w="11900" w:h="16838" w:orient="portrait"/>
          <w:cols w:equalWidth="0" w:num="1">
            <w:col w:w="11420"/>
          </w:cols>
          <w:pgMar w:left="240" w:top="634" w:right="239" w:bottom="1440" w:gutter="0" w:footer="0" w:header="0"/>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634"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color w:val="auto"/>
        </w:rPr>
        <w:t>See Note 6, “Treasury Stock,” in our consolidated financial statements for further details.</w:t>
      </w:r>
    </w:p>
    <w:p>
      <w:pPr>
        <w:spacing w:after="0" w:line="35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information set forth below should be read in conjunction with “Item 7. Management’s Discussion and Analysis of Financial Condition and Results of Operations” and our consolidated financial statements and related notes included elsewhere in this report. We have acquired numerous businesses and product lines during the previous five years. As a result of these acquisitions, the consolidated financial results and balance sheet data for certain of the periods presented below may not be directly comparable.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7"/>
          </w:tcPr>
          <w:p>
            <w:pPr>
              <w:jc w:val="center"/>
              <w:ind w:left="594"/>
              <w:spacing w:after="0"/>
              <w:rPr>
                <w:sz w:val="20"/>
                <w:szCs w:val="20"/>
                <w:color w:val="auto"/>
              </w:rPr>
            </w:pPr>
            <w:r>
              <w:rPr>
                <w:rFonts w:ascii="Arial" w:cs="Arial" w:eastAsia="Arial" w:hAnsi="Arial"/>
                <w:sz w:val="14"/>
                <w:szCs w:val="14"/>
                <w:b w:val="1"/>
                <w:bCs w:val="1"/>
                <w:color w:val="auto"/>
                <w:w w:val="92"/>
              </w:rPr>
              <w:t>Years Ended December 31,</w:t>
            </w: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55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2009</w:t>
            </w:r>
          </w:p>
        </w:tc>
      </w:tr>
      <w:tr>
        <w:trPr>
          <w:trHeight w:val="250"/>
        </w:trPr>
        <w:tc>
          <w:tcPr>
            <w:tcW w:w="5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40" w:type="dxa"/>
            <w:vAlign w:val="bottom"/>
            <w:gridSpan w:val="9"/>
          </w:tcPr>
          <w:p>
            <w:pPr>
              <w:jc w:val="center"/>
              <w:ind w:right="260"/>
              <w:spacing w:after="0"/>
              <w:rPr>
                <w:sz w:val="20"/>
                <w:szCs w:val="20"/>
                <w:color w:val="auto"/>
              </w:rPr>
            </w:pPr>
            <w:r>
              <w:rPr>
                <w:rFonts w:ascii="Arial" w:cs="Arial" w:eastAsia="Arial" w:hAnsi="Arial"/>
                <w:sz w:val="14"/>
                <w:szCs w:val="14"/>
                <w:b w:val="1"/>
                <w:bCs w:val="1"/>
                <w:color w:val="auto"/>
                <w:w w:val="91"/>
              </w:rPr>
              <w:t>(In thousands, except per share data)</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Results:</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rPr>
              <w:t>Total revenues, net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2"/>
                <w:szCs w:val="22"/>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w w:val="92"/>
              </w:rPr>
              <w:t>836,214</w:t>
            </w:r>
          </w:p>
        </w:tc>
        <w:tc>
          <w:tcPr>
            <w:tcW w:w="16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830,871</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780,078</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732,068</w:t>
            </w:r>
          </w:p>
        </w:tc>
        <w:tc>
          <w:tcPr>
            <w:tcW w:w="14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682,487</w:t>
            </w: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8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 (1)</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2"/>
              </w:rPr>
              <w:t>839,858</w:t>
            </w:r>
          </w:p>
        </w:tc>
        <w:tc>
          <w:tcPr>
            <w:tcW w:w="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757,089</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725,166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633,374</w:t>
            </w: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584,663</w:t>
            </w:r>
          </w:p>
        </w:tc>
      </w:tr>
      <w:tr>
        <w:trPr>
          <w:trHeight w:val="318"/>
        </w:trPr>
        <w:tc>
          <w:tcPr>
            <w:tcW w:w="55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73,782</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54,912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98,694</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97,824</w:t>
            </w: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rPr>
              <w:t>Interest income (expense), net (2) (3)</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(19,345)</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(21,032)</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(27,175)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(18,131)</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(22,596)</w:t>
            </w: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8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1,551</w:t>
            </w: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(2,076)</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(24,790)</w:t>
            </w:r>
          </w:p>
        </w:tc>
        <w:tc>
          <w:tcPr>
            <w:tcW w:w="1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52,029</w:t>
            </w:r>
          </w:p>
        </w:tc>
        <w:tc>
          <w:tcPr>
            <w:tcW w:w="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28,494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82,114</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73,152</w:t>
            </w: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8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(7,813)</w:t>
            </w:r>
          </w:p>
        </w:tc>
        <w:tc>
          <w:tcPr>
            <w:tcW w:w="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10,825</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16,445</w:t>
            </w: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22,197</w:t>
            </w:r>
          </w:p>
        </w:tc>
      </w:tr>
      <w:tr>
        <w:trPr>
          <w:trHeight w:val="297"/>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(16,977)</w:t>
            </w:r>
          </w:p>
        </w:tc>
        <w:tc>
          <w:tcPr>
            <w:tcW w:w="16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41,204</w:t>
            </w:r>
          </w:p>
        </w:tc>
        <w:tc>
          <w:tcPr>
            <w:tcW w:w="2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27,989</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65,669</w:t>
            </w:r>
          </w:p>
        </w:tc>
        <w:tc>
          <w:tcPr>
            <w:tcW w:w="14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50,955</w:t>
            </w:r>
          </w:p>
        </w:tc>
      </w:tr>
      <w:tr>
        <w:trPr>
          <w:trHeight w:val="23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(loss) 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w:t>
            </w:r>
          </w:p>
        </w:tc>
      </w:tr>
      <w:tr>
        <w:trPr>
          <w:trHeight w:val="229"/>
        </w:trPr>
        <w:tc>
          <w:tcPr>
            <w:tcW w:w="5500" w:type="dxa"/>
            <w:vAlign w:val="bottom"/>
          </w:tcPr>
          <w:p>
            <w:pPr>
              <w:ind w:left="40"/>
              <w:spacing w:after="0"/>
              <w:rPr>
                <w:sz w:val="20"/>
                <w:szCs w:val="20"/>
                <w:color w:val="auto"/>
              </w:rPr>
            </w:pPr>
            <w:r>
              <w:rPr>
                <w:rFonts w:ascii="Arial" w:cs="Arial" w:eastAsia="Arial" w:hAnsi="Arial"/>
                <w:sz w:val="18"/>
                <w:szCs w:val="18"/>
                <w:color w:val="auto"/>
                <w:w w:val="98"/>
              </w:rPr>
              <w:t>Weighted average common shares outstanding for diluted net income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(loss) per share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28,416</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28,516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29,495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30,149</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29,292</w:t>
            </w:r>
          </w:p>
        </w:tc>
      </w:tr>
      <w:tr>
        <w:trPr>
          <w:trHeight w:val="642"/>
        </w:trPr>
        <w:tc>
          <w:tcPr>
            <w:tcW w:w="5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jc w:val="center"/>
              <w:ind w:right="880"/>
              <w:spacing w:after="0"/>
              <w:rPr>
                <w:sz w:val="20"/>
                <w:szCs w:val="20"/>
                <w:color w:val="auto"/>
              </w:rPr>
            </w:pPr>
            <w:r>
              <w:rPr>
                <w:rFonts w:ascii="Arial" w:cs="Arial" w:eastAsia="Arial" w:hAnsi="Arial"/>
                <w:sz w:val="14"/>
                <w:szCs w:val="14"/>
                <w:b w:val="1"/>
                <w:bCs w:val="1"/>
                <w:color w:val="auto"/>
                <w:w w:val="92"/>
              </w:rPr>
              <w:t>Years Ended December 31,</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2009</w:t>
            </w:r>
          </w:p>
        </w:tc>
      </w:tr>
      <w:tr>
        <w:trPr>
          <w:trHeight w:val="250"/>
        </w:trPr>
        <w:tc>
          <w:tcPr>
            <w:tcW w:w="5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Position:</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Cash, cash equivalents</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120,614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96,938</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100,808</w:t>
            </w:r>
          </w:p>
        </w:tc>
        <w:tc>
          <w:tcPr>
            <w:tcW w:w="100" w:type="dxa"/>
            <w:vAlign w:val="bottom"/>
          </w:tcPr>
          <w:p>
            <w:pPr>
              <w:spacing w:after="0"/>
              <w:rPr>
                <w:sz w:val="21"/>
                <w:szCs w:val="21"/>
                <w:color w:val="auto"/>
              </w:rPr>
            </w:pP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128,763</w:t>
            </w:r>
          </w:p>
        </w:tc>
        <w:tc>
          <w:tcPr>
            <w:tcW w:w="1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71,891</w:t>
            </w: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1,196,229</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1,163,599</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1,144,109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1,017,308</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940,102</w:t>
            </w:r>
          </w:p>
        </w:tc>
      </w:tr>
      <w:tr>
        <w:trPr>
          <w:trHeight w:val="229"/>
        </w:trPr>
        <w:tc>
          <w:tcPr>
            <w:tcW w:w="5500" w:type="dxa"/>
            <w:vAlign w:val="bottom"/>
          </w:tcPr>
          <w:p>
            <w:pPr>
              <w:ind w:left="40"/>
              <w:spacing w:after="0"/>
              <w:rPr>
                <w:sz w:val="20"/>
                <w:szCs w:val="20"/>
                <w:color w:val="auto"/>
              </w:rPr>
            </w:pPr>
            <w:r>
              <w:rPr>
                <w:rFonts w:ascii="Arial" w:cs="Arial" w:eastAsia="Arial" w:hAnsi="Arial"/>
                <w:sz w:val="18"/>
                <w:szCs w:val="18"/>
                <w:color w:val="auto"/>
                <w:w w:val="99"/>
              </w:rPr>
              <w:t>Long-term borrowings under the revolving portion of the senior credit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facility(2)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186,875</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321,875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179,688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160,000</w:t>
            </w: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debt(3)</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205,182</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197,672</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352,576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294,842</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148,754</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285,046</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302,023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260,819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232,830</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167,161</w:t>
            </w: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Stockholders’ equity(4)</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670,180</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517,775</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492,638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499,963</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444,885</w:t>
            </w:r>
          </w:p>
        </w:tc>
      </w:tr>
      <w:tr>
        <w:trPr>
          <w:trHeight w:val="27"/>
        </w:trPr>
        <w:tc>
          <w:tcPr>
            <w:tcW w:w="55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500" w:right="60" w:hanging="270"/>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2013, we recorded a $46.7 million goodwill impairment charge related to our Spine reporting unit. See Note 2 "Summary of Significant Accounting Policies - Goodwill and Other Intangible Assets" to our consolidated financial statements for further discussion.</w:t>
      </w:r>
    </w:p>
    <w:p>
      <w:pPr>
        <w:spacing w:after="0" w:line="170" w:lineRule="exact"/>
        <w:rPr>
          <w:rFonts w:ascii="Arial" w:cs="Arial" w:eastAsia="Arial" w:hAnsi="Arial"/>
          <w:sz w:val="18"/>
          <w:szCs w:val="18"/>
          <w:color w:val="auto"/>
        </w:rPr>
      </w:pPr>
    </w:p>
    <w:p>
      <w:pPr>
        <w:jc w:val="both"/>
        <w:ind w:left="500" w:right="60"/>
        <w:spacing w:after="0" w:line="264" w:lineRule="auto"/>
        <w:rPr>
          <w:rFonts w:ascii="Arial" w:cs="Arial" w:eastAsia="Arial" w:hAnsi="Arial"/>
          <w:sz w:val="18"/>
          <w:szCs w:val="18"/>
          <w:color w:val="auto"/>
        </w:rPr>
      </w:pPr>
      <w:r>
        <w:rPr>
          <w:rFonts w:ascii="Arial" w:cs="Arial" w:eastAsia="Arial" w:hAnsi="Arial"/>
          <w:sz w:val="18"/>
          <w:szCs w:val="18"/>
          <w:color w:val="auto"/>
        </w:rPr>
        <w:t>In 2011, we recorded a total of $13.3 million in stock-based compensation charges related to our former chief executive officer employment agreement extension, accelerated vesting of his outstanding shares upon the appointment of the new chief executive officer, and his minimum annual stock-based compensation award which was fully vested on the date of grant.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49" w:right="239" w:bottom="1440" w:gutter="0" w:footer="0" w:header="0"/>
        </w:sectPr>
      </w:pPr>
    </w:p>
    <w:bookmarkStart w:id="27" w:name="page28"/>
    <w:bookmarkEnd w:id="27"/>
    <w:p>
      <w:pPr>
        <w:jc w:val="both"/>
        <w:ind w:left="500" w:right="60" w:hanging="291"/>
        <w:spacing w:after="0" w:line="26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each of the periods presented we report the borrowings outstanding under the revolving portion of our Senior Credit Facility as long-term debt based on our current intent and ability to repay the borrowings outside of the following twelve-month periods. At December 31, 2013, we have a total of $186.9 million outstanding under our Senior Credit Facility and $413.1 million available for future borrowings.</w:t>
      </w:r>
    </w:p>
    <w:p>
      <w:pPr>
        <w:spacing w:after="0" w:line="19" w:lineRule="exact"/>
        <w:rPr>
          <w:rFonts w:ascii="Arial" w:cs="Arial" w:eastAsia="Arial" w:hAnsi="Arial"/>
          <w:sz w:val="18"/>
          <w:szCs w:val="18"/>
          <w:color w:val="auto"/>
        </w:rPr>
      </w:pPr>
    </w:p>
    <w:p>
      <w:pPr>
        <w:ind w:left="500" w:right="60"/>
        <w:spacing w:after="0" w:line="277" w:lineRule="auto"/>
        <w:rPr>
          <w:rFonts w:ascii="Arial" w:cs="Arial" w:eastAsia="Arial" w:hAnsi="Arial"/>
          <w:sz w:val="18"/>
          <w:szCs w:val="18"/>
          <w:color w:val="auto"/>
        </w:rPr>
      </w:pPr>
      <w:r>
        <w:rPr>
          <w:rFonts w:ascii="Arial" w:cs="Arial" w:eastAsia="Arial" w:hAnsi="Arial"/>
          <w:sz w:val="18"/>
          <w:szCs w:val="18"/>
          <w:color w:val="auto"/>
        </w:rPr>
        <w:t>Subsequent to year-end, in January 2014, we borrowed an additional $235.0 million from the Senior Credit Facility in connection with our acquisition of Confluent Surgical, Inc.; these additional borrowings are not reflected in the amounts above.</w:t>
      </w:r>
    </w:p>
    <w:p>
      <w:pPr>
        <w:spacing w:after="0" w:line="143" w:lineRule="exact"/>
        <w:rPr>
          <w:rFonts w:ascii="Arial" w:cs="Arial" w:eastAsia="Arial" w:hAnsi="Arial"/>
          <w:sz w:val="18"/>
          <w:szCs w:val="18"/>
          <w:color w:val="auto"/>
        </w:rPr>
      </w:pPr>
    </w:p>
    <w:p>
      <w:pPr>
        <w:jc w:val="both"/>
        <w:ind w:left="500" w:right="40" w:hanging="291"/>
        <w:spacing w:after="0" w:line="26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2007, we issued $165.0 million of 2.75% senior convertible notes due 2010 (the “2010 Notes”) and $165.0 million of 2.375% senior convertible notes due 2012 (the “2012 Notes”). The 2010 Notes were paid off in June 2010 in accordance with their terms. The 2012 Notes were repaid in June 2012 in accordance with their terms.</w:t>
      </w:r>
    </w:p>
    <w:p>
      <w:pPr>
        <w:spacing w:after="0" w:line="248" w:lineRule="exact"/>
        <w:rPr>
          <w:rFonts w:ascii="Arial" w:cs="Arial" w:eastAsia="Arial" w:hAnsi="Arial"/>
          <w:sz w:val="18"/>
          <w:szCs w:val="18"/>
          <w:color w:val="auto"/>
        </w:rPr>
      </w:pPr>
    </w:p>
    <w:p>
      <w:pPr>
        <w:jc w:val="both"/>
        <w:ind w:left="500" w:right="40"/>
        <w:spacing w:after="0" w:line="264" w:lineRule="auto"/>
        <w:rPr>
          <w:rFonts w:ascii="Arial" w:cs="Arial" w:eastAsia="Arial" w:hAnsi="Arial"/>
          <w:sz w:val="18"/>
          <w:szCs w:val="18"/>
          <w:color w:val="auto"/>
        </w:rPr>
      </w:pPr>
      <w:r>
        <w:rPr>
          <w:rFonts w:ascii="Arial" w:cs="Arial" w:eastAsia="Arial" w:hAnsi="Arial"/>
          <w:sz w:val="18"/>
          <w:szCs w:val="18"/>
          <w:color w:val="auto"/>
        </w:rPr>
        <w:t>In 2011, we issued $230.0 million of 1.625% convertible senior notes due in 2016 (the “2016 Notes”). We expect to satisfy any conversion of the 2016 Notes with cash up to their principal amount pursuant to the net share settlement mechanism set forth in the indenture and, with respect to any excess conversion value, with shares of common stock.</w:t>
      </w:r>
    </w:p>
    <w:p>
      <w:pPr>
        <w:spacing w:after="0" w:line="248" w:lineRule="exact"/>
        <w:rPr>
          <w:rFonts w:ascii="Arial" w:cs="Arial" w:eastAsia="Arial" w:hAnsi="Arial"/>
          <w:sz w:val="18"/>
          <w:szCs w:val="18"/>
          <w:color w:val="auto"/>
        </w:rPr>
      </w:pPr>
    </w:p>
    <w:p>
      <w:pPr>
        <w:jc w:val="both"/>
        <w:ind w:left="500" w:right="20" w:hanging="291"/>
        <w:spacing w:after="0" w:line="26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2013, we sold 4.025 million shares of our common stock at a price of $40.00 per share. The aggregate offering proceeds were $161.0 million. The net proceeds of the offering were $152.5 million after deducting the underwriters' discounts and commissions and all other estimated offering expenses.</w:t>
      </w:r>
    </w:p>
    <w:p>
      <w:pPr>
        <w:spacing w:after="0" w:line="200" w:lineRule="exact"/>
        <w:rPr>
          <w:sz w:val="20"/>
          <w:szCs w:val="20"/>
          <w:color w:val="auto"/>
        </w:rPr>
      </w:pPr>
    </w:p>
    <w:p>
      <w:pPr>
        <w:spacing w:after="0" w:line="274"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together with the selected consolidated financial data and our financial statements and the related notes appearing elsewhere in this report. This discussion and analysis contains forward-looking statements that involve risks, uncertainties and assumptions. Our actual results may differ materially from those anticipated in these forward-looking statements as a result of many factors, including but not limited to those under the heading “Risk Factors.”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Integra is a world leader in medical technology focused on limiting uncertainty for surgeons so they can concentrate on providing the best patient care. Integra provides customers with clinically relevant, innovative and cost-effective products that improve the quality of life for patients. We focus on cranial and spinal procedures, small bone and joint injuries, the repair and reconstruction of soft tissue, and instruments for surgery.</w:t>
      </w:r>
    </w:p>
    <w:p>
      <w:pPr>
        <w:spacing w:after="0" w:line="1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manage our business through a combination of product groups and geography, and accordingly, we report our financial results under five reportable segments - U.S. Instruments, U.S. Neurosurgery, U.S. Extremities, U.S. Spine and Other (which consists of our U.S. Spine and Private Label businesses) and International.</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present revenues in the following three product categories: Orthopedics, Neurosurgery and Instruments. Our orthopedics products group includes specialty metal implants for surgery of the extremities, shoulder and spine, orthobiologics products for repair and grafting of bone, dermal regeneration products and tissue-engineered wound dressings and nerve and tendon repair products. Our neurosurgery products group includes, among other things, dural grafts that are indicated for the repair of the dura mater, ultrasonic surgery systems for tissue ablation, cranial stabilization and brain retraction systems, systems for measurement of various brain parameters and devices used to gain access to the cranial cavity and to drain excess cerebrospinal fluid from the ventricles of the brain. Our instruments products group includes a wide range of specialty and general surgical and dental instruments and surgical lighting for sale to hospitals, outpatient surgery centers, and physician, veterinarian and dental practices.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manufacture many of our products in plants located in the United States, Puerto Rico, France, Germany, Ireland, the United Kingdom and Mexico. We also source most of our handheld surgical instruments, specialty metal and pyrocarbon implants, and dural sealant products through specialized third-party vendors.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United States, we have several sales channels. We sell orthopedics products through a large direct sales organization and through specialty distributors focused on their respective surgical specialties. Neurosurgery products are sold through directly employed sales representatives. Instruments products are sold through two sales channels, both directly and through distributors and wholesalers, depending on the customer call point. We sell in the international markets through a combination of a direct sales organization and distributors.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also market certain products through strategic partners in the United States.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30" w:right="239" w:bottom="1440" w:gutter="0" w:footer="0" w:header="0"/>
        </w:sectPr>
      </w:pPr>
    </w:p>
    <w:bookmarkStart w:id="28" w:name="page29"/>
    <w:bookmarkEnd w:id="28"/>
    <w:p>
      <w:pPr>
        <w:jc w:val="both"/>
        <w:spacing w:after="0" w:line="257" w:lineRule="auto"/>
        <w:rPr>
          <w:sz w:val="20"/>
          <w:szCs w:val="20"/>
          <w:color w:val="auto"/>
        </w:rPr>
      </w:pPr>
      <w:r>
        <w:rPr>
          <w:rFonts w:ascii="Arial" w:cs="Arial" w:eastAsia="Arial" w:hAnsi="Arial"/>
          <w:sz w:val="18"/>
          <w:szCs w:val="18"/>
          <w:color w:val="auto"/>
        </w:rPr>
        <w:t>Our objective is to become a multi-billion dollar diversified global medical technology company that helps patients by limiting uncertainty for medical professionals, and is a high-quality investment for shareholders. We will achieve these goals by delivering on our Brand Promises to our customers worldwide and by becoming a top player in all markets in which we compete. Our strategy includes the following key elements: geographic expansion, disciplined focus and execution, global quality assurance and acquiring or in-licensing products that fit existing sales channels, margin expansion and leveraging platform synergies.</w:t>
      </w:r>
    </w:p>
    <w:p>
      <w:pPr>
        <w:spacing w:after="0" w:line="13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aim to achieve growth in our revenues while maintaining strong financial results. While we pay attention to any meaningful trend in our financial results, we pay particular attention to measurements that are indicative of long-term profitable growth. These measurements include (1) revenue growth (including internal growth and by acquisitions), (2) gross margins on total revenues, (3) operating margins (which we aim to continually expand as we leverage our existing infrastructure), (4) earnings before interest, taxes, depreciation, and amortization, and (5) earnings per diluted share of common stock.</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are particularly effective in the following aspects of our business:</w:t>
      </w:r>
    </w:p>
    <w:p>
      <w:pPr>
        <w:spacing w:after="0" w:line="171" w:lineRule="exact"/>
        <w:rPr>
          <w:sz w:val="20"/>
          <w:szCs w:val="20"/>
          <w:color w:val="auto"/>
        </w:rPr>
      </w:pPr>
    </w:p>
    <w:p>
      <w:pPr>
        <w:ind w:left="640" w:hanging="321"/>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Regenerative Medicine Platform</w:t>
      </w:r>
      <w:r>
        <w:rPr>
          <w:rFonts w:ascii="Arial" w:cs="Arial" w:eastAsia="Arial" w:hAnsi="Arial"/>
          <w:sz w:val="18"/>
          <w:szCs w:val="18"/>
          <w:color w:val="auto"/>
        </w:rPr>
        <w:t>. We have developed numerous product lines through our proprietary collagen matrix and demineralized bone matrix</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that are sold through every one of our sales channels.</w:t>
      </w:r>
    </w:p>
    <w:p>
      <w:pPr>
        <w:spacing w:after="0" w:line="116" w:lineRule="exact"/>
        <w:rPr>
          <w:rFonts w:ascii="Arial" w:cs="Arial" w:eastAsia="Arial" w:hAnsi="Arial"/>
          <w:sz w:val="18"/>
          <w:szCs w:val="18"/>
          <w:color w:val="auto"/>
        </w:rPr>
      </w:pPr>
    </w:p>
    <w:p>
      <w:pPr>
        <w:jc w:val="both"/>
        <w:ind w:left="640" w:hanging="321"/>
        <w:spacing w:after="0" w:line="279"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Diversification and Platform Synergies</w:t>
      </w:r>
      <w:r>
        <w:rPr>
          <w:rFonts w:ascii="Arial" w:cs="Arial" w:eastAsia="Arial" w:hAnsi="Arial"/>
          <w:sz w:val="17"/>
          <w:szCs w:val="17"/>
          <w:color w:val="auto"/>
        </w:rPr>
        <w:t>. Each of our three selling platforms contributes a different strength to our core business. Orthopedics enables</w:t>
      </w:r>
      <w:r>
        <w:rPr>
          <w:rFonts w:ascii="Arial" w:cs="Arial" w:eastAsia="Arial" w:hAnsi="Arial"/>
          <w:sz w:val="17"/>
          <w:szCs w:val="17"/>
          <w:i w:val="1"/>
          <w:iCs w:val="1"/>
          <w:color w:val="auto"/>
        </w:rPr>
        <w:t xml:space="preserve"> </w:t>
      </w:r>
      <w:r>
        <w:rPr>
          <w:rFonts w:ascii="Arial" w:cs="Arial" w:eastAsia="Arial" w:hAnsi="Arial"/>
          <w:sz w:val="17"/>
          <w:szCs w:val="17"/>
          <w:color w:val="auto"/>
        </w:rPr>
        <w:t>us to grow our top line and increase gross margins. Neurosurgery provides stable growth as a market with few elective procedures. The Instruments business has a strong capacity to generate cash flows. We have unique synergies among these platforms, such as our regenerative medicine technology, instrument sourcing capabilities, and Group Purchasing Organization (“GPO”) contract management.</w:t>
      </w:r>
    </w:p>
    <w:p>
      <w:pPr>
        <w:spacing w:after="0" w:line="117" w:lineRule="exact"/>
        <w:rPr>
          <w:rFonts w:ascii="Arial" w:cs="Arial" w:eastAsia="Arial" w:hAnsi="Arial"/>
          <w:sz w:val="17"/>
          <w:szCs w:val="17"/>
          <w:color w:val="auto"/>
        </w:rPr>
      </w:pPr>
    </w:p>
    <w:p>
      <w:pPr>
        <w:jc w:val="both"/>
        <w:ind w:left="640" w:hanging="321"/>
        <w:spacing w:after="0" w:line="290" w:lineRule="auto"/>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Unique Sales Footprint</w:t>
      </w:r>
      <w:r>
        <w:rPr>
          <w:rFonts w:ascii="Arial" w:cs="Arial" w:eastAsia="Arial" w:hAnsi="Arial"/>
          <w:sz w:val="16"/>
          <w:szCs w:val="16"/>
          <w:color w:val="auto"/>
        </w:rPr>
        <w:t>. Our medical technology investment and manufacturing strategy provides us with a unique set of customer call-points and</w:t>
      </w:r>
      <w:r>
        <w:rPr>
          <w:rFonts w:ascii="Arial" w:cs="Arial" w:eastAsia="Arial" w:hAnsi="Arial"/>
          <w:sz w:val="16"/>
          <w:szCs w:val="16"/>
          <w:i w:val="1"/>
          <w:iCs w:val="1"/>
          <w:color w:val="auto"/>
        </w:rPr>
        <w:t xml:space="preserve"> </w:t>
      </w:r>
      <w:r>
        <w:rPr>
          <w:rFonts w:ascii="Arial" w:cs="Arial" w:eastAsia="Arial" w:hAnsi="Arial"/>
          <w:sz w:val="16"/>
          <w:szCs w:val="16"/>
          <w:color w:val="auto"/>
        </w:rPr>
        <w:t>synergies. We have market-leading products across our portfolio providing both scale and depth in solutions for a broad set of clinical needs across many departments in the healthcare system - for example, many neurosurgeons also perform spine surgeries, and our instruments division calls on hospitals across the United States. We also have clinical expertise across all of our channels in the United States, and have an opportunity to expand and leverage this expertise in markets worldwide. Many of our customers are facing pressure placed upon them by healthcare reform and the affordable care act. In response to our customers’ needs for clinical and technical solutions across multiple departments and clinical areas, we have developed and deployed our Enterprise Clients Group. The mission of the Enterprise Client Group’s efforts is to bring unique clinical solutions to even the most difficult healthcare issues in our key accounts across multiple clinical sites and multi-hospital integrated delivery networks.</w:t>
      </w:r>
    </w:p>
    <w:p>
      <w:pPr>
        <w:spacing w:after="0" w:line="112" w:lineRule="exact"/>
        <w:rPr>
          <w:rFonts w:ascii="Arial" w:cs="Arial" w:eastAsia="Arial" w:hAnsi="Arial"/>
          <w:sz w:val="16"/>
          <w:szCs w:val="16"/>
          <w:color w:val="auto"/>
        </w:rPr>
      </w:pPr>
    </w:p>
    <w:p>
      <w:pPr>
        <w:jc w:val="both"/>
        <w:ind w:left="640" w:hanging="321"/>
        <w:spacing w:after="0" w:line="264" w:lineRule="auto"/>
        <w:tabs>
          <w:tab w:leader="none" w:pos="64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Ability to Change and Adapt</w:t>
      </w:r>
      <w:r>
        <w:rPr>
          <w:rFonts w:ascii="Arial" w:cs="Arial" w:eastAsia="Arial" w:hAnsi="Arial"/>
          <w:sz w:val="18"/>
          <w:szCs w:val="18"/>
          <w:color w:val="auto"/>
        </w:rPr>
        <w:t>. Our corporate culture is truly what enables us to adapt and reinvent ourselves. We have demonstrated that we can</w:t>
      </w:r>
      <w:r>
        <w:rPr>
          <w:rFonts w:ascii="Arial" w:cs="Arial" w:eastAsia="Arial" w:hAnsi="Arial"/>
          <w:sz w:val="18"/>
          <w:szCs w:val="18"/>
          <w:i w:val="1"/>
          <w:iCs w:val="1"/>
          <w:color w:val="auto"/>
        </w:rPr>
        <w:t xml:space="preserve"> </w:t>
      </w:r>
      <w:r>
        <w:rPr>
          <w:rFonts w:ascii="Arial" w:cs="Arial" w:eastAsia="Arial" w:hAnsi="Arial"/>
          <w:sz w:val="18"/>
          <w:szCs w:val="18"/>
          <w:color w:val="auto"/>
        </w:rPr>
        <w:t>quickly and profitably integrate new products and businesses. This core strength has made it possible for us to grow over the years, and is key to our ability to grow into a multi-billion dollar company.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strategy for growing our business includes the acquisition of complementary product lines and companies. Our recent acquisitions of businesses, assets and product lines may make our financial results for the year ended December 31, 2013 not directly comparable to those of the corresponding prior-year period. See Note 3, “Acquisitions and Pro Forma Results” to our consolidated financial statements for a further discussion.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From January 2011 through December 2013, we acquired the following businesses, assets and product lines: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2013, we acquired all outstanding preferred and common stock of Tarsus Medical, Inc. ("Tarsus") for $4.7 million consisting of $3.1 million in cash (including working capital adjustments of $0.2 million) and contingent consideration with an estimated acquisition date fair value of approximately $1.6 million. The potential maximum undiscounted contingent consideration consists of a first milestone payment of up to $1.5 million and a second payment of up to $11.5 million. These payments are based on reaching certain sales of acquired products. Tarsus Medical, Inc. is a podiatry device company addressing clinical needs associated with diseases and injuries of the foot and ankle.</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2011, we acquired Ascension Orthopedics, Inc. (“Ascension”) for $66.0 million, which includes amounts paid for working capital adjustments of $0.2 million less amounts received from our escrow of $0.7 million. Ascension, based in Austin, Texas, develops and distributes a range of implants for the shoulder, elbow, wrist, hand, foot and ankle. In particular, Ascension adds a significant number of new and differentiated products to our extremities portfolio and access to the shoulder market.</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2011, we acquired SeaSpine, Inc. (“SeaSpine”) for approximately $88.7 million, which includes amounts paid for working capital adjustments of $0.3 million and indemnification holdbacks totaling $7.4 million, all of which was released to the seller prior to December 31, 2012. SeaSpine, based in Vista, California, offers spinal fusion products to customers across the U.S. and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49" w:right="2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in select markets in Europe. The addition of the SeaSpine business effectively doubled our distribution footprint and customer base in the U.S. spine hardware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233045</wp:posOffset>
            </wp:positionV>
            <wp:extent cx="389318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9318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Subsequent to year-end, on January 15, 2014, the Company acquired all outstanding shares of Confluent Surgical, Inc., ("Confluent Surgical") - including their surgical sealant and adhesion barrier product lines - from Covidien Group S.a.r.l, ("Covidien") for an aggregate purchase price of $231.0 million. The Company paid Covidien an initial cash payment of $231.0 million upon the closing of the transaction and at that time made a separate prepayment of $4.0 million under a transitional supply agreement with an affiliate of Covidien. In addition, the Company may pay Covidien up to $30.0 million following the closing, contingent upon obtaining certain U.S. and European governmental approvals related to the completion of the transition of the Confluent Surgical business and the timely supply of products under the transitional supply agreement. The Company also entered into a transition services agreement with an affiliate of Covidien at the closing. This acquisition complements Integra's global neurosurgery growth strategy aimed at providing a broader set of solutions for surgical procedures in the head. Since the acquisition occurred subsequent to December 31, 2013, the acquisition is not included in the results of operations for any of the periods presented.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OPTIMIZATION ACTIVITIES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our ongoing acquisition strategy and significant growth in recent years, we have undertaken cost-saving initiatives to consolidate manufacturing and distribution facilities and transfer activities, implement a global enterprise resource planning system, eliminate duplicative positions, realign various sales and marketing activities, and to expand and upgrade production capacity for our regenerative medicine products. We expect that during 2014 we will continue to build inventories and incur additional expenses related to the facilities consolidation and transfer activities; however, the benefits of these efforts and expenditures will contribute to our financial results in 2015 and beyond.</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While we expect a positive impact from ongoing restructuring, integration and manufacturing transfer and expansion activities, such results remain uncertain.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net loss in 2013 was $17.0 million, or $0.60 per diluted share, as compared to net income of $41.2 million, or $1.44 per diluted share in 2012 and net income of $28.0 million, or $0.95 per diluted share in 2011.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Our 2013 operating results were negatively impacted by the following events:</w:t>
      </w:r>
    </w:p>
    <w:p>
      <w:pPr>
        <w:spacing w:after="0" w:line="90" w:lineRule="exact"/>
        <w:rPr>
          <w:sz w:val="20"/>
          <w:szCs w:val="20"/>
          <w:color w:val="auto"/>
        </w:rPr>
      </w:pPr>
    </w:p>
    <w:p>
      <w:pPr>
        <w:jc w:val="both"/>
        <w:ind w:left="660" w:hanging="328"/>
        <w:spacing w:after="0" w:line="23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2013 total revenues were negatively affected by our voluntary recall of certain products manufactured in our Añasco, Puerto Rico facility, including DuraGen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Dural Graft Matrix products. The recall caused significant supply disruptions resulting in a decrease in our worldwide revenue and a larger than usual total backorder during the first half of the year. Increases in reserves related to inventory associated with the recall and increased quality costs at our manufacturing facilities negatively impacted our gross margin.</w:t>
      </w:r>
    </w:p>
    <w:p>
      <w:pPr>
        <w:spacing w:after="0" w:line="6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January 2013, we began paying the manufacturer's excise tax imposed on the first sale of certain medical devices in the United States. The impact of this tax on our gross margin compared to 2012 was a decrease of 0.8%.</w:t>
      </w:r>
    </w:p>
    <w:p>
      <w:pPr>
        <w:spacing w:after="0" w:line="3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expenses increased due to higher headcount and increased expenses incurred in connection with the implementation of our global ERP system, and consulting costs to support various strategic projects.</w:t>
      </w:r>
    </w:p>
    <w:p>
      <w:pPr>
        <w:spacing w:after="0" w:line="3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Operating expenses for the year include a goodwill impairment charge in our U.S. Spine reporting unit of $46.7 million. See Note 2 "Summary of Significant Accounting Policies - Goodwill and Other Intangible Assets" to our consolidated financial statements for further discussion.</w:t>
      </w:r>
    </w:p>
    <w:p>
      <w:pPr>
        <w:spacing w:after="0" w:line="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2012 revenues compared to 2011 increased $50.8 million, which generated approximately $35.0 million of additional gross margin. Costs and expenses increased as new headcount, especially in selling, general and administrative, joined the Company either through acquisitions or new hires. Costs and expenses in 2011 included an incremental stock-based compensation expense of $13.3 million related to our former CEO's employment agreement and the accelerated vesting of awards upon appointment of our new CEO. These items resulted in our operating income increasing from 2011 to 2012.</w:t>
      </w:r>
    </w:p>
    <w:p>
      <w:pPr>
        <w:spacing w:after="0" w:line="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income before taxes result from the operating items described above and changes in interest expense, which decreased in 2013 and 2012 as our 2012 convertible notes matured and a portion of our interest cost was capitalized in our construction in progress balance.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increased in 2012 and decreased sharply in 2013 as a result of significant changes in U.S. income.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49"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Special Charges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taxes includes the following special charges: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facility remediation costs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8,230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Global ERP implementation charges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24,264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16,384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17,068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Structural optimization charges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Certain expenses associated with product recalls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Certain employee termination charges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Discontinued product lines charges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3,926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charges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Impairment charges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47,078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2,648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European entity restructuring charges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Convertible debt non-cash interest (1)</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6,463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8,520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10,521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Certain executive compensation charges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13,391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Financing charges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102,577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48,614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65,466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500" w:right="180" w:hanging="465"/>
        <w:spacing w:after="0" w:line="26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2013 and 2012 amounts have been reduced by $1.0 million and $1.6 million, respectively, representing the non-cash interest that was capitalized as a component of the historical cost of assets constructed for the Company's own use. See Note 2 "Summary of Significant Accounting Policies" of our consolidated financial statements for more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items reported above are reflected in the consolidated statements of operations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18,153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13,418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669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37,420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Intangible asset amortization</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2,648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46,738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6,463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8,520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11,311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102,577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48,614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65,466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typically define special charges as items for which the amounts and/or timing of such expenses may vary significantly from period to period, depending upon our acquisition, integration and restructuring activities, and for which the amounts are non-cash in nature, or for which the amounts are not expected to recur at the same magnitude as we implement certain tax planning strategies.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 In 2010 we began investing significant resources in the global implementation of a single enterprise resource planning system. We began capitalizing certain costs for the project starting in 2011 and will continue to do so during 2014.</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4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Update on Remediation Activities</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Remediation activities in our regenerative medicine facility in Plainsboro, New Jersey affected revenues and gross margin in the year 2013 and 2012. We received a warning letter from the FDA in December 2011, related to quality systems and compliance issues at that plant. The letter resulted from an inspection held at that facility in August 2011, and did not identify any new observations that were not provided in the Form 483 that followed the inspection. The warning letter did not restrict our ability to manufacture or ship products, nor did it require the recall of any product. In June and July 2012, the FDA again inspected the regenerative medicine facility. The second inspection closed out on July 30, 2012 and a FDA Form 483 Inspectional Observations was issued. On July 16, 2013, the FDA began its third inspection of the Plainsboro facility and focused primarily on the issues raised in the warning letter and in previous inspections of the Plainsboro facility. At the conclusion of the inspection, the FDA found that the Company had addressed the issues raised in the warning letter and previous inspectional observations, and it issued no other inspectional observations. In reaching this conclusion, the FDA determined that the Company’s remediation activities were effective and its quality management system was adequate and the warning letter was closed out effective September 24, 2013.</w:t>
      </w:r>
    </w:p>
    <w:p>
      <w:pPr>
        <w:spacing w:after="0" w:line="14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FDA inspected our neurosurgery manufacturing facility in Andover, England in June 2012. On November 5, 2012, we received a warning letter dated November 1, 2012 related to quality systems issues at that facility. The warning letter identified violations related to corrective and preventative actions, process validations, internal quality audits, and internal review of the suitability and effectiveness of the quality system at defined intervals. Since the conclusion of the FDA inspection in June 2012, we have undertaken significant efforts to remediate the observations that the FDA has made and continue to do so. We have provided the FDA with monthly status reports and are working cooperatively with the FDA to resolve any outstanding issues.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14, 2013, we received a warning letter from the FDA relating to quality systems issues at our manufacturing facility located in Añasco, Puerto Rico. We filed the FDA warning letter as an exhibit to a Current Report on Form 8-K on February 19, 2013. The letter resulted from an inspection conducted at that facility during October and November 2012. On February 15, 2013 we stopped distribution of our collagen products manufactured in the Añasco facility in order to confirm that we had successfully validated all such products and engaged a third-party consultant having appropriate quality system regulations expertise to confirm such validations. On February 22, 2013 the third-party consultant certified the completeness of such validations and we resumed distribution of collagen products from the Añasco, Puerto Rico facility.</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April 10, 2013, we initiated a voluntary recall of certain products manufactured in our Añasco facility between December 2010 and May 2011 and between November 2012 and March 2013. Specific lots of these products, as described below, were recalled because we identified that there may have been deviations from required processes in their production. We identified through an internal quality assurance review that we may have deviated from a production process during the manufacturing of specific lots of collagen products during the periods described. The product lots in question passed all product finished goods testing including endotoxin testing, are sterile, and were tested and accepted for release. However, due to the process deviation, they may have been released with higher levels of endotoxins than permitted by the product specifications. Higher levels of endotoxins may result in a fever in the immediate postoperative period. There have been no reports of patient injuries or other adverse events attributable to the products subject to the recall. We continue to manufacture all such products in our Añasco facility.</w:t>
      </w:r>
    </w:p>
    <w:p>
      <w:pPr>
        <w:spacing w:after="0" w:line="1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believe that most of the recalled product lots manufactured between December 2010 and May 2011 have already been consumed, and that therefore, the recall of those lots will not have a material financial impact. However, the return of products, manufactured between November 2012 and March 2013, which were substantially sold in the first three months ended March 31, 2013, directly reduced revenues in the year ended December 31, 2013 by $3.4 million. As we anticipated, we were not able to produce all the affected products quickly enough to meet the demand from customers throughout 2013. Such supply shortages resulted in lower revenues in the year ended December 31, 2013. Also, as expected the recall and supply shortages had a significant impact on the U.S. Neurosurgery, U.S. Spine and Other, and International segments in the year 2013. By the end of the fourth quarter, the Company had reduced its backorders of products manufactured at the Añasco facility to an insubstantial level from the level that prevailed at the beginning of 2013.</w:t>
      </w:r>
    </w:p>
    <w:p>
      <w:pPr>
        <w:spacing w:after="0" w:line="113" w:lineRule="exact"/>
        <w:rPr>
          <w:sz w:val="20"/>
          <w:szCs w:val="20"/>
          <w:color w:val="auto"/>
        </w:rPr>
      </w:pPr>
    </w:p>
    <w:p>
      <w:pPr>
        <w:jc w:val="both"/>
        <w:spacing w:after="0" w:line="187" w:lineRule="auto"/>
        <w:rPr>
          <w:sz w:val="20"/>
          <w:szCs w:val="20"/>
          <w:color w:val="auto"/>
        </w:rPr>
      </w:pPr>
      <w:r>
        <w:rPr>
          <w:rFonts w:ascii="Arial" w:cs="Arial" w:eastAsia="Arial" w:hAnsi="Arial"/>
          <w:sz w:val="18"/>
          <w:szCs w:val="18"/>
          <w:color w:val="auto"/>
        </w:rPr>
        <w:t>The recall applied to limited and specific lots of DuraGen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Dural Graft Matrix, DuraGen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Plus Dural Regeneration Matrix, DuraGen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Suturable Dural Regeneration Matrix, DuraGen XS™ Dural Regeneration Matrix, Layershield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Adhesion Barrier Matrix, NeuraWrap™ Nerve Protector, NeuraGen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Nerve Guide, BioMend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Absorbable Collagen Membrane, OraMem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Absorbable Collagen Membrane, BioMend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Extend Absorbable Collagen Membrane, CollaCote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Absorbable Collagen Wound Dressing for Dental Surgery, CollaTape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Absorbable Collagen Wound Dressing for Dental Surgery, CollaPlug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Absorbable Collagen Wound Dressing for Dental Surgery, HeliTape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Absorbable Collagen Wound Dressing for Dental Surgery, HeliPlug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Absorbable Collagen Wound Dressing for Dental Surgery, OraTape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Absorbable Collagen Wound Dressing for Dental Surgery, OraPlug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Absorbable Collagen Wound Dressing for Dental Surgery, Instat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Microfibrillar Collagen Hemostat, Helistat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Absorbable Collagen Hemostatic Sponge (ACS/Helistat), and Helitene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Absorbable Collagen Hemostatic Agent. The Absorbable Collagen Sponge (ACS) is not a final product, but a component of a product assembled by another company.</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met with the Office of Compliance at the Center for Devices and Radiological Health on March 26, 2013. We presented our plans for both immediate remediation and our corporate plan for the development and implementation of a single Quality System</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26" w:right="239" w:bottom="1440" w:gutter="0" w:footer="0" w:header="0"/>
        </w:sectPr>
      </w:pPr>
    </w:p>
    <w:bookmarkStart w:id="32" w:name="page33"/>
    <w:bookmarkEnd w:id="32"/>
    <w:p>
      <w:pPr>
        <w:jc w:val="both"/>
        <w:spacing w:after="0" w:line="288" w:lineRule="auto"/>
        <w:rPr>
          <w:sz w:val="20"/>
          <w:szCs w:val="20"/>
          <w:color w:val="auto"/>
        </w:rPr>
      </w:pPr>
      <w:r>
        <w:rPr>
          <w:rFonts w:ascii="Arial" w:cs="Arial" w:eastAsia="Arial" w:hAnsi="Arial"/>
          <w:sz w:val="16"/>
          <w:szCs w:val="16"/>
          <w:color w:val="auto"/>
        </w:rPr>
        <w:t>for the entire Company. We have engaged former FDA professionals as third party consultants to work with us on our remediation plans. We also met with the Office of Compliance at the FDA San Juan, Puerto Rico office to discuss the remediation plans at the Añasco, Puerto Rico facility. We have prioritized senior level quality and regulatory staff to address the quality system improvement plans at all of our facilities. On July 16, 2013, FDA initiated an inspection of our Plainsboro, NJ facility. At the end of the inspection no FDA Inspectional Observations were issued. FDA closed the Warning Letter at the Integra Plainsboro facility on September 24, 2013. On October 24, 2013, the United States Food and Drug Administration began an inspection of the Añasco facility. At the end of the inspection on November 26, 2013, the FDA issued a new Form 483 with six additional observations relating to Corrective and Preventative Action (“CAPA”), quality system procedures and instructions, procedures pertaining to complaints, procedures pertaining to checking and maintaining equipment, procedures for finished device acceptance and procedures to prevent contamination of equipment or products. These observations did not impact our ability to manufacture and sell product. We had committed to several corporate-wide corrections and additional site corrections and will continue to complete these within the timeframes provided to the FDA in order to remediate the observations that the FDA has made.</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undertaken significant efforts to remediate the observations that the FDA has made and have been working on improving and revising our quality systems. During the year ended December 31, 2013 and 2012, we incurred $8.2 million and $7.9 million in remediation activities expenses, respectively, consisting of consulting expenses and other work activities required to complete our remediation activities, and we expect to incur similar types of expenses during 2014, albeit at lower spending levels. We will provide periodic status reports to the FDA and work cooperatively with the agency to resolve any outstanding issues.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revenues and gross margin on product revenues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65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2011</w:t>
            </w:r>
          </w:p>
        </w:tc>
      </w:tr>
      <w:tr>
        <w:trPr>
          <w:trHeight w:val="196"/>
        </w:trPr>
        <w:tc>
          <w:tcPr>
            <w:tcW w:w="6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6"/>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Orthopedics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374,640</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369,312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328,933</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Neurosurgery</w:t>
            </w: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278,672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4"/>
              <w:spacing w:after="0"/>
              <w:rPr>
                <w:sz w:val="20"/>
                <w:szCs w:val="20"/>
                <w:color w:val="auto"/>
              </w:rPr>
            </w:pPr>
            <w:r>
              <w:rPr>
                <w:rFonts w:ascii="Arial" w:cs="Arial" w:eastAsia="Arial" w:hAnsi="Arial"/>
                <w:sz w:val="18"/>
                <w:szCs w:val="18"/>
                <w:color w:val="auto"/>
              </w:rPr>
              <w:t>277,527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272,538</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182,902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184,032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178,607</w:t>
            </w: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836,214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830,871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780,078</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334,085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314,427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299,150</w:t>
            </w: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Gross margin on total revenues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502,129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516,444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480,928</w:t>
            </w:r>
          </w:p>
        </w:tc>
      </w:tr>
      <w:tr>
        <w:trPr>
          <w:trHeight w:val="67"/>
        </w:trPr>
        <w:tc>
          <w:tcPr>
            <w:tcW w:w="65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24"/>
        </w:trPr>
        <w:tc>
          <w:tcPr>
            <w:tcW w:w="658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Gross margin as a percentage of total revenues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7"/>
        </w:trPr>
        <w:tc>
          <w:tcPr>
            <w:tcW w:w="6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by Reportable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Net sales by reportable segment for the three years ended December 31, 2013, 2012 and 2011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68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r>
      <w:tr>
        <w:trPr>
          <w:trHeight w:val="250"/>
        </w:trPr>
        <w:tc>
          <w:tcPr>
            <w:tcW w:w="6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Neurosurgery</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172,250</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171,278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165,652</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U.S. Instruments</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159,627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162,323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155,833</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Extremities</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134,683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122,847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98,109</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U.S. Spine and Other</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179,940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190,546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174,479</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w:t>
            </w: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189,714</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183,877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186,005</w:t>
            </w: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836,214</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830,871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780,078</w:t>
            </w:r>
          </w:p>
        </w:tc>
      </w:tr>
      <w:tr>
        <w:trPr>
          <w:trHeight w:val="20"/>
        </w:trPr>
        <w:tc>
          <w:tcPr>
            <w:tcW w:w="6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hanging="171"/>
        <w:spacing w:after="0" w:line="308" w:lineRule="auto"/>
        <w:tabs>
          <w:tab w:leader="none" w:pos="257"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Company attributes revenue to geographic areas based on the location of the customer. There are certain revenues managed by the various U.S. segments above that are generated from non-U.S. customers and therefore included in Europe and the Rest of World revenues.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4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2013 Compared with Year Ended December 31, 2012.</w:t>
      </w:r>
    </w:p>
    <w:p>
      <w:pPr>
        <w:spacing w:after="0" w:line="19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For the year ended December 31, 2013, total revenues increased by $5.3 million or 1%, to $836.2 million from $830.9 million during the prior year. Domestic revenues were essentially flat at $642.7 million and were 77% of total revenues for the year ended December 31, 2013. International revenues were up 3% at $193.5 million as compared to 2012. Foreign exchange fluctuations had a negligible impact on revenues for the year.</w:t>
      </w:r>
    </w:p>
    <w:p>
      <w:pPr>
        <w:spacing w:after="0" w:line="11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Our total revenues for the year ended December 31, 2013, were negatively affected by our voluntary recall of certain products manufactured in our Añasco, Puerto Rico facility, including DuraGen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Dural Graft Matrix products.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 Neurosurgery revenues were $172.3 million, an increase of 1% from the prior year. Capital sales were up as we saw growth in our critical care, cranial stabilization, tissue ablation and stereotaxy lines. These increases were offset by decreases in sales of our collagen products and loss of market share resulting from the recall related supply shortage, and decreases in shunts.</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U.S. Instruments revenues were $159.6 million, a decrease of 2% from the prior year. We saw sustained growth in sales of our LED surgical headlamp, and our retractor sales have increased. We experienced lower sales of our legacy lighting products due to some product discontinuation and conversion of the legacy xenon lighting products to LED lighting. Alternate-site sales decreased due to product discontinuation of some of our lower margin products. Hospital starts also decreased during the year resulting in fewer large orders in the second half of the year, driving a weaker revenue result in our acute-care franchise.</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 Extremities revenues were $134.7 million, an increase of 10% from the prior year. This growth resulted from double digit increases in both our upper and lower extremities businesses driven in part by new product introductions, including shoulder implants. Sales of our dermal and wound care products were up high-single digits.</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U.S. Spine and Other revenues, which include our spine hardware, orthobiologics and private label products, were $179.9 million, a decrease of 6% from the prior year. In addition to general market softness and pricing pressure in spine hardware, our product sales declined more than the market because of poor execution in the business and some distributor turnover. That said, spine hardware began to improve toward the end of the year. Orthobiologics sales increased mid-single digits and were affected by backorders in collagen ceramic bone void fillers in the first half of 2013. Our supplies returned to normal levels by the end of the third quarter and we have seen a sequential increase in sales in the fourth quarter. The demand for the overall orthobiologics line remains strong and partially offsets some of the softness in hardware. Sales of our private label products were down significantly from the prior-year period resulting from the loss of some business to certain customers because of the recall-related supply shortages, and changes in the demand of components that we manufacture for our strategic partners.</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International segment revenues were $189.7 million, up 3% from the prior year. Our sales around the world were affected by the recall of our collagen products and backorders on these recalled products; however, we cleared most of our backorders in the third quarter of 2013. We saw growth in our spine implants across all geographies, increases in our dermal and wound businesses with several new product introductions, and increasing product coverage in direct and indirect channels. We experienced some growth in Asia-Pacific and Latin America markets for our duraplasty products.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With our global reach, we generate revenues in multiple foreign currencies, including euros, British pounds, Swiss francs, Canadian dollars, Japanese yen, and Australian dollars. Accordingly, we will experience currency exchange risk with respect to those foreign currency denominated revenues.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2012 Compared with Year Ended December 31, 2011.</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year ended December 31, 2012, total revenues increased by $50.8 million or 7% to $830.9 million from $780.1 million during 2011. Domestic revenues increased by 9% to $642.8 million and were 77% of total revenues for the year ended December 31, 2011. International revenues were essentially flat at $188.1 million. Foreign exchange fluctuations, arising primarily from a weaker euro throughout the year compared to the U.S. dollar, accounted for a $6.8 million decrease in revenues for the year ended December 31, 2012. On a constant currency basis, our overall revenues increased 7% compared to 2011.</w:t>
      </w:r>
    </w:p>
    <w:p>
      <w:pPr>
        <w:spacing w:after="0" w:line="1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U.S. Neurosurgery revenues were $171.3 million, an increase of 3% from 2011. The increase resulted from stronger sales of our market-leading duraplasty products and cranial stabilization products and strength in our critical care.</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 Instruments revenues were $162.3 million, an increase of 4% from 2011. We continued to experience strong sales within instruments, largely driven by strength in our acute care sales channel, and continued growth of our LED surgical headlamp product, which was launched in late 2011, and sales to our alternate site customers.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 Extremities revenues were $122.8 million, an increase of 25% from 2011. This growth resulted primarily from significant increases in sales of our dermal and wound care products. Sales of our metal implants also increased more than 30%, especially products for the foot and ankle and hand and wrist, in part because of the acquisition of Ascension Orthopedics in September 2011.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72" w:right="239" w:bottom="1440" w:gutter="0" w:footer="0" w:header="0"/>
        </w:sectPr>
      </w:pPr>
    </w:p>
    <w:bookmarkStart w:id="34" w:name="page35"/>
    <w:bookmarkEnd w:id="34"/>
    <w:p>
      <w:pPr>
        <w:jc w:val="both"/>
        <w:spacing w:after="0" w:line="257" w:lineRule="auto"/>
        <w:rPr>
          <w:sz w:val="20"/>
          <w:szCs w:val="20"/>
          <w:color w:val="auto"/>
        </w:rPr>
      </w:pPr>
      <w:r>
        <w:rPr>
          <w:rFonts w:ascii="Arial" w:cs="Arial" w:eastAsia="Arial" w:hAnsi="Arial"/>
          <w:sz w:val="18"/>
          <w:szCs w:val="18"/>
          <w:color w:val="auto"/>
        </w:rPr>
        <w:t>U.S. Spine and Other revenues, which include our Spine hardware, orthobiologics and private label products, were $190.5 million, an increase of 9% from 2011. We continued double digit growth in our orthobiologics business, led by a strong demand for our EVO3 and Integra Mozaik products. Our sales team was focused on signing up new distributors, essential to our incremental growth, and as a result we saw some increases in sales. Our Spine hardware products also experienced double-digit growth over 2011 despite continuing price erosion because of increasing competition, in part because of the acquisition of SeaSpine in May 2011.</w:t>
      </w:r>
    </w:p>
    <w:p>
      <w:pPr>
        <w:spacing w:after="0" w:line="13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International segment revenues were $183.9 million, down 1% from 2011. Foreign currency fluctuations, arising primarily from a weaker euro throughout the year, compared to the U.S. dollar in 2011, accounted for a $6.8 million decrease in the revenue for the year ended December 31, 2012. Our sales in Europe declined 6%, but on a constant currency basis sales would have been in line with prior year. We saw decreases in capital spending as European hospitals continued to control costs and manage their budgets. Our Rest of World markets posted a 5% increase. The Neurosurgery and Extremities product categories posted the strongest performances from a product standpoint. We continued to expand our growth in China as we transitioned to a new distribution network.</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Gross margin as a percentage of revenues was 60.0% in 2013, 62.2% in 2012, and 61.7% in 2011. Cost of product revenues in 2013, 2012, and 2011 included $2.2 million, $2.8 million, and $3.3 million, respectively, in fair value inventory purchase accounting adjustments recorded in connection with acquisitions, and $6.7 million, $6.6 million, and $8.2 million, respectively, of amortization for technology-based intangible assets inclusive of impairments.</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gross margin percentage from 2012 to 2013 resulted primarily from increases in reserves related to inventory associated with the recall, increased quality costs at our manufacturing facilities and the medical device excise tax that we capitalize in our inventory and subsequently record in cost of goods sold as these products are sold to third-party customers.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gross margin percentage from 2011 to 2012 resulted primarily from favorable product mix and lower amortization expense offset by increased spending on quality processes and remediation costs.</w:t>
      </w:r>
    </w:p>
    <w:p>
      <w:pPr>
        <w:spacing w:after="0" w:line="19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expect our consolidated gross margin percentage for the full year 2014 to be between 61% and 62%, subject to the finalization of the purchase price accounting for our Confluent Surgical acquisition. We expect our gross margin will see increases from improved product mix - with more sales in the orthopedics and DuraSeal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lines - and improvements in yield as we resolve FDA inspection issues.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other operating expenses as a percent of total revenues:</w:t>
      </w:r>
    </w:p>
    <w:p>
      <w:pPr>
        <w:spacing w:after="0" w:line="379"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23495</wp:posOffset>
            </wp:positionV>
            <wp:extent cx="30702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gridSpan w:val="2"/>
          </w:tcPr>
          <w:p>
            <w:pPr>
              <w:ind w:left="7220"/>
              <w:spacing w:after="0"/>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55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540" w:type="dxa"/>
            <w:vAlign w:val="bottom"/>
          </w:tcPr>
          <w:p>
            <w:pPr>
              <w:jc w:val="right"/>
              <w:ind w:right="534"/>
              <w:spacing w:after="0"/>
              <w:rPr>
                <w:sz w:val="20"/>
                <w:szCs w:val="20"/>
                <w:color w:val="auto"/>
              </w:rPr>
            </w:pPr>
            <w:r>
              <w:rPr>
                <w:rFonts w:ascii="Arial" w:cs="Arial" w:eastAsia="Arial" w:hAnsi="Arial"/>
                <w:sz w:val="14"/>
                <w:szCs w:val="14"/>
                <w:b w:val="1"/>
                <w:bCs w:val="1"/>
                <w:color w:val="auto"/>
              </w:rPr>
              <w:t>2011</w:t>
            </w: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47.1%</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Goodwill impairment charge</w:t>
            </w: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Total operating expenses, which consist of research and development expenses, selling, general and administrative expenses, intangible asset amortization expense, and goodwill impairment charge, increased $63.1 million or 14% to $505.8 million in 2013, compared to $442.7 million in the same period last year.</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slightly to $52.1 million in 2013, compared to $51.0 million in 2012 and</w:t>
      </w:r>
      <w:r>
        <w:rPr>
          <w:rFonts w:ascii="Arial" w:cs="Arial" w:eastAsia="Arial" w:hAnsi="Arial"/>
          <w:sz w:val="18"/>
          <w:szCs w:val="18"/>
          <w:i w:val="1"/>
          <w:iCs w:val="1"/>
          <w:color w:val="auto"/>
        </w:rPr>
        <w:t xml:space="preserve"> </w:t>
      </w:r>
      <w:r>
        <w:rPr>
          <w:rFonts w:ascii="Arial" w:cs="Arial" w:eastAsia="Arial" w:hAnsi="Arial"/>
          <w:sz w:val="18"/>
          <w:szCs w:val="18"/>
          <w:color w:val="auto"/>
        </w:rPr>
        <w:t>$51.5 million in 2011. The increase in research and development cost from 2012 to 2013 was primarily due to higher spending on a clinical trial for a wound care product, further development of our shoulder lines, and the impairment of an in-process research and development intangible asset, offset in part by lower costs from site closures that occurred in 2012. The slight decrease in research and development from 2011 to 2012 was mostly driven by a reduction in headcount.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target full-year 2014 spending on research and development to be approximately 6% of total revenues.</w:t>
      </w:r>
    </w:p>
    <w:p>
      <w:pPr>
        <w:spacing w:after="0" w:line="3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expenses in the year ended December 31, 2013 increased by $21.1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5.7% to $394.3 million compared to $373.1 million in the same period last year. Selling and marketing expenses increased by $13.4 million primarily resulting from higher headcount compared to last year, and the U.S.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30" w:right="239" w:bottom="1440" w:gutter="0" w:footer="0" w:header="0"/>
        </w:sectPr>
      </w:pPr>
    </w:p>
    <w:bookmarkStart w:id="35" w:name="page36"/>
    <w:bookmarkEnd w:id="35"/>
    <w:p>
      <w:pPr>
        <w:jc w:val="both"/>
        <w:spacing w:after="0" w:line="264" w:lineRule="auto"/>
        <w:rPr>
          <w:sz w:val="20"/>
          <w:szCs w:val="20"/>
          <w:color w:val="auto"/>
        </w:rPr>
      </w:pPr>
      <w:r>
        <w:rPr>
          <w:rFonts w:ascii="Arial" w:cs="Arial" w:eastAsia="Arial" w:hAnsi="Arial"/>
          <w:sz w:val="18"/>
          <w:szCs w:val="18"/>
          <w:color w:val="auto"/>
        </w:rPr>
        <w:t>Extremities' commission costs were higher as a result of increases in revenue. General and administrative costs were up $7.8 million primarily because of higher headcount, increased expenses incurred in connection with the implementation of our global ERP system, and consulting costs to support various strategic projects.</w:t>
      </w:r>
    </w:p>
    <w:p>
      <w:pPr>
        <w:spacing w:after="0" w:line="1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Selling, general and administrative expenses for the year ended December 31, 2012 increased by $15.0 million or 4.2% to $373.1 million compared to $358.1 million in 2011. Selling and marketing expenses increased by $24.3 million, primarily resulting from a higher proportion of sales through distributors, which generally have a higher cost than the direct selling model. Additionally, bonuses and commission costs were higher as a result of increases in revenue and headcount. We also added significantly to our planning and customer services departments. Furthermore, we incurred $1.1 million of expenses in the second quarter to terminate an exclusive product distribution agreement with a former distributor in China, which included the transfer of certain product registration rights back to us. General and administrative costs were down $9.3 million, primarily because of prior year incremental charges of $13.3 million of stock based-compensation related to executive changes and $1.7 million of acquisition related costs that did not repeat in the current period. These decreases were offset by increases in our spending on the global enterprise resource planning system, accrued non-selling bonuses, consulting and other costs related to various strategic projects and the addition of our SeaSpine and Ascension operations.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2014, we expect general and administrative expenses to be down slightly compared to 2013 as a percentage of revenue as we will have fewer special charges once we launch our ERP system in the U.S., and experience less remediation costs in the quality area. We also expect selling expenses to decrease as a percentage of revenue as we reach scale in our orthopedic lines. We expect our reported selling, general, and administrative expenses to be between 44% and 45% of revenue in 2014.</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INTANGIBLE ASSET AMORTIZATION. </w:t>
      </w:r>
      <w:r>
        <w:rPr>
          <w:rFonts w:ascii="Arial" w:cs="Arial" w:eastAsia="Arial" w:hAnsi="Arial"/>
          <w:sz w:val="18"/>
          <w:szCs w:val="18"/>
          <w:color w:val="auto"/>
        </w:rPr>
        <w:t>Amortization expense (excluding amounts reported in cost of product revenues for technology-based intangible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the year ended December 31, 2013 was $12.7 million compared to $18.5 million last year. The decrease is primarily due to certain intangible assets becoming fully amortized in the first half of 2013.</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2012, amortization expense (excluding amounts reported in cost of product revenues for technology-based intangible assets) increased by $2.1 million to $18.5 million compared to $16.4 million in 2011. The increase primarily resulted from amortization of the significant intangible assets added as part of our Ascension acquisition that occurred during the third quarter of 2011.</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may discontinue certain products in the future as we continue to assess the profitability of our product lines. As our profitability assessment evolves, we may make further decisions about our trade names and incur additional impairment charges or accelerated amortization. We expect total annual amortization expense (including amounts reported in cost of product revenues, but excluding any possible future amortization associated with 1) acquired IPR&amp;D, and 2) intangible assets that may be capitalized as a result of our Confluent Surgical acquisition in January 2014) to be approximately $18.4 million in 2014, $16.5 million in 2015, $14.3 million in 2016, $12.5 million in 2017 and $12.1 million in 2018.</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expenses for the year ended December 31, 2013 also included a goodwill impairment charge of $46.7 million. The goodwill impairment charge is related to our U.S. Spine reporting unit. See Note 2 "Summary of Significant Accounting Policies - Goodwill and Other Intangible Assets" to our consolidated financial statements for further discussion.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1"/>
              </w:rPr>
              <w:t>Years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59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2011</w:t>
            </w:r>
          </w:p>
        </w:tc>
      </w:tr>
      <w:tr>
        <w:trPr>
          <w:trHeight w:val="196"/>
        </w:trPr>
        <w:tc>
          <w:tcPr>
            <w:tcW w:w="5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10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(19,788)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(22,237)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(27,640)</w:t>
            </w:r>
          </w:p>
        </w:tc>
      </w:tr>
      <w:tr>
        <w:trPr>
          <w:trHeight w:val="27"/>
        </w:trPr>
        <w:tc>
          <w:tcPr>
            <w:tcW w:w="5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757</w:t>
            </w:r>
          </w:p>
        </w:tc>
      </w:tr>
      <w:tr>
        <w:trPr>
          <w:trHeight w:val="237"/>
        </w:trPr>
        <w:tc>
          <w:tcPr>
            <w:tcW w:w="5960" w:type="dxa"/>
            <w:vAlign w:val="bottom"/>
          </w:tcPr>
          <w:p>
            <w:pPr>
              <w:ind w:left="280"/>
              <w:spacing w:after="0"/>
              <w:rPr>
                <w:sz w:val="20"/>
                <w:szCs w:val="20"/>
                <w:color w:val="auto"/>
              </w:rPr>
            </w:pPr>
            <w:r>
              <w:rPr>
                <w:rFonts w:ascii="Arial" w:cs="Arial" w:eastAsia="Arial" w:hAnsi="Arial"/>
                <w:sz w:val="18"/>
                <w:szCs w:val="18"/>
                <w:color w:val="auto"/>
              </w:rPr>
              <w:t>Total non-operating income and expense</w:t>
            </w:r>
          </w:p>
        </w:tc>
        <w:tc>
          <w:tcPr>
            <w:tcW w:w="1100" w:type="dxa"/>
            <w:vAlign w:val="bottom"/>
            <w:tcBorders>
              <w:top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(21,146)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(21,753)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(26,418)</w:t>
            </w:r>
          </w:p>
        </w:tc>
      </w:tr>
      <w:tr>
        <w:trPr>
          <w:trHeight w:val="27"/>
        </w:trPr>
        <w:tc>
          <w:tcPr>
            <w:tcW w:w="59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9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Interest income decreased for the year ended December 31, 2013 because the investment yields of accounts held outside of the United States have declined as compared to the prior-year. Interest income on our invested cash in 2013, 2012 and 2011 was $0.4 million, $1.2 million and $0.5 million, respectively.</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was $19.8 million, $22.2 million and $27.6 million in 2013, 2012 and 2011, respectively. Interest expense in 2013 decreased by $2.4 million primarily as a result of the June 2012 repayment of our 2012 Senior Convertible Notes, which decreased our interest expense by $4.9 million. In addition, we capitalized $3.2 million of interest expense on our qualified construction in progress balances in 2013, which is $0.7 million less than we capitalized in 2012. These decreases were partially offset by an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49" w:right="239" w:bottom="1440" w:gutter="0" w:footer="0" w:header="0"/>
        </w:sectPr>
      </w:pPr>
    </w:p>
    <w:bookmarkStart w:id="36" w:name="page37"/>
    <w:bookmarkEnd w:id="36"/>
    <w:p>
      <w:pPr>
        <w:jc w:val="both"/>
        <w:spacing w:after="0" w:line="264" w:lineRule="auto"/>
        <w:rPr>
          <w:sz w:val="20"/>
          <w:szCs w:val="20"/>
          <w:color w:val="auto"/>
        </w:rPr>
      </w:pPr>
      <w:r>
        <w:rPr>
          <w:rFonts w:ascii="Arial" w:cs="Arial" w:eastAsia="Arial" w:hAnsi="Arial"/>
          <w:sz w:val="18"/>
          <w:szCs w:val="18"/>
          <w:color w:val="auto"/>
        </w:rPr>
        <w:t>additional $1.1 million of higher interest expense because of increased borrowing on our revolving line of credit and $0.2 million of additional amortization of financing costs relating to our Senior Credit Facility amendment in 2013. Furthermore, the amount of our 2016 Notes discount amortization increased by $0.4 million as expected when using the effective interest method for its amortization in 2013.</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reported interest expense for the years ended December 31, 2013, 2012 and 2011 includes non-cash interest related to the accounting for convertible securities of $6.5 million, $8.5 million and $10.6 million, respectively. The expense was primarily associated with the principal amount of the outstanding 2016 Notes and 2012 Notes, and interest and fees related to our $600.0 million senior secured credit facility. In 2013 and 2012, we capitalized a total of $1.4 million and $1.6 million of non-cash interest, respectively, and included it in the historical cost of assets constructed for the Company's own use.</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in the year ended December 31, 2012 decreased by $5.4 million primarily as a result of the June repayment of our 2012 Notes and capitalizing a portion of our interest cost relating to certain assets constructed for our internal use.</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reported interest expense for the years ended December 31, 2013, 2012 and 2011 included $2.3 million, $2.7 million and $3.4 million, respectively, of non-cash amortization of debt issuance costs. The 2011 amount includes approximately $0.8 million of fees expensed in connection with our refinancing in June 2011.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expense of $1.8 million in 2013 was primarily attributable to a write-off of $1.5 million for a capital expenditure project not placed into service and by foreign exchange losses on intercompany balances.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 2012, net other expense of $0.7 million consisted predominantly of foreign exchange losses.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2011, net other income of $0.8 million consisted of research and development reimbursements from third-party partners and foreign governments, partially offset by foreign exchange losses.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effective income tax rate was 31.5%, 20.8% and 1.8% of income before income taxes in 2013, 2012 and 2011, respectively. See Note 10, “Income Taxes,” in our consolidated financial statements for a reconciliation of the United States federal statutory rate to our effective tax rate.</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2013 our full-year worldwide income decreased significantly, primarily due to the impairment of goodwill (which primarily created a non-deductible tax event for the current year), and an overall decrease of earnings generated in the United States and around the world. The foreign effective tax rate decreased as well due to the shift in the mix of earnings, minimal benefits associated with the goodwill impairment charge, and a loss of income tax benefits in France as a result of a French tax law change that was enacted on December 30, 2013. This increase was partially offset by a reversal of $3.8 million of accrued uncertain tax positions, which includes interest. Additionally, the Company recorded a tax benefit in the fourth quarter of 2013 of $1.0 million related to the correction of a deferred tax item relating primarily to 2011.</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2012, our full-year worldwide income increased significantly, primarily due to the increase of earnings generated in the United States. The shift in the mix of earnings caused a significant increase in our worldwide effective tax rate. This increase was partially offset by a reversal of $2.6 million of reserves, which includes interest for uncertain tax positions.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2011, we recorded a reversal of $2.5 million of reserves, which included interest, for uncertain tax positions due to matters that were considered effectively settled. We recorded additional tax expenses of $1.7 million for a correction to a state deferred tax asset relating to 2009 and recorded a tax benefit of $2.2 million relating to the correction of various deferred tax items for periods prior to 2011 that largely impacted foreign operations. These amounts were not material to the current or prior periods and were therefore recorded in 2011.</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effective tax rate could vary from year to year depending on, among other factors, the geographic and business mix and taxable earnings and losses. We consider these factors and other, including our history of generating taxable earnings, in assessing our ability to realize deferred tax assets. We estimate the range of our worldwide effective income tax rate for 2014 to be approximately 21% to 22%.</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recorded a valuation allowance of $9.0 million against the remaining $110.2 million of gross deferred tax assets recorded at December 31, 2013. This valuation allowance relates to deferred tax assets for which the Company does not believe it has satisfied the more likely than not threshold for realization. We do not anticipate additional income tax benefits through future reductions in the valuation allowance. However, if we determine that we would be able to realize more or less than the recorded amount of net deferred tax assets, we will record an adjustment to the deferred tax asset valuation allowance in the period such a determination is made. Our deferred tax asset valuation allowance decreased $5.2 million in 2013, $18.1 million in 2012, and $4.3 million in 2011.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49" w:right="239" w:bottom="1440" w:gutter="0" w:footer="0" w:header="0"/>
        </w:sectPr>
      </w:pPr>
    </w:p>
    <w:bookmarkStart w:id="37" w:name="page38"/>
    <w:bookmarkEnd w:id="37"/>
    <w:p>
      <w:pPr>
        <w:jc w:val="both"/>
        <w:spacing w:after="0" w:line="259" w:lineRule="auto"/>
        <w:rPr>
          <w:sz w:val="20"/>
          <w:szCs w:val="20"/>
          <w:color w:val="auto"/>
        </w:rPr>
      </w:pPr>
      <w:r>
        <w:rPr>
          <w:rFonts w:ascii="Arial" w:cs="Arial" w:eastAsia="Arial" w:hAnsi="Arial"/>
          <w:sz w:val="18"/>
          <w:szCs w:val="18"/>
          <w:color w:val="auto"/>
        </w:rPr>
        <w:t>At December 31, 2013 we had net operating loss carryforwards of $50.8 million for federal income tax purposes, $36.1 million for foreign income tax purposes and $51.4 million for state income tax purposes to offset future taxable income. The federal net operating loss carryforwards expire through 2032, $18.9 million of the foreign net operating loss carryforwards expire through 2021 with the remaining $17.2 million having an indefinite carry forward period. The state net operating loss carryforwards expire through 2032.</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December 31, 2013, we have not provided deferred U.S. income taxes or foreign withholding taxes on temporary differences of approximately $190.7 million resulting from earnings for certain non-U.S. subsidiaries which are permanently reinvested outside the U.S. The unrecognized deferred tax liability associated with these temporary differences was estimated to be $30.9 million at December 31, 2013. Events that could trigger a need to repatriate foreign cash to the U.S. and generate a tax might include U.S. acquisitions, loans from a foreign subsidiary, or anticipated tax law changes that are considered unfavorable and would result in higher taxes on repatriations that occur after the change in tax law goes into effect.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attribute revenues to geographic areas based on the location of the customer. There are certain revenues that the various U.S. segments manage that are generated from non-U.S. customers and therefore included in Europe and the Rest of World revenues below – these revenues are not significant. Total revenue by major geographic area consisted of the following:</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r>
      <w:tr>
        <w:trPr>
          <w:trHeight w:val="196"/>
        </w:trPr>
        <w:tc>
          <w:tcPr>
            <w:tcW w:w="6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642,694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642,830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589,946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Europe</w:t>
            </w:r>
          </w:p>
        </w:tc>
        <w:tc>
          <w:tcPr>
            <w:tcW w:w="4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93,977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90,920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97,184</w:t>
            </w:r>
          </w:p>
        </w:tc>
      </w:tr>
      <w:tr>
        <w:trPr>
          <w:trHeight w:val="27"/>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99,543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97,121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92,948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836,214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830,871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780,078</w:t>
            </w:r>
          </w:p>
        </w:tc>
      </w:tr>
      <w:tr>
        <w:trPr>
          <w:trHeight w:val="27"/>
        </w:trPr>
        <w:tc>
          <w:tcPr>
            <w:tcW w:w="67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2013, sales to our U.S. customers were essentially flat compared to the prior year. We saw increases in our reconstructive, neurosurgery and orthobiologics business; however, these gains were offset by decreases in spine hardware, instruments, and private label. European sales increased approximately 3% in 2013 compared to the prior year resulting primarily from increases in sales of spine hardware. Sales to customers in the Rest of the World region increased approximately 2% for the year ended December 31, 2013 due largely to spine hardware across all geographies, and instruments in Asia.</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2012 sales to our U.S. customers increased approximately 9% compared to the prior year, resulting from a full-year impact of the SeaSpine and Ascension acquisitions, with steady increases in all of our U.S. segments sales. European sales declined approximately 6% in 2012 compared to the prior year resulting primarily from changes in foreign exchange rates, which had an impact on our neurosurgery and orthopedics products, and to a lesser extent, instruments. Sales to customers in the Rest of the World region increased approximately 5% for the year ended December 31, 2012. We experienced this increase in all product lines across all Rest of the World geographies.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our global reach, we generate revenues and incur operating expenses in multiple foreign currencies, including euros, British pounds, Swiss francs, Canadian dollars, Japanese yen, and Australian dollars. Accordingly, we will experience currency exchange risk with respect to those foreign currency denominated revenues and operating expenses. The Company generated revenues denominated in foreign currencies of $134.2 million, $133.3 million and $142.4 million during the years ended December 31, 2013, 2012 and 2011, respectively.</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continue to assess the potential effects that changes in foreign currency exchange rates could have on our business. However, either a strengthening or a weakening of the dollar against individual foreign currencies could reduce future revenues and gross margins. If we believe this potential impact presents a significant risk to our business, we may enter into derivative financial instruments to mitigate this risk.</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may have an impact on the demand for our products in foreign countries.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Local economic conditions, regulatory, legal or political considerations, the effectiveness of our sales representatives and distributors, local competition and changes in local medical practice all could combine to affect our sales into markets outside the United States.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Relationships with customers and effective terms of sale frequently vary by country, often with longer-term receivables than are typical in the United States.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30" w:right="239" w:bottom="1440" w:gutter="0" w:footer="0" w:header="0"/>
        </w:sectPr>
      </w:pPr>
    </w:p>
    <w:bookmarkStart w:id="38" w:name="page39"/>
    <w:bookmarkEnd w:id="38"/>
    <w:p>
      <w:pPr>
        <w:jc w:val="both"/>
        <w:spacing w:after="0" w:line="276" w:lineRule="auto"/>
        <w:rPr>
          <w:sz w:val="20"/>
          <w:szCs w:val="20"/>
          <w:color w:val="auto"/>
        </w:rPr>
      </w:pPr>
      <w:r>
        <w:rPr>
          <w:rFonts w:ascii="Arial" w:cs="Arial" w:eastAsia="Arial" w:hAnsi="Arial"/>
          <w:sz w:val="17"/>
          <w:szCs w:val="17"/>
          <w:color w:val="auto"/>
        </w:rPr>
        <w:t>Economic conditions in certain European countries, especially Greece, Ireland, Italy, Portugal and Spain, have been steadily improving through 2013. Accounts receivable from customers in these countries represented approximately $6.1 million of our total accounts receivable balance of which $0.7 million was reserved at December 31, 2013. At December 31, 2012, the accounts receivable from customers in these countries was $4.3 million of which $0.4 million was reserved. We continually evaluate receivables for potential collection risks associated with our customers. If the financial condition of customers or their respective countries’ healthcare systems continue to deteriorate it may negatively impact our results in future periods.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Marketable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had cash and cash equivalents totaling approximately $120.6 million and $96.9 million at December 31, 2013 and 2012, respectively.</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determined that our existing cash, future cash to be generated from operations, and our remaining $413.1 million of borrowing capacity under our senior secured revolving credit facility at December 31, 2013, if needed, will satisfy our foreseeable working capital, debt repayment and capital expenditure requirements for at least the next twelve months.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2014, we anticipate that our principal uses of cash will include between $45.0 million and $55.0 million on capital expenditures primarily for our continued expansion of regenerative medicine manufacturing capacity, support and maintenance in our existing plants, our enterprise resource planning system implementation, and additions to our instrument kits used in sales of orthopedic products. Additionally, we will continue to build inventories in preparation for our facilities consolidations in 2014.</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2013, our non-U.S. subsidiaries held approximately $96.1 million of cash and cash equivalents that are available for use by all of our operations around the world. However, if these funds were repatriated to the United States or used for United States operations, certain amounts could be subject to United States tax for the incremental amount in excess of the foreign tax paid.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w w:val="89"/>
              </w:rPr>
              <w:t>2012</w:t>
            </w:r>
          </w:p>
        </w:tc>
      </w:tr>
      <w:tr>
        <w:trPr>
          <w:trHeight w:val="196"/>
        </w:trPr>
        <w:tc>
          <w:tcPr>
            <w:tcW w:w="7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2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7"/>
                <w:szCs w:val="17"/>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53,268</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59,100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(50,296)</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(79,276)</w:t>
            </w:r>
          </w:p>
        </w:tc>
      </w:tr>
      <w:tr>
        <w:trPr>
          <w:trHeight w:val="27"/>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19,019</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11,750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Effect of exchange rate fluctuations on cash</w:t>
            </w:r>
          </w:p>
        </w:tc>
        <w:tc>
          <w:tcPr>
            <w:tcW w:w="108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4,556</w:t>
            </w:r>
          </w:p>
        </w:tc>
      </w:tr>
      <w:tr>
        <w:trPr>
          <w:trHeight w:val="27"/>
        </w:trPr>
        <w:tc>
          <w:tcPr>
            <w:tcW w:w="76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23,676</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fourth quarter of 2013, we sold 4.025 million shares of our common stock in a registered public offering to a select group of underwriters. The net proceeds of the offering were $152.5 million after deducting the underwriters' discounts and commissions and all other estimated offering expenses. Through December 31, 2013, we have used all of the net proceeds from this offering to pay down a portion of our outstanding Senior Credit Facility balance.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We generated operating cash flows of $53.3 million, $59.1 million and $104.3 million for years ended December 31, 2013, 2012 and 2011, respectively.</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cash flow was lower than the same period in 2012. Net loss for the year ended December 31, 2013 plus items included in that loss which did not result in a change to our cash balance amounted to cash inflows of $87.1 million compared to $82.7 million in 2012. Changes in working capital in 2013 decreased cash flows by approximately $29.3 million. Among the changes in working capital, accounts receivable used $2.9 million of cash, inventory used $42.0 million of cash, prepaid expenses and other current assets provided $4.9 million of cash, and accounts payable, accrued expenses and other current liabilities provided $9.9 million of cash.</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cash flows for 2012 were lower than the same period in 2011 largely because of the repayment of our convertible 2012 Notes of $165.0 million, of which $31.0 million were classified as an operating use of cash for the repayment of accreted interest. Cash from operations was also negatively impacted by a one-time tax withholding payment of $29.8 million related to our former CEO's deferred equity compensation. Net income for the year ended December 31, 2012, plus items included in those earnings that did not result in a change to our cash balance, amounted to approximately $82.7 million. Changes in working capital decreased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49" w:right="239" w:bottom="1440" w:gutter="0" w:footer="0" w:header="0"/>
        </w:sectPr>
      </w:pPr>
    </w:p>
    <w:bookmarkStart w:id="39" w:name="page40"/>
    <w:bookmarkEnd w:id="39"/>
    <w:p>
      <w:pPr>
        <w:jc w:val="both"/>
        <w:spacing w:after="0" w:line="264" w:lineRule="auto"/>
        <w:rPr>
          <w:sz w:val="20"/>
          <w:szCs w:val="20"/>
          <w:color w:val="auto"/>
        </w:rPr>
      </w:pPr>
      <w:r>
        <w:rPr>
          <w:rFonts w:ascii="Arial" w:cs="Arial" w:eastAsia="Arial" w:hAnsi="Arial"/>
          <w:sz w:val="18"/>
          <w:szCs w:val="18"/>
          <w:color w:val="auto"/>
        </w:rPr>
        <w:t>cash flows by approximately $22.1 million. Among the changes in working capital, accounts receivable provided $3.8 million of cash, inventory used $0.7 million of cash, prepaid expenses and other current assets used $3.1 million of cash, and accounts payable, accrued expenses and other current liabilities used $21.1 million of cash, where the $29.8 million cash paid for federal and state taxes was presented.</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income for the year ended December 31, 2011, plus items included in those earnings that did not result in a change to our cash balance, amounted to $119.4 million. In 2011, the impact of net working capital items on operating cash flows excluding the impact of acquisitions was a decrease of $12.3 million. Increases in accounts receivable used $1.9 million of cash, increases in prepaid expenses and other current assets used $0.4 million of cash, which includes a tax refund of $10.0 million, and decreases in accounts payable, accrued expenses, and other current liabilities used $11.8 million of cash. Decreases in inventory provided $1.7 million of cash.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2013, we paid $47.9 million in cash for capital expenditures, most of which was directed to the expansion of our regenerative medicine production capacity and our global enterprise resource planning system implementation. We also paid $3.0 million in cash for the acquisition of Tarsus Medical, Inc.</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2012, we paid $69.0 million in cash for capital expenditures, most of which was directed to the expansion and remediation of our regenerative medicine production capacity and implementation of a global enterprise resource planning system. We released $7.4 million of our indemnification holdback to the sellers of SeaSpine, Inc. We also experienced net unfavorable impact in short-term time deposit accounts representing the impact of changes in foreign exchange rates.</w:t>
      </w: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2011, we paid $152.0 million (net of $0.8 million of cash acquired) related to our acquisitions of Ascension Orthopedics, Inc. and SeaSpine, Inc. and invested $38.4 million in capital expenditures related primarily to expanding our regenerative medicine manufacturing capacity and to the implementation of our global enterprise resource planning system.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Financing Activities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sources of cash from financing activities in the year ended December 31, 2013 were from $152.5 million of net proceeds from the issuance of 4.025 million shares of common stock in the fourth quarter, $30.0 million borrowings under our Senior Credit Facility, $2.3 million in proceeds from stock option exercises and the tax impact of stock-based compensation, offset by $165.0 million repayments under our Senior Credit Facility and capitalized cost related to the amendment of our Senior Credit Facility of $1.1 million.</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principal uses of cash for financing activities in the year ended December 31, 2012 were the payment of the liability component of our 2012 Notes of $134.4 million and $12.8 million of repayments under our Senior Credit Facility offset by $155.0 million of borrowings under our Senior Credit Facility.</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sources of cash from financing activities in the year ended December 31, 2011 were from $230.0 million in borrowings under the 2016 Notes issued in June 2011 and proceeds from the related warrant sale of $28.5 million. These amounts were offset by $68.4 million in payments under our Senior Credit Facility, $42.9 million for the call option on our 2016 Notes, debt issuance costs of $8.1 million, treasury stock purchases of $83.5 million and proceeds from stock option exercises and the tax impact of stock based compensation of $4.5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2013 and December 31, 2012, working capital was $405.9 million and $346.1 million,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Upcoming Debt Maturities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Senior Credit Facility and 1.625% senior convertible notes due December 2016 all mature in 2016. Subsequent to December 31, 2013 we incurred additional borrowing under our Senior Credit Facility, and as a result we have approximately $651.9 million of outstanding borrowings under these two financing arrangements. The Company may attempt to refinance or extend, either or both of these obligations over the next 12-18 months depending on prevailing market conditions. Our ability to refinance or extend these obligations will depend on our operating and financial performance, which in turn is subject to prevailing economic conditions and financial, business and other factors beyond our control. Any disruptions in our operations, the financial markets, or overall economy may adversely affect the availability and cost of credit to us.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10, 2010, the Company entered into an amended and restated credit agreement (the “First Amendment") with a syndicate of lending banks and further amended the agreement on June 8, 2011 (the “Second Amendment”, and collectively referred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30" w:right="239" w:bottom="1440" w:gutter="0" w:footer="0" w:header="0"/>
        </w:sectPr>
      </w:pPr>
    </w:p>
    <w:bookmarkStart w:id="40" w:name="page41"/>
    <w:bookmarkEnd w:id="40"/>
    <w:p>
      <w:pPr>
        <w:jc w:val="both"/>
        <w:spacing w:after="0" w:line="273" w:lineRule="auto"/>
        <w:rPr>
          <w:sz w:val="20"/>
          <w:szCs w:val="20"/>
          <w:color w:val="auto"/>
        </w:rPr>
      </w:pPr>
      <w:r>
        <w:rPr>
          <w:rFonts w:ascii="Arial" w:cs="Arial" w:eastAsia="Arial" w:hAnsi="Arial"/>
          <w:sz w:val="17"/>
          <w:szCs w:val="17"/>
          <w:color w:val="auto"/>
        </w:rPr>
        <w:t>herein as the “Senior Credit Facility”). The Second Amendment increased the revolving credit component from $450.0 million to $600.0 million and eliminated the $150.0 million term loan component that existed under the First Amendment, allows the Company to further increase the size of the revolving credit component by an aggregate of $200.0 million with additional commitments, provides the Company with decreased borrowing rates and annual commitment fees, and provides more favorable financial covenants. The Second Amendment extended the Senior Credit Facility’s maturity date from August 10, 2015 to June 8, 2016. Both the First Amendment and the Second Amendment are collateralized by substantially all of the assets of the Company’s U.S. subsidiaries, excluding intangible assets. At December 31, 2013, the Company was in compliance with all such covenants.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11, 2012, the Company entered into another amendment to the Senior Credit Facility. The 2012 amendment modified certain financial and negative covenants as disclosed in Note 4 "Debt", the effect of which was to increase the Company’s capacity to borrow. In connection with the May 11, 2012 amendment, the Company capitalized $0.4 million in incremental financing costs.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21, 2013, the Company entered into another amendment to the Senior Credit Facility. The 2013 amendment provides for an increase to the Company's Maximum Consolidated Total Leverage Ratio and permits the addition of certain costs and expenses in the calculation of the consolidated EBITDA as disclosed in Note 4 "Debt" to the Financial Statements. There were no other changes as a result of the 2013 amendment. In connection with the June 21, 2013 amendment, the Company capitalized $1.1 million in incremental financing costs.</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Borrowings under the Senior Credit Facility currently bear interest, at the Company’s option, at a rate equal to (i) the Eurodollar Rate (as defined in the Senior Credit Facility, which definition has not changed) in effect from time to time plus the applicable rate (ranging from 1.00% to 1.75%) or (ii) the highest of</w:t>
      </w:r>
    </w:p>
    <w:p>
      <w:pPr>
        <w:jc w:val="both"/>
        <w:ind w:firstLine="8"/>
        <w:spacing w:after="0" w:line="281" w:lineRule="auto"/>
        <w:tabs>
          <w:tab w:leader="none" w:pos="259"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weighted average overnight Federal funds rate, as published by the Federal Reserve Bank of New York, plus 0.5%, (y) the prime lending rate of Bank of America, N.A. or (z) the one-month Eurodollar Rate plus 1.0%. The applicable rates are based on the Company’s consolidated total leverage ratio (defined as the ratio of (a) consolidated funded indebtedness less cash in excess of $40 million that is not subject to any restriction of the use or investment thereof to</w:t>
      </w:r>
    </w:p>
    <w:p>
      <w:pPr>
        <w:spacing w:after="0" w:line="2" w:lineRule="exact"/>
        <w:rPr>
          <w:rFonts w:ascii="Arial" w:cs="Arial" w:eastAsia="Arial" w:hAnsi="Arial"/>
          <w:sz w:val="16"/>
          <w:szCs w:val="16"/>
          <w:color w:val="auto"/>
        </w:rPr>
      </w:pPr>
    </w:p>
    <w:p>
      <w:pPr>
        <w:jc w:val="both"/>
        <w:ind w:firstLine="8"/>
        <w:spacing w:after="0" w:line="255" w:lineRule="auto"/>
        <w:tabs>
          <w:tab w:leader="none" w:pos="268"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consolidated EBITDA) at the time of the applicable borrowing. The Company will also pay an annual commitment fee (ranging from 0.15% to 0.30%, based on the Company’s consolidated total leverage ratio) on the daily amount by which the revolving credit facility exceeds the outstanding loans and letters of credit under the credit facility.</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plan to utilize the Senior Credit Facility for working capital, capital expenditures, share repurchases, acquisitions, debt repayments and other general corporate purposes. At December 31, 2013 and December 31, 2012, there were $186.9 million and $321.9 million outstanding, respectively, under the Senior Credit Facility at a weighted average interest rate of 2.0% and 1.8%, respectively. The Company considers the balance to be long-term in nature based on its current intent and ability to repay the borrowing outside of the next twelve-month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2013, there was approximately $413.1 million available for borrowing under the Senior Credit Facility.</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Subsequent to year-end, in January 2014, we borrowed an additional $235.0 million from the Senior Credit Facility in connection with our acquisition of Confluent Surgical.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 and Related Hedging Activities</w:t>
      </w:r>
    </w:p>
    <w:p>
      <w:pPr>
        <w:spacing w:after="0" w:line="9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pay interest each June 15 and December 15 on our $230.0 million senior convertible notes due December 2016 (“2016 Notes”) at an annual interest rate of 1.625%. We repaid our $165.0 million senior convertible notes due June 2012 ("2012 Notes") in full during June 2012 in accordance with their term.</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2016 Notes are senior, unsecured obligations of Integra, and are convertible into cash and, if applicable, shares of our common stock based on an initial conversion rate, subject to adjustment, of 17.4092 shares per $1,000 principal amount of 2016 Notes (which represents an initial conversion price of approximately $57.44 per share). We expect to satisfy any conversion of the 2016 Notes with cash up to the principal amount pursuant to the net share settlement mechanism set forth in the respective indenture and, with respect to any excess conversion value, with shares of our common stock. The 2016 Notes are convertible only in the following circumstances: (1) if the closing sale price of our common stock exceeds 150% of the conversion price during a period as defined in the applicable indenture; (2) if the average trading price per $1,000 principal amount of the 2016 Notes is less than or equal to 98% of the average conversion value of the 2016 Notes during a period as defined in the applicable indenture; (3) at any time on or after June 15, 2016; or (4) if specified corporate transactions occur. The issue price of the 2016 Notes was equal to their face amounts, which is also the amount holders are entitled to receive at maturity if the 2016 Notes are not converted. None of these conditions existed with respect to the 2016 Notes; therefore the 2016 Notes are classified as long-term.</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issuance of the 2016 Notes, we entered into call transactions and warrant transactions, primarily with affiliates of the initial purchasers of the 2016 Notes (the “hedge participants”). The cost of the call transactions to us was approximately $42.9 million for the 2016 Notes. We received approximately $28.5 million of proceeds from the warrant transactions for 2016 Notes. The call transactions involved our purchasing call options from the hedge participants, and the warrant transactions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49" w:right="239" w:bottom="1440" w:gutter="0" w:footer="0" w:header="0"/>
        </w:sectPr>
      </w:pPr>
    </w:p>
    <w:bookmarkStart w:id="41" w:name="page42"/>
    <w:bookmarkEnd w:id="41"/>
    <w:p>
      <w:pPr>
        <w:jc w:val="both"/>
        <w:ind w:right="20"/>
        <w:spacing w:after="0" w:line="264" w:lineRule="auto"/>
        <w:rPr>
          <w:sz w:val="20"/>
          <w:szCs w:val="20"/>
          <w:color w:val="auto"/>
        </w:rPr>
      </w:pPr>
      <w:r>
        <w:rPr>
          <w:rFonts w:ascii="Arial" w:cs="Arial" w:eastAsia="Arial" w:hAnsi="Arial"/>
          <w:sz w:val="18"/>
          <w:szCs w:val="18"/>
          <w:color w:val="auto"/>
        </w:rPr>
        <w:t>involved us selling call options to the hedge participants with a higher strike price than the purchased call options. The initial strike price of the call transactions is approximately $57.44, subject to anti-dilution adjustments substantially similar to those in the 2016 Notes. The initial strike price of the warrant transactions is approximately $70.05 for the 2016 Notes, subject to customary anti-dilution adjustments.</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may from time to time seek to retire or purchase a portion of our outstanding 2016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Under certain circumstances, the call options associated with any repurchased 2016 Notes may terminate early, but only with respect to the number of 2016 Notes that cease to be outstanding. The amounts involved may be 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Plan</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23, 2012, our Board of Directors terminated the October 2010 authorization and authorized the repurchase of up to $75.0 million of outstanding common stock through December 2014. Shares may be purchased either in the open market or in privately negotiated transactions. We repurchased no shares under this program through December 31, 2013 and $75.0 million remains available under the authorization.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 we were obligated to pay the following amounts under various agreements: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Less than 1 Year</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1-3 Years</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3-5 Years</w:t>
            </w:r>
          </w:p>
        </w:tc>
        <w:tc>
          <w:tcPr>
            <w:tcW w:w="13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More than 5 Years</w:t>
            </w:r>
          </w:p>
        </w:tc>
      </w:tr>
      <w:tr>
        <w:trPr>
          <w:trHeight w:val="250"/>
        </w:trPr>
        <w:tc>
          <w:tcPr>
            <w:tcW w:w="4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Securities(1)</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230.0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Senior Credit Facility(2)</w:t>
            </w:r>
          </w:p>
        </w:tc>
        <w:tc>
          <w:tcPr>
            <w:tcW w:w="8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186.9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Interest(3)</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Employment Agreements(4)</w:t>
            </w:r>
          </w:p>
        </w:tc>
        <w:tc>
          <w:tcPr>
            <w:tcW w:w="8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Purchase Obligations</w:t>
            </w:r>
          </w:p>
        </w:tc>
        <w:tc>
          <w:tcPr>
            <w:tcW w:w="8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521.9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450.5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29.6</w:t>
            </w:r>
          </w:p>
        </w:tc>
      </w:tr>
      <w:tr>
        <w:trPr>
          <w:trHeight w:val="20"/>
        </w:trPr>
        <w:tc>
          <w:tcPr>
            <w:tcW w:w="4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500" w:right="20" w:hanging="465"/>
        <w:spacing w:after="0" w:line="264"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estimated debt service obligation of the senior convertible securities includes interest expense representing the amortization of the discount on the liability component of the senior convertible notes in accordance with the authoritative guidance. See Note 4 "Debt" of our consolidated financial statements for additional information.</w:t>
      </w:r>
    </w:p>
    <w:p>
      <w:pPr>
        <w:spacing w:after="0" w:line="154" w:lineRule="exact"/>
        <w:rPr>
          <w:rFonts w:ascii="Arial" w:cs="Arial" w:eastAsia="Arial" w:hAnsi="Arial"/>
          <w:sz w:val="18"/>
          <w:szCs w:val="18"/>
          <w:color w:val="auto"/>
        </w:rPr>
      </w:pPr>
    </w:p>
    <w:p>
      <w:pPr>
        <w:ind w:left="500" w:right="40" w:hanging="465"/>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may borrow and make payments against the credit facility from time to time and considers all of the outstanding amounts to be long term based on its current intent and ability to repay the borrowing outside of the next twelve-month period.</w:t>
      </w:r>
    </w:p>
    <w:p>
      <w:pPr>
        <w:spacing w:after="0" w:line="170" w:lineRule="exact"/>
        <w:rPr>
          <w:rFonts w:ascii="Arial" w:cs="Arial" w:eastAsia="Arial" w:hAnsi="Arial"/>
          <w:sz w:val="18"/>
          <w:szCs w:val="18"/>
          <w:color w:val="auto"/>
        </w:rPr>
      </w:pPr>
    </w:p>
    <w:p>
      <w:pPr>
        <w:ind w:left="500" w:right="20"/>
        <w:spacing w:after="0" w:line="277" w:lineRule="auto"/>
        <w:rPr>
          <w:rFonts w:ascii="Arial" w:cs="Arial" w:eastAsia="Arial" w:hAnsi="Arial"/>
          <w:sz w:val="18"/>
          <w:szCs w:val="18"/>
          <w:color w:val="auto"/>
        </w:rPr>
      </w:pPr>
      <w:r>
        <w:rPr>
          <w:rFonts w:ascii="Arial" w:cs="Arial" w:eastAsia="Arial" w:hAnsi="Arial"/>
          <w:sz w:val="18"/>
          <w:szCs w:val="18"/>
          <w:color w:val="auto"/>
        </w:rPr>
        <w:t>Subsequent to year-end, in January 2014, the Company borrowed an additional $235.0 million from the Senior Credit Facility in connection with our acquisition of Confluent Surgical.</w:t>
      </w:r>
    </w:p>
    <w:p>
      <w:pPr>
        <w:spacing w:after="0" w:line="143" w:lineRule="exact"/>
        <w:rPr>
          <w:rFonts w:ascii="Arial" w:cs="Arial" w:eastAsia="Arial" w:hAnsi="Arial"/>
          <w:sz w:val="18"/>
          <w:szCs w:val="18"/>
          <w:color w:val="auto"/>
        </w:rPr>
      </w:pPr>
    </w:p>
    <w:p>
      <w:pPr>
        <w:ind w:left="500" w:right="40" w:hanging="465"/>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is calculated on the convertible securities based on current interest rates paid by the Company. As the revolving credit facility can be repaid at any time, no interest has been included in the calculation.</w:t>
      </w:r>
    </w:p>
    <w:p>
      <w:pPr>
        <w:spacing w:after="0" w:line="143" w:lineRule="exact"/>
        <w:rPr>
          <w:rFonts w:ascii="Arial" w:cs="Arial" w:eastAsia="Arial" w:hAnsi="Arial"/>
          <w:sz w:val="18"/>
          <w:szCs w:val="18"/>
          <w:color w:val="auto"/>
        </w:rPr>
      </w:pPr>
    </w:p>
    <w:p>
      <w:pPr>
        <w:ind w:left="500" w:hanging="465"/>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Amounts shown under Employment Agreements do not include compensation resulting from a change in control.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30" w:right="239" w:bottom="1440" w:gutter="0" w:footer="0" w:header="0"/>
        </w:sectPr>
      </w:pPr>
    </w:p>
    <w:bookmarkStart w:id="42" w:name="page43"/>
    <w:bookmarkEnd w:id="42"/>
    <w:p>
      <w:pPr>
        <w:jc w:val="both"/>
        <w:spacing w:after="0" w:line="342" w:lineRule="auto"/>
        <w:rPr>
          <w:sz w:val="20"/>
          <w:szCs w:val="20"/>
          <w:color w:val="auto"/>
        </w:rPr>
      </w:pPr>
      <w:r>
        <w:rPr>
          <w:rFonts w:ascii="Arial" w:cs="Arial" w:eastAsia="Arial" w:hAnsi="Arial"/>
          <w:sz w:val="16"/>
          <w:szCs w:val="16"/>
          <w:color w:val="auto"/>
        </w:rPr>
        <w:t>Excluded from the contractual obligations table is the liability for uncertain tax benefits, including interest and penalties, totaling $3.8 million. This liability for uncertain tax benefits has been excluded because we cannot make a reliable estimate of the period in which the uncertain tax benefits may be realized.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off-balance sheet arrangements during the year ended December 31, 2013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discussion and analysis of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assumptions that affect the reported amounts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in-process research and development, amortization periods for acquired intangible assets, estimates of projected cash flows and discount rates used to value intangible assets and test goodwill and intangible assets for impairment, estimates of projected cash flows and depreciation and amortization periods for long-lived assets, computation of taxes, computation of valuation allowances recorded against deferred tax assets, valuation of stock-based compensation, valuation of pension assets and liabilities, valuation of derivative instruments, valuation of the equity component of convertible debt instruments, valuation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the following accounting policies, which form the basis for developing these estimates, are those that are most critical to the presentation of our consolidated financial statements and require the more difficult subjective and complex judgments: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Allowances For Doubtful Accounts Receivable and Sales Returns and Allowances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evaluate the collectability of accounts receivable based on a combination of factors. In circumstances where a specific customer is unable to meet its financial obligations to us, we record an allowance against amounts due to reduce the net recognized receivable to the amount that we reasonably expect to collect. For all other customers, we record allowances for doubtful accounts based on the length of time the receivables are past due, the current business environment and our historical experience. If the financial condition of customers or the length of time that receivables are past due were to change, we may change the recorded amount of allowances for doubtful accounts in the future through charges or reductions to selling, general and administrative expense.</w:t>
      </w:r>
    </w:p>
    <w:p>
      <w:pPr>
        <w:spacing w:after="0" w:line="10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record a provision for estimated sales returns and allowances on revenues in the same period as the related revenues are recorded. We base these estimates on historical sales returns and allowances and other known factors. If actual returns or allowances differ from our estimates and the related provisions for sales returns and allowances, we may change the sales returns and allowances provision in the future through an increase or decrease in revenues.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Inventories, consisting of purchased materials, direct labor and manufacturing overhead, are stated at the lower of cost (determined by the first-in, first-out method) or market. At each balance sheet date, we evaluate ending inventories for excess quantities, obsolescence or shelf-life expiration. Our evaluation includes an analysis of historical sales levels by product, projections of future demand by product, the risk of technological or competitive obsolescence for our products, general market conditions, a review of the shelf-life expiration dates for our products, and the feasibility of reworking or using excess or obsolete products or components in the production or assembly of other products that are not obsolete or for which we do not have excess quantities in inventory. To the extent that we determine there are excess or obsolete quantities or quantities with a shelf life that is too near its expiration for us to reasonably expect that we can sell those products prior to their expiration, we adjust their carrying value to estimated net realizable value. If future demand or market conditions are lower than our projections, or if we are unable to rework excess or obsolete quantities into other products, we may record further adjustments to the carrying value of inventory through a charge to cost of product revenues in the period the revision is made.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Goodwill, Identifiable Intangible Assets, and In-Process Research and Development Charges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review goodwill, identifiable intangible assets with indefinite lives and capitalized in-process research and development for impairment annually. We continually assess whether events or changes in circumstances represent a 'triggering' event that would require us to complete an impairment assessment. Factors that we consider in determining whether a triggering event has occurred include a significant change in the business climate, legal factors, operating performance indicators, competition, sale or disposition of significant assets or products, or the termination of development programs. Application of these impairment tests requires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49" w:right="2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color w:val="auto"/>
        </w:rPr>
        <w:t>significant judgments, including estimation of future cash flows, which is dependent on internal forecasts, estimation of the long-term rate of growth for our business, the useful life over which cash flows will occur and determination of our weighted-average cost of capital.</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Should a triggering event be deemed to occur, and for each of the annual goodwill impairment assessments, we are required to estimate the expected net cash flows to be realized over the life of the asset and/or the asset's fair value. Fair values are determined by a discounted cash flow model. These estimates are also subject to significant management judgment including the determination of many factors such as revenue growth rates, cost growth rates, terminal value assumptions and discount rates. Changes in these estimates can have a significant impact on the determination of cash flows and fair value and could potentially result in future material impairments.</w:t>
      </w:r>
    </w:p>
    <w:p>
      <w:pPr>
        <w:spacing w:after="0" w:line="13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test our goodwill for impairment at least annually on July 31 of each year. We performed our most recent annual assessment on July 31, 2013 which resulted in a non-cash goodwill impairment charge of $46.7 million in our U.S. Spine reporting unit. As previously disclosed, the Company has monitored its U.S. Spine business and disclosed that it was at risk for impairment. In the third quarter, during the course of the annual strategic planning process, the Company determined that both the actual and expected income and cash flows for the U.S. Spine reporting unit were projected to be substantially lower than forecasts, and the U.S. spine market recovery may take longer than originally forecasted, including the current expectation of future significant negative pricing pressures. Factors that contributed to the impairment of the U.S. Spine reporting unit include broader market issues as well as company-specific issues. Company-specific issues have included turnover of some distributors, significant delays in new product introductions and other operational issues that negatively impacted the projected revenues and decreased their projected number by a material amount. As a result, the Company lowered its expectations of recovery in the U.S. market and its related impact on the U.S. Spine reporting unit. This revised outlook resulted in a reduction of the U.S. Spine forecasts of the sales, operating income and cash flows expected in 2014 and beyond and consequently, has resulted in an impairment charge.</w:t>
      </w:r>
    </w:p>
    <w:p>
      <w:pPr>
        <w:spacing w:after="0" w:line="1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derive the fair value of the reporting units, as required in step one of the impairment test, the Company used the income approach, specifically the discounted cash flow ("DCF") method, which incorporates significant estimates and assumptions made by management which, by their nature, are characterized by uncertainty. The key assumptions impacting the valuation included:</w:t>
      </w:r>
    </w:p>
    <w:p>
      <w:pPr>
        <w:spacing w:after="0" w:line="127" w:lineRule="exact"/>
        <w:rPr>
          <w:sz w:val="20"/>
          <w:szCs w:val="20"/>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financial projections for its reporting units, which are based on management's assessment of regional and macroeconomic variables, industry trends and market opportunities, and the Company's strategic objectives and future growth plans.</w:t>
      </w:r>
    </w:p>
    <w:p>
      <w:pPr>
        <w:spacing w:after="0" w:line="11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projected terminal value for each reporting unit, which represents the present value of projected cash flows beyond the last period in the discounted cash flow analysis. The terminal value reflects the Company's assumptions related to long-term growth rates and profitability, which are based on several factors, including local and macroeconomic variables, market opportunities, and future growth plans.</w:t>
      </w:r>
    </w:p>
    <w:p>
      <w:pPr>
        <w:spacing w:after="0" w:line="111"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discount rate used to measure the present value of the projected future cash flows is set using a weighted-average cost of capital method that considers market and industry data as well as the Company's specific risk factors that are likely to be considered by a market participant. The weighted-average cost of capital is the Company's estimate of the overall after-tax rate of return required by equity and debt holders of a business enterprise.</w:t>
      </w:r>
    </w:p>
    <w:p>
      <w:pPr>
        <w:spacing w:after="0" w:line="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the results of step one of the impairment test, the Company determined that the carrying value of the U.S. Spine reporting unit exceeded its respective fair value, and accordingly, the Company proceeded to step two of the impairment test.</w:t>
      </w:r>
    </w:p>
    <w:p>
      <w:pPr>
        <w:spacing w:after="0" w:line="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second step, the Company assigned the reporting unit's fair value to all of its assets and liabilities, including any unrecognized intangible assets, in a hypothetical analysis that calculates the implied fair value of goodwill in the same manner as if the reporting unit were being acquired in a business combination. If the implied fair value of the reporting unit's goodwill is less than the carrying value, the difference is recorded as an impairment charge. This allocation process was performed only for the purposes of measuring the goodwill impairment and not to adjust the carrying values of the recognized tangible assets and liabilities. Step two of the impairment was initiated in the third quarter of 2013, but due to the time necessary to complete the analysis, was not completed at that time. The Company recorded its estimate of the goodwill impairment charge of $46.7 million during the third quarter of 2013, which represents the remaining goodwill balance in the U.S. Spine reporting unit. The Company finalized the step two analysis in the fourth quarter of 2013 and there were no changes to the impairment charge initially recorded. Approximately $16.2 million of the goodwill impairment charge was deductible for tax purposes.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to performing the annual goodwill impairment tests for the U.S. Spine reporting unit, we tested long-lived assets to be held and used by this reporting unit for impairment on an undiscounted cash flow basis. Based on the results of this testing, there was no impairment.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develop, manufacture, and sell medical devices globally. Our earnings and cash flows are exposed to market risk from changes in interest rates and currency exchange rates. We address these risks through a risk management program that includes the use of derivative financial instruments, and operate the program pursuant to documented corporate risk management policies. All</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49" w:right="239" w:bottom="1440" w:gutter="0" w:footer="0" w:header="0"/>
        </w:sectPr>
      </w:pPr>
    </w:p>
    <w:bookmarkStart w:id="44" w:name="page45"/>
    <w:bookmarkEnd w:id="44"/>
    <w:p>
      <w:pPr>
        <w:jc w:val="both"/>
        <w:spacing w:after="0" w:line="293" w:lineRule="auto"/>
        <w:rPr>
          <w:sz w:val="20"/>
          <w:szCs w:val="20"/>
          <w:color w:val="auto"/>
        </w:rPr>
      </w:pPr>
      <w:r>
        <w:rPr>
          <w:rFonts w:ascii="Arial" w:cs="Arial" w:eastAsia="Arial" w:hAnsi="Arial"/>
          <w:sz w:val="16"/>
          <w:szCs w:val="16"/>
          <w:color w:val="auto"/>
        </w:rPr>
        <w:t>derivative financial instruments are recognized in the financial statements at fair value in accordance with the authoritative guidance. Under the guidance, for those instruments that are designated and qualify as hedging instruments, the hedging instrument must be designated as a fair value hedge, cash flow hedge, or a hedge of a net investment in a foreign operation, based on the exposure being hedged. The accounting for changes in the fair value of a derivative instrument depends on whether it has been designated and qualifies as part of a hedging relationship and, further, on the type of hedging relationship. Our derivative instruments do not subject our earnings or cash flows to material risk, and gains and losses on these derivatives generally offset losses and gains on the item being hedged. We have not entered into derivative transactions for speculative purposes and all of our derivatives are designated as hedges.</w:t>
      </w:r>
    </w:p>
    <w:p>
      <w:pPr>
        <w:spacing w:after="0" w:line="1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All derivative instruments are recognized at their fair values as either assets or liabilities on the balance sheet. We determine the fair value of our derivative instruments, using the framework prescribed by the authoritative guidance, by considering the estimated amount we would receive to sell or transfer these instruments at the reporting date and by taking into account expected forward interest rates, currency exchange rates, the creditworthiness of the counterparty for assets, and our creditworthiness for liabilities. In certain instances, we may utilize a discounted cash flow model to measure fair value. Generally, we use inputs that include quoted prices for similar assets or liabilities in active markets; other observable inputs for the asset or liability; and inputs that are derived principally from, or corroborated by, observable market data by correlation or other means. As of December 31, 2013, observable inputs are available for substantially the full term of our derivative instruments.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we conduct operations on a global basis, our effective tax rate has and will depend upon the geographic distribution of our pre-tax earnings among locations with varying tax rates. Changes in the tax rates of the various jurisdictions in which we operate affect our profits. In addition, we maintain a reserve for uncertain tax benefits, changes to which could impact our effective tax rate in the period such changes are made. The effective tax rate can also be impacted by changes in valuation allowances of deferred tax assets, and tax law changes.</w:t>
      </w:r>
    </w:p>
    <w:p>
      <w:pPr>
        <w:spacing w:after="0" w:line="13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provision for income taxes may change period-to-period based on specific events, such as the settlement of income tax audits and changes in tax laws, as well as general factors, including the geographic mix of income before taxes, state and local taxes and the effects of the Company's global income tax strategies. We maintain strategic management and operational activities in overseas subsidiaries and our foreign earnings are taxed at rates that are generally lower than in the United States. See Note 10, “Income Taxes,” in our consolidated financial statements for disclosures related to foreign and domestic pretax income, foreign and domestic income tax (benefit) expense and the effect foreign taxes have on our overall effective tax rate.</w:t>
      </w:r>
    </w:p>
    <w:p>
      <w:pPr>
        <w:spacing w:after="0" w:line="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a tax benefit from an uncertain tax position only if it is more likely than not to be sustained upon examination based on the technical merits of the position. The amount of the accrual for which an exposure exists is measured by determining the amount that has a greater than 50 percent likelihood of being realized upon ultimate settlement of the position. Components of the reserve are classified as a long-term liability in the consolidated balance sheets. We record interest and penalties accrued in relation to uncertain tax benefits as a component of income tax expense.</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believe we have identified all reasonably identifiable exposures and the reserve we have established for identifiable exposures is appropriate under the circumstances; however, it is possible that additional exposures exist and that exposures will be settled at amounts different than the amounts reserved. It is also possible that changes in facts and circumstances could cause us to either materially increase or reduce the carrying amount of our tax reserves.</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deferred income taxes reflect the net tax effects of temporary differences between the carrying amounts of assets and liabilities for financial reporting purposes and their basis for income tax purposes, and also the temporary differences created by the tax effects of capital loss, net operating loss and tax credit carryforwards. We record valuation allowances to reduce deferred tax assets to the amounts that are more likely than not to be realized. We could recognize no benefit from our deferred tax assets or we could recognize some or all of the future benefit depending on the amount and timing of taxable income we generate in the future.</w:t>
      </w:r>
    </w:p>
    <w:p>
      <w:pPr>
        <w:spacing w:after="0" w:line="134" w:lineRule="exact"/>
        <w:rPr>
          <w:sz w:val="20"/>
          <w:szCs w:val="20"/>
          <w:color w:val="auto"/>
        </w:rPr>
      </w:pPr>
    </w:p>
    <w:p>
      <w:pPr>
        <w:ind w:right="200"/>
        <w:spacing w:after="0" w:line="438" w:lineRule="auto"/>
        <w:rPr>
          <w:sz w:val="20"/>
          <w:szCs w:val="20"/>
          <w:color w:val="auto"/>
        </w:rPr>
      </w:pPr>
      <w:r>
        <w:rPr>
          <w:rFonts w:ascii="Arial" w:cs="Arial" w:eastAsia="Arial" w:hAnsi="Arial"/>
          <w:sz w:val="18"/>
          <w:szCs w:val="18"/>
          <w:color w:val="auto"/>
        </w:rPr>
        <w:t xml:space="preserve">Our policy is to provide income taxes on earnings of certain foreign subsidiaries only to the extent those earnings are taxable or are expected to be remitted. </w:t>
      </w:r>
      <w:r>
        <w:rPr>
          <w:rFonts w:ascii="Arial" w:cs="Arial" w:eastAsia="Arial" w:hAnsi="Arial"/>
          <w:sz w:val="18"/>
          <w:szCs w:val="18"/>
          <w:b w:val="1"/>
          <w:bCs w:val="1"/>
          <w:i w:val="1"/>
          <w:iCs w:val="1"/>
          <w:color w:val="auto"/>
        </w:rPr>
        <w:t>Loss Contingencies</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subject to claims and lawsuits in the ordinary course of our business, including claims by employees or former employees, with respect to our products and involving commercial disputes. We accrue for loss contingencies when it is deemed probable that a loss has been incurred and that loss is estimable. The amounts accrued are based on the full amount of the estimated loss before considering insurance proceeds, if applicable, and do not include an estimate for legal fees expected to be incurred in connection with the loss contingency. We consistently accrue legal fees expected to be incurred in connection with loss contingencies as those fees are incurred by outside counsel as a period cost. Our financial statements do not reflect any material amounts related to possible unfavorable outcomes of claims and lawsuits to which we are currently a party because we currently believe that such claims and lawsuits are not expected, individually or in the aggregate, to result in a material adverse effect on our financial condition.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49" w:right="2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However, it is possible that these contingencies could materially affect our results of operations, financial position and cash flows in a particular period if we change our assessment of the likely outcome of these matters.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Standards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February 5, 2013, the Financial Accounting Standards Board (FASB) issued Accounting Standards Update (ASU) No. 2013-02, </w:t>
      </w:r>
      <w:r>
        <w:rPr>
          <w:rFonts w:ascii="Arial" w:cs="Arial" w:eastAsia="Arial" w:hAnsi="Arial"/>
          <w:sz w:val="17"/>
          <w:szCs w:val="17"/>
          <w:i w:val="1"/>
          <w:iCs w:val="1"/>
          <w:color w:val="auto"/>
        </w:rPr>
        <w:t>Reporting of Amounts</w:t>
      </w:r>
      <w:r>
        <w:rPr>
          <w:rFonts w:ascii="Arial" w:cs="Arial" w:eastAsia="Arial" w:hAnsi="Arial"/>
          <w:sz w:val="17"/>
          <w:szCs w:val="17"/>
          <w:color w:val="auto"/>
        </w:rPr>
        <w:t xml:space="preserve"> </w:t>
      </w:r>
      <w:r>
        <w:rPr>
          <w:rFonts w:ascii="Arial" w:cs="Arial" w:eastAsia="Arial" w:hAnsi="Arial"/>
          <w:sz w:val="17"/>
          <w:szCs w:val="17"/>
          <w:i w:val="1"/>
          <w:iCs w:val="1"/>
          <w:color w:val="auto"/>
        </w:rPr>
        <w:t>Reclassified Out of Accumulated Other Comprehensive Income</w:t>
      </w:r>
      <w:r>
        <w:rPr>
          <w:rFonts w:ascii="Arial" w:cs="Arial" w:eastAsia="Arial" w:hAnsi="Arial"/>
          <w:sz w:val="17"/>
          <w:szCs w:val="17"/>
          <w:color w:val="auto"/>
        </w:rPr>
        <w:t>. The objective of this standard is to improve the reporting of reclassifications out of</w:t>
      </w:r>
      <w:r>
        <w:rPr>
          <w:rFonts w:ascii="Arial" w:cs="Arial" w:eastAsia="Arial" w:hAnsi="Arial"/>
          <w:sz w:val="17"/>
          <w:szCs w:val="17"/>
          <w:i w:val="1"/>
          <w:iCs w:val="1"/>
          <w:color w:val="auto"/>
        </w:rPr>
        <w:t xml:space="preserve"> </w:t>
      </w:r>
      <w:r>
        <w:rPr>
          <w:rFonts w:ascii="Arial" w:cs="Arial" w:eastAsia="Arial" w:hAnsi="Arial"/>
          <w:sz w:val="17"/>
          <w:szCs w:val="17"/>
          <w:color w:val="auto"/>
        </w:rPr>
        <w:t>accumulated other comprehensive income. The amendment requires an entity to report the effect of significant reclassifications out of accumulated other comprehensive income on the respective line items in net income if the amount being reclassified is required under U.S. generally accepted accounting principles (GAAP) to be reclassified in its entirety to net income. For other amounts that are not required under U.S. GAAP to be reclassified in their entirety to net income in the same reporting period, an entity is required to cross-reference other disclosures required under U.S. GAAP that provide additional detail about those amounts. This would be the case when a portion of the amount reclassified out of accumulated other comprehensive income is reclassified to a balance sheet account (for example, inventory) instead of directly to income or expense in the same reporting period. This ASU is effective for fiscal years and interim periods within those years beginning after December 15, 2012 for public entities and its adoption did not have a material impact on the Company's financial statements.</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July 17, 2013, the FASB issued ASU No. 2013-10, </w:t>
      </w:r>
      <w:r>
        <w:rPr>
          <w:rFonts w:ascii="Arial" w:cs="Arial" w:eastAsia="Arial" w:hAnsi="Arial"/>
          <w:sz w:val="17"/>
          <w:szCs w:val="17"/>
          <w:i w:val="1"/>
          <w:iCs w:val="1"/>
          <w:color w:val="auto"/>
        </w:rPr>
        <w:t>Inclusion of the Fed Funds Effective Swap Rate (or Overnight Index Swap Rate) as a Benchmark</w:t>
      </w:r>
      <w:r>
        <w:rPr>
          <w:rFonts w:ascii="Arial" w:cs="Arial" w:eastAsia="Arial" w:hAnsi="Arial"/>
          <w:sz w:val="17"/>
          <w:szCs w:val="17"/>
          <w:color w:val="auto"/>
        </w:rPr>
        <w:t xml:space="preserve"> </w:t>
      </w:r>
      <w:r>
        <w:rPr>
          <w:rFonts w:ascii="Arial" w:cs="Arial" w:eastAsia="Arial" w:hAnsi="Arial"/>
          <w:sz w:val="17"/>
          <w:szCs w:val="17"/>
          <w:i w:val="1"/>
          <w:iCs w:val="1"/>
          <w:color w:val="auto"/>
        </w:rPr>
        <w:t>Interest Rate for Hedge Accounting Purposes</w:t>
      </w:r>
      <w:r>
        <w:rPr>
          <w:rFonts w:ascii="Arial" w:cs="Arial" w:eastAsia="Arial" w:hAnsi="Arial"/>
          <w:sz w:val="17"/>
          <w:szCs w:val="17"/>
          <w:color w:val="auto"/>
        </w:rPr>
        <w:t>. The revised standard allows entities to now use the Federal Funds Effective Swap Rate (which is the Overnight</w:t>
      </w:r>
      <w:r>
        <w:rPr>
          <w:rFonts w:ascii="Arial" w:cs="Arial" w:eastAsia="Arial" w:hAnsi="Arial"/>
          <w:sz w:val="17"/>
          <w:szCs w:val="17"/>
          <w:i w:val="1"/>
          <w:iCs w:val="1"/>
          <w:color w:val="auto"/>
        </w:rPr>
        <w:t xml:space="preserve"> </w:t>
      </w:r>
      <w:r>
        <w:rPr>
          <w:rFonts w:ascii="Arial" w:cs="Arial" w:eastAsia="Arial" w:hAnsi="Arial"/>
          <w:sz w:val="17"/>
          <w:szCs w:val="17"/>
          <w:color w:val="auto"/>
        </w:rPr>
        <w:t>Index Swap Rate, or OIS rate, in the U.S.) as a benchmark interest rate for hedge accounting purposes under U.S. GAAP. Previously, only U.S. Treasury and London Interbank Offered Rate (LIBOR) rates could be used as benchmark interest rates in hedge accounting. In issuing the new guidance, which became effective July 17, 2013, the FASB responded to an increase in demand for hedging exposures to the OIS rate, driven partly by regulations that require collateralization and central clearing of over-the-counter derivatives. The guidance allows entities to develop new hedging strategies but does not resolve ineffectiveness issues that arise in existing LIBOR hedges when the OIS rate is used to discount future cash flows. The standard adoption did not have a material impact on the Company's financial statements.</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July 18, 2013, the FASB issued ASU No. 2013-11, </w:t>
      </w:r>
      <w:r>
        <w:rPr>
          <w:rFonts w:ascii="Arial" w:cs="Arial" w:eastAsia="Arial" w:hAnsi="Arial"/>
          <w:sz w:val="17"/>
          <w:szCs w:val="17"/>
          <w:i w:val="1"/>
          <w:iCs w:val="1"/>
          <w:color w:val="auto"/>
        </w:rPr>
        <w:t>Presentation of an Unrecognized Tax Benefit When a Net Operating Loss Carryforward, a Similar Tax</w:t>
      </w:r>
      <w:r>
        <w:rPr>
          <w:rFonts w:ascii="Arial" w:cs="Arial" w:eastAsia="Arial" w:hAnsi="Arial"/>
          <w:sz w:val="17"/>
          <w:szCs w:val="17"/>
          <w:color w:val="auto"/>
        </w:rPr>
        <w:t xml:space="preserve"> </w:t>
      </w:r>
      <w:r>
        <w:rPr>
          <w:rFonts w:ascii="Arial" w:cs="Arial" w:eastAsia="Arial" w:hAnsi="Arial"/>
          <w:sz w:val="17"/>
          <w:szCs w:val="17"/>
          <w:i w:val="1"/>
          <w:iCs w:val="1"/>
          <w:color w:val="auto"/>
        </w:rPr>
        <w:t>Loss, or a Tax Credit Carryforward Exists</w:t>
      </w:r>
      <w:r>
        <w:rPr>
          <w:rFonts w:ascii="Arial" w:cs="Arial" w:eastAsia="Arial" w:hAnsi="Arial"/>
          <w:sz w:val="17"/>
          <w:szCs w:val="17"/>
          <w:color w:val="auto"/>
        </w:rPr>
        <w:t>. This updated guidance requires an unrecognized tax benefit to be presented in the financial statements as a</w:t>
      </w:r>
      <w:r>
        <w:rPr>
          <w:rFonts w:ascii="Arial" w:cs="Arial" w:eastAsia="Arial" w:hAnsi="Arial"/>
          <w:sz w:val="17"/>
          <w:szCs w:val="17"/>
          <w:i w:val="1"/>
          <w:iCs w:val="1"/>
          <w:color w:val="auto"/>
        </w:rPr>
        <w:t xml:space="preserve"> </w:t>
      </w:r>
      <w:r>
        <w:rPr>
          <w:rFonts w:ascii="Arial" w:cs="Arial" w:eastAsia="Arial" w:hAnsi="Arial"/>
          <w:sz w:val="17"/>
          <w:szCs w:val="17"/>
          <w:color w:val="auto"/>
        </w:rPr>
        <w:t>reduction to a deferred tax asset for a net operating loss carryforward, similar tax loss, or a tax credit carryforward. To the extent the tax benefit is not available at the reporting date under the governing tax law or if the entity does not intend to use the deferred tax asset for such purpose, the unrecognized tax benefit should be presented as a liability and not combined with deferred tax assets. The ASU 2013-11 is effective for fiscal years and interim periods within those years beginning after December 15, 2013 for public entities. Early adoption is permitted. The amendments are to be applied to all unrecognized tax benefits that exist as of the effective date and may be applied retrospectively to each prior reporting period presented. The standard adoption will not have a material impact on the Company's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and Other Rate Risks</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Swiss francs, British pounds, Canadian dollars, Japanese yen, and Australian dollars.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11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From time to time, we enter into foreign currency forward exchange contracts with terms of up to 12 months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At December 31, 2013, the company had no foreign currency forward contracts outstanding. At December 31, 2012, the notional amount of foreign currency contracts outstanding not designated as hedges was equivalent to $3.9 million, and there were no foreign currency forward contracts that were designated as hedges.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49" w:right="239" w:bottom="1440" w:gutter="0" w:footer="0" w:header="0"/>
        </w:sectPr>
      </w:pPr>
    </w:p>
    <w:bookmarkStart w:id="46" w:name="page47"/>
    <w:bookmarkEnd w:id="46"/>
    <w:p>
      <w:pPr>
        <w:jc w:val="both"/>
        <w:spacing w:after="0" w:line="259"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We are exposed to the risk of interest rate fluctuations on the interest income earned on our cash and cash equivalents. A</w:t>
      </w:r>
      <w:r>
        <w:rPr>
          <w:rFonts w:ascii="Arial" w:cs="Arial" w:eastAsia="Arial" w:hAnsi="Arial"/>
          <w:sz w:val="18"/>
          <w:szCs w:val="18"/>
          <w:i w:val="1"/>
          <w:iCs w:val="1"/>
          <w:color w:val="auto"/>
        </w:rPr>
        <w:t xml:space="preserve"> </w:t>
      </w:r>
      <w:r>
        <w:rPr>
          <w:rFonts w:ascii="Arial" w:cs="Arial" w:eastAsia="Arial" w:hAnsi="Arial"/>
          <w:sz w:val="18"/>
          <w:szCs w:val="18"/>
          <w:color w:val="auto"/>
        </w:rPr>
        <w:t>hypothetical 100 basis point movement in interest rates applicable to our cash and cash equivalents outstanding at December 31, 2013 would increase interest income by approximately $1.2 million on an annual basis. No significant decrease in interest income would be expected as our cash balances are earning interest at rates of approximately 23 basis points. We are subject to foreign currency exchange risk with respect to cash balances maintained in foreign currencies.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Senior Credit Facility </w:t>
      </w:r>
      <w:r>
        <w:rPr>
          <w:rFonts w:ascii="Arial" w:cs="Arial" w:eastAsia="Arial" w:hAnsi="Arial"/>
          <w:sz w:val="18"/>
          <w:szCs w:val="18"/>
          <w:color w:val="auto"/>
        </w:rPr>
        <w:t>- Our interest rate risk relates primarily to U.S. dollar LIBOR-indexed borrowings. We use an interest rate swap derivative instrument</w:t>
      </w:r>
      <w:r>
        <w:rPr>
          <w:rFonts w:ascii="Arial" w:cs="Arial" w:eastAsia="Arial" w:hAnsi="Arial"/>
          <w:sz w:val="18"/>
          <w:szCs w:val="18"/>
          <w:i w:val="1"/>
          <w:iCs w:val="1"/>
          <w:color w:val="auto"/>
        </w:rPr>
        <w:t xml:space="preserve"> </w:t>
      </w:r>
      <w:r>
        <w:rPr>
          <w:rFonts w:ascii="Arial" w:cs="Arial" w:eastAsia="Arial" w:hAnsi="Arial"/>
          <w:sz w:val="18"/>
          <w:szCs w:val="18"/>
          <w:color w:val="auto"/>
        </w:rPr>
        <w:t>to manage our earnings and cash flow exposure to changes in interest rates. This interest rate swap fixed the interest rate on a portion of our expected LIBOR-indexed floating-rate borrowings beginning on December 31, 2010. At December 31, 2013 the interest rate swap had a notional amount of $112.5 million outstanding, and the fair value was a net liability of $2.4 million. We recognized $1.9 million of additional interest expense related to this interest rate swap during 2013.</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our outstanding borrowings at December 31, 2013, a one-percentage point change in interest rates would have impacted interest expense on the unhedged portion of the debt by $0.7 million on an annualized basis.</w:t>
      </w:r>
    </w:p>
    <w:p>
      <w:pPr>
        <w:spacing w:after="0" w:line="22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statements and the financial statement schedules specified by this Item, together with the report thereon of PricewaterhouseCoopers LLP, are presented following Item 15 of this report.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on quarterly results of operations is set forth in our financial statements under Note 15, “Selected Quarterly Information — Unaudited,” to our consolidated financial statements.</w:t>
      </w:r>
    </w:p>
    <w:p>
      <w:pPr>
        <w:spacing w:after="0" w:line="302" w:lineRule="exact"/>
        <w:rPr>
          <w:sz w:val="20"/>
          <w:szCs w:val="20"/>
          <w:color w:val="auto"/>
        </w:rPr>
      </w:pPr>
    </w:p>
    <w:p>
      <w:pPr>
        <w:ind w:right="1080" w:firstLine="27"/>
        <w:spacing w:after="0" w:line="407"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DISCLOSURES</w:t>
      </w:r>
      <w:r>
        <w:rPr>
          <w:rFonts w:ascii="Arial" w:cs="Arial" w:eastAsia="Arial" w:hAnsi="Arial"/>
          <w:sz w:val="18"/>
          <w:szCs w:val="18"/>
          <w:b w:val="1"/>
          <w:bCs w:val="1"/>
          <w:color w:val="auto"/>
        </w:rPr>
        <w:t xml:space="preserve"> </w:t>
      </w:r>
      <w:r>
        <w:rPr>
          <w:rFonts w:ascii="Arial" w:cs="Arial" w:eastAsia="Arial" w:hAnsi="Arial"/>
          <w:sz w:val="18"/>
          <w:szCs w:val="18"/>
          <w:color w:val="auto"/>
        </w:rPr>
        <w:t>Not applicable.</w:t>
      </w:r>
    </w:p>
    <w:p>
      <w:pPr>
        <w:spacing w:after="0" w:line="189"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December 31, 2013. Based upon this evaluation, our principal executive officer and principal financial officer concluded that our disclosure controls and procedures were effective as of December 31, 2013 to provide such reasonable assurance.</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previously disclosed, the Company is in the process of a multi-year implementation of a global enterprise resource planning (“ERP”) system. In the second quarter of 2013, the Company began deploying its first ERP module within certain U.S. operations. In 2014, the Company expects the ERP will be deployed in the remaining U.S. operations. In addition, in response to business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30" w:right="2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integration activities, the Company has and will continue to further align and streamline the design and operation of the financial control environment to be responsive to the changing business model.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Rules 13a-15(f) under the Securities Exchange Act of 1934, as amended.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(“GAAP”). We recognize that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To evaluate the effectiveness of our internal control over financial reporting, management used the criteria described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(1992) issued by the Committee of Sponsoring Organizations of the Treadway Commission (“COSO”). Based upon this evaluation,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concluded that our internal control over financial reporting was effective as of December 31, 2013.</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2013 has been audited by PricewaterhouseCoopers LLP, an independent registered public accounting firm, as stated in their report which appears herein.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 13a-15(f) under the Exchange Act) that occurred during the quarter ended December 31, 2013 that have materially affected, or are reasonably likely to materially affect, our internal control over financial reporting.</w:t>
      </w:r>
    </w:p>
    <w:p>
      <w:pPr>
        <w:spacing w:after="0" w:line="170"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49"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information called for by Item 5. Market for Registrant’s Common Equity, Related Stockholder Matters and Issuer Purchases of Equity Securities relating to equity compensation plans,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Accountant Fees and Services is incorporated herein by reference to the Company’s definitive proxy statement for its Annual Meeting of Stockholders scheduled to be held on May 20, 2014, which definitive proxy statement is expected to be filed with the Commission not later than 120 days after the end of the fiscal year to which this report relates.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45" w:right="239" w:bottom="1440" w:gutter="0" w:footer="0" w:header="0"/>
        </w:sectPr>
      </w:pPr>
    </w:p>
    <w:bookmarkStart w:id="49" w:name="page50"/>
    <w:bookmarkEnd w:id="49"/>
    <w:p>
      <w:pPr>
        <w:spacing w:after="0" w:line="200" w:lineRule="exact"/>
        <w:rPr>
          <w:sz w:val="20"/>
          <w:szCs w:val="20"/>
          <w:color w:val="auto"/>
        </w:rPr>
      </w:pPr>
    </w:p>
    <w:p>
      <w:pPr>
        <w:spacing w:after="0" w:line="26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ind w:left="120"/>
        <w:spacing w:after="0"/>
        <w:tabs>
          <w:tab w:leader="none" w:pos="15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121" w:lineRule="exact"/>
        <w:rPr>
          <w:sz w:val="20"/>
          <w:szCs w:val="20"/>
          <w:color w:val="auto"/>
        </w:rPr>
      </w:pPr>
    </w:p>
    <w:p>
      <w:pPr>
        <w:ind w:right="8280" w:firstLine="8"/>
        <w:spacing w:after="0" w:line="438" w:lineRule="auto"/>
        <w:tabs>
          <w:tab w:leader="none" w:pos="2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Documents filed as a part of this report. 1. </w:t>
      </w:r>
      <w:r>
        <w:rPr>
          <w:rFonts w:ascii="Arial" w:cs="Arial" w:eastAsia="Arial" w:hAnsi="Arial"/>
          <w:sz w:val="18"/>
          <w:szCs w:val="18"/>
          <w:b w:val="1"/>
          <w:bCs w:val="1"/>
          <w:i w:val="1"/>
          <w:iCs w:val="1"/>
          <w:color w:val="auto"/>
        </w:rPr>
        <w:t>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statements and financial statement schedules are filed as a part of this report:</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580" w:type="dxa"/>
            <w:vAlign w:val="bottom"/>
          </w:tcPr>
          <w:p>
            <w:pPr>
              <w:spacing w:after="0"/>
              <w:rPr>
                <w:sz w:val="20"/>
                <w:szCs w:val="20"/>
                <w:color w:val="auto"/>
              </w:rPr>
            </w:pPr>
            <w:r>
              <w:rPr>
                <w:rFonts w:ascii="Arial" w:cs="Arial" w:eastAsia="Arial" w:hAnsi="Arial"/>
                <w:sz w:val="18"/>
                <w:szCs w:val="18"/>
                <w:color w:val="0000FF"/>
              </w:rPr>
              <w:t>Report of Independent Registered Public Accounting Firm</w:t>
            </w:r>
          </w:p>
        </w:tc>
        <w:tc>
          <w:tcPr>
            <w:tcW w:w="1500" w:type="dxa"/>
            <w:vAlign w:val="bottom"/>
            <w:gridSpan w:val="2"/>
          </w:tcPr>
          <w:p>
            <w:pPr>
              <w:ind w:left="1160"/>
              <w:spacing w:after="0"/>
              <w:rPr>
                <w:sz w:val="20"/>
                <w:szCs w:val="20"/>
                <w:color w:val="auto"/>
              </w:rPr>
            </w:pPr>
            <w:r>
              <w:rPr>
                <w:rFonts w:ascii="Arial" w:cs="Arial" w:eastAsia="Arial" w:hAnsi="Arial"/>
                <w:sz w:val="18"/>
                <w:szCs w:val="18"/>
                <w:color w:val="0000FF"/>
              </w:rPr>
              <w:t>F-1</w:t>
            </w:r>
          </w:p>
        </w:tc>
      </w:tr>
      <w:tr>
        <w:trPr>
          <w:trHeight w:val="270"/>
        </w:trPr>
        <w:tc>
          <w:tcPr>
            <w:tcW w:w="9580" w:type="dxa"/>
            <w:vAlign w:val="bottom"/>
          </w:tcPr>
          <w:p>
            <w:pPr>
              <w:spacing w:after="0"/>
              <w:rPr>
                <w:sz w:val="20"/>
                <w:szCs w:val="20"/>
                <w:color w:val="auto"/>
              </w:rPr>
            </w:pPr>
            <w:r>
              <w:rPr>
                <w:rFonts w:ascii="Arial" w:cs="Arial" w:eastAsia="Arial" w:hAnsi="Arial"/>
                <w:sz w:val="18"/>
                <w:szCs w:val="18"/>
                <w:color w:val="0000FF"/>
              </w:rPr>
              <w:t>Consolidated Statements of Operations for the years ended December 31, 2013, 2012 and 2011</w:t>
            </w:r>
          </w:p>
        </w:tc>
        <w:tc>
          <w:tcPr>
            <w:tcW w:w="1500" w:type="dxa"/>
            <w:vAlign w:val="bottom"/>
            <w:gridSpan w:val="2"/>
          </w:tcPr>
          <w:p>
            <w:pPr>
              <w:ind w:left="1160"/>
              <w:spacing w:after="0"/>
              <w:rPr>
                <w:sz w:val="20"/>
                <w:szCs w:val="20"/>
                <w:color w:val="auto"/>
              </w:rPr>
            </w:pPr>
            <w:r>
              <w:rPr>
                <w:rFonts w:ascii="Arial" w:cs="Arial" w:eastAsia="Arial" w:hAnsi="Arial"/>
                <w:sz w:val="18"/>
                <w:szCs w:val="18"/>
                <w:color w:val="0000FF"/>
              </w:rPr>
              <w:t>F-2</w:t>
            </w:r>
          </w:p>
        </w:tc>
      </w:tr>
      <w:tr>
        <w:trPr>
          <w:trHeight w:val="270"/>
        </w:trPr>
        <w:tc>
          <w:tcPr>
            <w:tcW w:w="9580" w:type="dxa"/>
            <w:vAlign w:val="bottom"/>
          </w:tcPr>
          <w:p>
            <w:pPr>
              <w:spacing w:after="0"/>
              <w:rPr>
                <w:sz w:val="20"/>
                <w:szCs w:val="20"/>
                <w:color w:val="auto"/>
              </w:rPr>
            </w:pPr>
            <w:r>
              <w:rPr>
                <w:rFonts w:ascii="Arial" w:cs="Arial" w:eastAsia="Arial" w:hAnsi="Arial"/>
                <w:sz w:val="18"/>
                <w:szCs w:val="18"/>
                <w:color w:val="0000FF"/>
              </w:rPr>
              <w:t>Consolidated Statements of Comprehensive Income (Loss) for the years ended December 31, 2013, 2012 and 2011</w:t>
            </w:r>
          </w:p>
        </w:tc>
        <w:tc>
          <w:tcPr>
            <w:tcW w:w="1500" w:type="dxa"/>
            <w:vAlign w:val="bottom"/>
            <w:gridSpan w:val="2"/>
          </w:tcPr>
          <w:p>
            <w:pPr>
              <w:ind w:left="1160"/>
              <w:spacing w:after="0"/>
              <w:rPr>
                <w:sz w:val="20"/>
                <w:szCs w:val="20"/>
                <w:color w:val="auto"/>
              </w:rPr>
            </w:pPr>
            <w:r>
              <w:rPr>
                <w:rFonts w:ascii="Arial" w:cs="Arial" w:eastAsia="Arial" w:hAnsi="Arial"/>
                <w:sz w:val="18"/>
                <w:szCs w:val="18"/>
                <w:color w:val="0000FF"/>
              </w:rPr>
              <w:t>F-3</w:t>
            </w:r>
          </w:p>
        </w:tc>
      </w:tr>
      <w:tr>
        <w:trPr>
          <w:trHeight w:val="270"/>
        </w:trPr>
        <w:tc>
          <w:tcPr>
            <w:tcW w:w="9580" w:type="dxa"/>
            <w:vAlign w:val="bottom"/>
          </w:tcPr>
          <w:p>
            <w:pPr>
              <w:spacing w:after="0"/>
              <w:rPr>
                <w:sz w:val="20"/>
                <w:szCs w:val="20"/>
                <w:color w:val="auto"/>
              </w:rPr>
            </w:pPr>
            <w:r>
              <w:rPr>
                <w:rFonts w:ascii="Arial" w:cs="Arial" w:eastAsia="Arial" w:hAnsi="Arial"/>
                <w:sz w:val="18"/>
                <w:szCs w:val="18"/>
                <w:color w:val="0000FF"/>
              </w:rPr>
              <w:t>Consolidated Balance Sheets as of December 31, 2013 and 2012</w:t>
            </w:r>
          </w:p>
        </w:tc>
        <w:tc>
          <w:tcPr>
            <w:tcW w:w="1500" w:type="dxa"/>
            <w:vAlign w:val="bottom"/>
            <w:gridSpan w:val="2"/>
          </w:tcPr>
          <w:p>
            <w:pPr>
              <w:ind w:left="1160"/>
              <w:spacing w:after="0"/>
              <w:rPr>
                <w:sz w:val="20"/>
                <w:szCs w:val="20"/>
                <w:color w:val="auto"/>
              </w:rPr>
            </w:pPr>
            <w:r>
              <w:rPr>
                <w:rFonts w:ascii="Arial" w:cs="Arial" w:eastAsia="Arial" w:hAnsi="Arial"/>
                <w:sz w:val="18"/>
                <w:szCs w:val="18"/>
                <w:color w:val="0000FF"/>
              </w:rPr>
              <w:t>F-4</w:t>
            </w:r>
          </w:p>
        </w:tc>
      </w:tr>
      <w:tr>
        <w:trPr>
          <w:trHeight w:val="270"/>
        </w:trPr>
        <w:tc>
          <w:tcPr>
            <w:tcW w:w="9580" w:type="dxa"/>
            <w:vAlign w:val="bottom"/>
          </w:tcPr>
          <w:p>
            <w:pPr>
              <w:spacing w:after="0"/>
              <w:rPr>
                <w:sz w:val="20"/>
                <w:szCs w:val="20"/>
                <w:color w:val="auto"/>
              </w:rPr>
            </w:pPr>
            <w:r>
              <w:rPr>
                <w:rFonts w:ascii="Arial" w:cs="Arial" w:eastAsia="Arial" w:hAnsi="Arial"/>
                <w:sz w:val="18"/>
                <w:szCs w:val="18"/>
                <w:color w:val="0000FF"/>
              </w:rPr>
              <w:t>Consolidated Statements of Cash Flows for the years ended December 31, 2013, 2012 and 2011</w:t>
            </w:r>
          </w:p>
        </w:tc>
        <w:tc>
          <w:tcPr>
            <w:tcW w:w="1500" w:type="dxa"/>
            <w:vAlign w:val="bottom"/>
            <w:gridSpan w:val="2"/>
          </w:tcPr>
          <w:p>
            <w:pPr>
              <w:ind w:left="1160"/>
              <w:spacing w:after="0"/>
              <w:rPr>
                <w:sz w:val="20"/>
                <w:szCs w:val="20"/>
                <w:color w:val="auto"/>
              </w:rPr>
            </w:pPr>
            <w:r>
              <w:rPr>
                <w:rFonts w:ascii="Arial" w:cs="Arial" w:eastAsia="Arial" w:hAnsi="Arial"/>
                <w:sz w:val="18"/>
                <w:szCs w:val="18"/>
                <w:color w:val="0000FF"/>
              </w:rPr>
              <w:t>F-5</w:t>
            </w:r>
          </w:p>
        </w:tc>
      </w:tr>
      <w:tr>
        <w:trPr>
          <w:trHeight w:val="270"/>
        </w:trPr>
        <w:tc>
          <w:tcPr>
            <w:tcW w:w="9580" w:type="dxa"/>
            <w:vAlign w:val="bottom"/>
          </w:tcPr>
          <w:p>
            <w:pPr>
              <w:spacing w:after="0"/>
              <w:rPr>
                <w:sz w:val="20"/>
                <w:szCs w:val="20"/>
                <w:color w:val="auto"/>
              </w:rPr>
            </w:pPr>
            <w:r>
              <w:rPr>
                <w:rFonts w:ascii="Arial" w:cs="Arial" w:eastAsia="Arial" w:hAnsi="Arial"/>
                <w:sz w:val="18"/>
                <w:szCs w:val="18"/>
                <w:color w:val="0000FF"/>
              </w:rPr>
              <w:t>Consolidated Statements of Changes in Stockholders’ Equity for the years ended December 31, 2013, 2012 and 2011</w:t>
            </w:r>
          </w:p>
        </w:tc>
        <w:tc>
          <w:tcPr>
            <w:tcW w:w="1500" w:type="dxa"/>
            <w:vAlign w:val="bottom"/>
            <w:gridSpan w:val="2"/>
          </w:tcPr>
          <w:p>
            <w:pPr>
              <w:ind w:left="1160"/>
              <w:spacing w:after="0"/>
              <w:rPr>
                <w:sz w:val="20"/>
                <w:szCs w:val="20"/>
                <w:color w:val="auto"/>
              </w:rPr>
            </w:pPr>
            <w:r>
              <w:rPr>
                <w:rFonts w:ascii="Arial" w:cs="Arial" w:eastAsia="Arial" w:hAnsi="Arial"/>
                <w:sz w:val="18"/>
                <w:szCs w:val="18"/>
                <w:color w:val="0000FF"/>
              </w:rPr>
              <w:t>F-6</w:t>
            </w:r>
          </w:p>
        </w:tc>
      </w:tr>
      <w:tr>
        <w:trPr>
          <w:trHeight w:val="270"/>
        </w:trPr>
        <w:tc>
          <w:tcPr>
            <w:tcW w:w="9580" w:type="dxa"/>
            <w:vAlign w:val="bottom"/>
          </w:tcPr>
          <w:p>
            <w:pPr>
              <w:spacing w:after="0"/>
              <w:rPr>
                <w:sz w:val="20"/>
                <w:szCs w:val="20"/>
                <w:color w:val="auto"/>
              </w:rPr>
            </w:pPr>
            <w:r>
              <w:rPr>
                <w:rFonts w:ascii="Arial" w:cs="Arial" w:eastAsia="Arial" w:hAnsi="Arial"/>
                <w:sz w:val="18"/>
                <w:szCs w:val="18"/>
                <w:color w:val="0000FF"/>
              </w:rPr>
              <w:t>Notes to Consolidated Financial Statements</w:t>
            </w:r>
          </w:p>
        </w:tc>
        <w:tc>
          <w:tcPr>
            <w:tcW w:w="1500" w:type="dxa"/>
            <w:vAlign w:val="bottom"/>
            <w:gridSpan w:val="2"/>
          </w:tcPr>
          <w:p>
            <w:pPr>
              <w:ind w:left="1160"/>
              <w:spacing w:after="0"/>
              <w:rPr>
                <w:sz w:val="20"/>
                <w:szCs w:val="20"/>
                <w:color w:val="auto"/>
              </w:rPr>
            </w:pPr>
            <w:r>
              <w:rPr>
                <w:rFonts w:ascii="Arial" w:cs="Arial" w:eastAsia="Arial" w:hAnsi="Arial"/>
                <w:sz w:val="18"/>
                <w:szCs w:val="18"/>
                <w:color w:val="0000FF"/>
              </w:rPr>
              <w:t>F-7</w:t>
            </w:r>
          </w:p>
        </w:tc>
      </w:tr>
      <w:tr>
        <w:trPr>
          <w:trHeight w:val="608"/>
        </w:trPr>
        <w:tc>
          <w:tcPr>
            <w:tcW w:w="9580" w:type="dxa"/>
            <w:vAlign w:val="bottom"/>
          </w:tcPr>
          <w:p>
            <w:pPr>
              <w:spacing w:after="0"/>
              <w:rPr>
                <w:sz w:val="20"/>
                <w:szCs w:val="20"/>
                <w:color w:val="auto"/>
              </w:rPr>
            </w:pPr>
            <w:r>
              <w:rPr>
                <w:rFonts w:ascii="Arial" w:cs="Arial" w:eastAsia="Arial" w:hAnsi="Arial"/>
                <w:sz w:val="18"/>
                <w:szCs w:val="18"/>
                <w:b w:val="1"/>
                <w:bCs w:val="1"/>
                <w:i w:val="1"/>
                <w:iCs w:val="1"/>
                <w:color w:val="auto"/>
              </w:rPr>
              <w:t>2. Financial Statement Schedules.</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00"/>
        </w:trPr>
        <w:tc>
          <w:tcPr>
            <w:tcW w:w="9580" w:type="dxa"/>
            <w:vAlign w:val="bottom"/>
          </w:tcPr>
          <w:p>
            <w:pPr>
              <w:spacing w:after="0"/>
              <w:rPr>
                <w:sz w:val="20"/>
                <w:szCs w:val="20"/>
                <w:color w:val="auto"/>
              </w:rPr>
            </w:pPr>
            <w:r>
              <w:rPr>
                <w:rFonts w:ascii="Arial" w:cs="Arial" w:eastAsia="Arial" w:hAnsi="Arial"/>
                <w:sz w:val="18"/>
                <w:szCs w:val="18"/>
                <w:color w:val="0000FF"/>
              </w:rPr>
              <w:t>Schedule II — Valuation and Qualifying Accounts</w:t>
            </w:r>
          </w:p>
        </w:tc>
        <w:tc>
          <w:tcPr>
            <w:tcW w:w="1500" w:type="dxa"/>
            <w:vAlign w:val="bottom"/>
            <w:gridSpan w:val="2"/>
          </w:tcPr>
          <w:p>
            <w:pPr>
              <w:ind w:left="1160"/>
              <w:spacing w:after="0"/>
              <w:rPr>
                <w:rFonts w:ascii="Arial" w:cs="Arial" w:eastAsia="Arial" w:hAnsi="Arial"/>
                <w:sz w:val="18"/>
                <w:szCs w:val="18"/>
                <w:color w:val="0000FF"/>
                <w:w w:val="86"/>
              </w:rPr>
            </w:pPr>
            <w:r>
              <w:rPr>
                <w:rFonts w:ascii="Arial" w:cs="Arial" w:eastAsia="Arial" w:hAnsi="Arial"/>
                <w:sz w:val="18"/>
                <w:szCs w:val="18"/>
                <w:color w:val="0000FF"/>
                <w:w w:val="86"/>
              </w:rPr>
              <w:t>F-</w:t>
            </w:r>
            <w:hyperlink w:anchor="page98">
              <w:r>
                <w:rPr>
                  <w:rFonts w:ascii="Arial" w:cs="Arial" w:eastAsia="Arial" w:hAnsi="Arial"/>
                  <w:sz w:val="18"/>
                  <w:szCs w:val="18"/>
                  <w:color w:val="0000FF"/>
                  <w:w w:val="86"/>
                </w:rPr>
                <w:t>38</w:t>
              </w:r>
            </w:hyperlink>
          </w:p>
        </w:tc>
      </w:tr>
      <w:tr>
        <w:trPr>
          <w:trHeight w:val="20"/>
        </w:trPr>
        <w:tc>
          <w:tcPr>
            <w:tcW w:w="9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other schedules not listed above have been omitted, because they are not applicable or are not required, or because the required information is included in the consolidated financial statements or notes thereto.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Exhibits required to be filed by Item 601 of Regulation S-K.</w:t>
      </w: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2.1</w:t>
            </w: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Stock Purchase Agreement, dated as of October 25, 2013, by and between Covidien Group S.A.R.L. and Integra LifeSciences Corporation</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(Incorporated by Reference to Exhibit 10.1 to the Company’s Current Report on Form 8-K filed on January 15, 2014)</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3.1(a)</w:t>
            </w: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Amended and Restated Certificate of Incorporation of the Company dated February 16, 1993 (Incorporated by reference to Exhibit 3.1(a) to</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the Company’s Annual Report on Form 10-K for the year ended December 31, 2005)</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3.1(b)</w:t>
            </w:r>
          </w:p>
        </w:tc>
        <w:tc>
          <w:tcPr>
            <w:tcW w:w="10580" w:type="dxa"/>
            <w:vAlign w:val="bottom"/>
          </w:tcPr>
          <w:p>
            <w:pPr>
              <w:ind w:left="360"/>
              <w:spacing w:after="0"/>
              <w:rPr>
                <w:sz w:val="20"/>
                <w:szCs w:val="20"/>
                <w:color w:val="auto"/>
              </w:rPr>
            </w:pPr>
            <w:r>
              <w:rPr>
                <w:rFonts w:ascii="Arial" w:cs="Arial" w:eastAsia="Arial" w:hAnsi="Arial"/>
                <w:sz w:val="18"/>
                <w:szCs w:val="18"/>
                <w:color w:val="auto"/>
                <w:w w:val="95"/>
              </w:rPr>
              <w:t>Certificate of Amendment to Amended and Restated Certificate of Incorporation of the Company dated May 22, 1998 (Incorporated by</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reference to Exhibit 3.1(b) to the Company’s Annual Report on Form 10-K for the year ended December 31, 1998)</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3.1(c)</w:t>
            </w:r>
          </w:p>
        </w:tc>
        <w:tc>
          <w:tcPr>
            <w:tcW w:w="10580" w:type="dxa"/>
            <w:vAlign w:val="bottom"/>
          </w:tcPr>
          <w:p>
            <w:pPr>
              <w:ind w:left="360"/>
              <w:spacing w:after="0"/>
              <w:rPr>
                <w:sz w:val="20"/>
                <w:szCs w:val="20"/>
                <w:color w:val="auto"/>
              </w:rPr>
            </w:pPr>
            <w:r>
              <w:rPr>
                <w:rFonts w:ascii="Arial" w:cs="Arial" w:eastAsia="Arial" w:hAnsi="Arial"/>
                <w:sz w:val="18"/>
                <w:szCs w:val="18"/>
                <w:color w:val="auto"/>
                <w:w w:val="95"/>
              </w:rPr>
              <w:t>Certificate of Amendment to Amended and Restated Certificate of Incorporation of the Company dated May 17, 1999 (Incorporated by</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reference to Exhibit 3.1(c) to the Company’s Annual Report on Form 10-K for the year ended December 31, 2004)</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3.2</w:t>
            </w: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Amended and Restated Bylaws of the Company, effective as of May 17, 2012 (Incorporated by reference to Exhibit 3.2 to the Company’s</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Current Report on Form 8-K filed on April 13, 2012)</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4.1</w:t>
            </w: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Purchase Agreement, dated June 9, 2011, by and between Integra LifeSciences Holdings Corporation and J.P. Morgan Securities LLC,</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Merrill Lynch, Pierce, Fenner &amp; Smith Incorporated, Morgan Stanley &amp; Co. LLC, Deutsche Bank Securities Inc., RBC Capital Markets, LLC</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and Wells Fargo Securities, LLC (Incorporated by reference to Exhibit 4.1 to the Company’s Current Report on Form 8-K filed on June 15,</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2011)</w:t>
            </w:r>
          </w:p>
        </w:tc>
      </w:tr>
      <w:tr>
        <w:trPr>
          <w:trHeight w:val="648"/>
        </w:trPr>
        <w:tc>
          <w:tcPr>
            <w:tcW w:w="780" w:type="dxa"/>
            <w:vAlign w:val="bottom"/>
          </w:tcPr>
          <w:p>
            <w:pPr>
              <w:spacing w:after="0"/>
              <w:rPr>
                <w:sz w:val="24"/>
                <w:szCs w:val="24"/>
                <w:color w:val="auto"/>
              </w:rPr>
            </w:pPr>
          </w:p>
        </w:tc>
        <w:tc>
          <w:tcPr>
            <w:tcW w:w="10580" w:type="dxa"/>
            <w:vAlign w:val="bottom"/>
          </w:tcPr>
          <w:p>
            <w:pPr>
              <w:ind w:left="4800"/>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1400"/>
          </w:cols>
          <w:pgMar w:left="240" w:top="1440" w:right="25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4.2</w:t>
            </w:r>
          </w:p>
        </w:tc>
        <w:tc>
          <w:tcPr>
            <w:tcW w:w="10580" w:type="dxa"/>
            <w:vAlign w:val="bottom"/>
          </w:tcPr>
          <w:p>
            <w:pPr>
              <w:ind w:left="360"/>
              <w:spacing w:after="0"/>
              <w:rPr>
                <w:sz w:val="20"/>
                <w:szCs w:val="20"/>
                <w:color w:val="auto"/>
              </w:rPr>
            </w:pPr>
            <w:r>
              <w:rPr>
                <w:rFonts w:ascii="Arial" w:cs="Arial" w:eastAsia="Arial" w:hAnsi="Arial"/>
                <w:sz w:val="18"/>
                <w:szCs w:val="18"/>
                <w:color w:val="auto"/>
                <w:w w:val="91"/>
              </w:rPr>
              <w:t>Indenture, dated June 15, 2011, by and between Integra LifeSciences Holdings Corporation and Wells Fargo Bank, National Association, as</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trustee (Incorporated by reference to Exhibit 4.2 to the Company’s Current Report on Form 8-K filed on June 15, 2011)</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4.3(a)</w:t>
            </w: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Credit Agreement, dated as of December 22, 2005, among Integra LifeSciences Holdings Corporation, the lenders party thereto, Bank of</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America, N.A., as Administrative Agent, Swing Line Lender and L/C Issuer, Citibank FSB and SunTrust Bank, as Co-Syndication Agents,</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and Royal Bank of Canada and Wachovia Bank, National Association, as Co-Documentation Agents (Incorporated by reference to Exhibit</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10.1 to the Company’s Current Report on Form 8-K filed on December 29, 2005)</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4.3(b)</w:t>
            </w:r>
          </w:p>
        </w:tc>
        <w:tc>
          <w:tcPr>
            <w:tcW w:w="10580" w:type="dxa"/>
            <w:vAlign w:val="bottom"/>
          </w:tcPr>
          <w:p>
            <w:pPr>
              <w:ind w:left="360"/>
              <w:spacing w:after="0"/>
              <w:rPr>
                <w:sz w:val="20"/>
                <w:szCs w:val="20"/>
                <w:color w:val="auto"/>
              </w:rPr>
            </w:pPr>
            <w:r>
              <w:rPr>
                <w:rFonts w:ascii="Arial" w:cs="Arial" w:eastAsia="Arial" w:hAnsi="Arial"/>
                <w:sz w:val="18"/>
                <w:szCs w:val="18"/>
                <w:color w:val="auto"/>
                <w:w w:val="95"/>
              </w:rPr>
              <w:t>First Amendment, dated as of February 15, 2006, among Integra LifeSciences Holdings Corporation, the lenders party thereto, Bank of</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America, N.A., as Administrative Agent, Swing Line Lender and L/C Issuer, Citibank FSB and SunTrust Bank, as Co-Syndication Agents,</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and Royal Bank of Canada and Wachovia Bank, National Association, as Co-Documentation Agents (Incorporated by reference to Exhibit</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4.3(b) to the Company’s Annual Report on Form 10-K for the year ended December 31, 2005)</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4.3(c)</w:t>
            </w: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Second Amendment, dated as of February 23, 2007, among Integra LifeSciences Holdings Corporation, the lenders party thereto, Bank of</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America, N.A., as Administrative Agent, Swing Line Lender and L/C Issuer, Citibank FSB and SunTrust Bank, as Co-Syndication Agents,</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and Royal Bank of Canada and Wachovia Bank, National Association, as Co-Documentation Agents (Incorporated by reference to Exhibit</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4.1 to the Company’s Current Report on Form 8-K filed on February 27, 2007)</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4.3(d)</w:t>
            </w:r>
          </w:p>
        </w:tc>
        <w:tc>
          <w:tcPr>
            <w:tcW w:w="10580" w:type="dxa"/>
            <w:vAlign w:val="bottom"/>
          </w:tcPr>
          <w:p>
            <w:pPr>
              <w:ind w:left="360"/>
              <w:spacing w:after="0"/>
              <w:rPr>
                <w:sz w:val="20"/>
                <w:szCs w:val="20"/>
                <w:color w:val="auto"/>
              </w:rPr>
            </w:pPr>
            <w:r>
              <w:rPr>
                <w:rFonts w:ascii="Arial" w:cs="Arial" w:eastAsia="Arial" w:hAnsi="Arial"/>
                <w:sz w:val="18"/>
                <w:szCs w:val="18"/>
                <w:color w:val="auto"/>
                <w:w w:val="91"/>
              </w:rPr>
              <w:t>Third Amendment, dated as of June 4, 2007, among Integra LifeSciences Holdings Corporation, the lenders party thereto, Bank of America,</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N.A., as Administrative Agent, Swing Line Lender and L/C Issuer, Citibank, N.A., successor by merger to Citibank, FSB, as Syndication</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0"/>
              </w:rPr>
              <w:t>Agent and JPMorgan Chase Bank, N.A., Deutsche Bank Trust Company Americas and Royal Bank of Canada, as Co-Documentation Agents</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(Incorporated by reference to Exhibit 4.1 to the Company’s Current Report on Form 8-K filed on June 6, 2007)</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4.3(e)</w:t>
            </w: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Fourth Amendment, dated as of September 5, 2007, among Integra LifeSciences Holdings Corporation, the lenders party thereto, Bank of</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7"/>
              </w:rPr>
              <w:t>America, N.A., as Administrative Agent, Swing Line Lender and L/C Issuer, Citibank, N.A., successor by merger to Citibank FSB, as</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8"/>
              </w:rPr>
              <w:t>Syndication Agent and JPMorgan Chase Bank, N.A., Deutsche Bank Trust Company Americas and Royal Bank of Canada, as Co-</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1"/>
              </w:rPr>
              <w:t>Documentation Agents (Incorporated by reference to Exhibit 4.1 to the Company’s Current Report on Form 8-K filed on September 6, 2007)</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4.3(f)</w:t>
            </w:r>
          </w:p>
        </w:tc>
        <w:tc>
          <w:tcPr>
            <w:tcW w:w="10580" w:type="dxa"/>
            <w:vAlign w:val="bottom"/>
          </w:tcPr>
          <w:p>
            <w:pPr>
              <w:ind w:left="360"/>
              <w:spacing w:after="0"/>
              <w:rPr>
                <w:sz w:val="20"/>
                <w:szCs w:val="20"/>
                <w:color w:val="auto"/>
              </w:rPr>
            </w:pPr>
            <w:r>
              <w:rPr>
                <w:rFonts w:ascii="Arial" w:cs="Arial" w:eastAsia="Arial" w:hAnsi="Arial"/>
                <w:sz w:val="18"/>
                <w:szCs w:val="18"/>
                <w:color w:val="auto"/>
                <w:w w:val="90"/>
              </w:rPr>
              <w:t>Amended and Restated Credit Agreement, dated as of August 10, 2010, among Integra LifeSciences Holdings Corporation, the lenders party</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thereto, Bank of America, N.A., as Administrative Agent, Swing Line Lender and L/C Issuer, JP Morgan Chase Bank, as Syndication Agent,</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and HSBC Bank USA, NA, RBC Capital Markets, Wells Fargo Bank, N.A., Fifth Third Bank, DNB NOR Bank ASA and TD Bank, N.A., as</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Co-Documentation Agents (Incorporated by reference to Exhibit 10.1 to the Company’s Current Report on Form 8-K filed on August 10,</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2010)</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4.3(g)</w:t>
            </w:r>
          </w:p>
        </w:tc>
        <w:tc>
          <w:tcPr>
            <w:tcW w:w="10580" w:type="dxa"/>
            <w:vAlign w:val="bottom"/>
          </w:tcPr>
          <w:p>
            <w:pPr>
              <w:ind w:left="360"/>
              <w:spacing w:after="0"/>
              <w:rPr>
                <w:sz w:val="20"/>
                <w:szCs w:val="20"/>
                <w:color w:val="auto"/>
              </w:rPr>
            </w:pPr>
            <w:r>
              <w:rPr>
                <w:rFonts w:ascii="Arial" w:cs="Arial" w:eastAsia="Arial" w:hAnsi="Arial"/>
                <w:sz w:val="18"/>
                <w:szCs w:val="18"/>
                <w:color w:val="auto"/>
                <w:w w:val="91"/>
              </w:rPr>
              <w:t>Second Amended and Restated Credit Agreement, dated as of June 8, 2011, among Integra LifeSciences Holdings Corporation, the lenders</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9"/>
              </w:rPr>
              <w:t>party thereto, Bank of America, N.A. as Administrative Agent, Swing Line Lender and L/C Issuer, JPMorgan Chase Bank N.A. as</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Syndication Agent, and, HSBC Bank USA, NA, Royal Bank of Canada, Wells Fargo Bank, N.A., Fifth Third Bank, DNB NOR Bank ASA,</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and TD Bank, N.A., as Co-Documentation Agents (Incorporated by reference to Exhibit 4.3 to the Company’s Quarterly Report on Form 10-</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Q filed on July 29, 2011)</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4.3(h)</w:t>
            </w:r>
          </w:p>
        </w:tc>
        <w:tc>
          <w:tcPr>
            <w:tcW w:w="10580" w:type="dxa"/>
            <w:vAlign w:val="bottom"/>
          </w:tcPr>
          <w:p>
            <w:pPr>
              <w:ind w:left="360"/>
              <w:spacing w:after="0"/>
              <w:rPr>
                <w:sz w:val="20"/>
                <w:szCs w:val="20"/>
                <w:color w:val="auto"/>
              </w:rPr>
            </w:pPr>
            <w:r>
              <w:rPr>
                <w:rFonts w:ascii="Arial" w:cs="Arial" w:eastAsia="Arial" w:hAnsi="Arial"/>
                <w:sz w:val="18"/>
                <w:szCs w:val="18"/>
                <w:color w:val="auto"/>
                <w:w w:val="91"/>
              </w:rPr>
              <w:t>First Amendment, dated as of May 11, 2012, to Second Amended and Restated Credit Agreement dated as of June 8, 2011, among Integra</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LifeSciences Holdings Corporation, the lenders party thereto, Bank of America, N.A., as Administrative Agent, Swing Line Lender and L/C</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5"/>
              </w:rPr>
              <w:t>Issuer, JPMorgan Chase Bank, N.A., as Syndication Agent, and HSBC Bank, NA, Royal Bank of Canada, Wells Fargo Bank, NA, Fifth</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8"/>
              </w:rPr>
              <w:t>Third Bank, DNB Nor Bank ASA and TD Bank, N.A., as Co-Documentation Agents (Incorporated by reference to Exhibit 4.1 to the</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Company’s Current Report on Form 8-K filed on May 14, 2012)</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4.3(i)</w:t>
            </w:r>
          </w:p>
        </w:tc>
        <w:tc>
          <w:tcPr>
            <w:tcW w:w="10580" w:type="dxa"/>
            <w:vAlign w:val="bottom"/>
          </w:tcPr>
          <w:p>
            <w:pPr>
              <w:ind w:left="360"/>
              <w:spacing w:after="0"/>
              <w:rPr>
                <w:sz w:val="20"/>
                <w:szCs w:val="20"/>
                <w:color w:val="auto"/>
              </w:rPr>
            </w:pPr>
            <w:r>
              <w:rPr>
                <w:rFonts w:ascii="Arial" w:cs="Arial" w:eastAsia="Arial" w:hAnsi="Arial"/>
                <w:sz w:val="18"/>
                <w:szCs w:val="18"/>
                <w:color w:val="auto"/>
                <w:w w:val="89"/>
              </w:rPr>
              <w:t>Second Amendment, dated as of June 21, 2013, to Second Amended and Restated Credit Agreement dated as of June 8, 2011, among Integra</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LifeSciences Holdings Corporation, the lenders party thereto, Bank of America, N.A., as Administrative Agent, Swing Line Lender and L/C</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5"/>
              </w:rPr>
              <w:t>Issuer, JPMorgan Chase Bank, N.A., as Syndication Agent, and HSBC Bank USA, National Association, Royal Bank of Canada, Wells</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Fargo Bank, National Association, Fifth Third Bank, DNB Bank ASA and TD Bank, N.A., as Co-Documentation Agents (Incorporated by</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reference to Exhibit 4.1 to the Company's Current Report on Form 8-K filed on June 24, 2013)</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4.4</w:t>
            </w: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Security Agreement, dated as of December 22, 2005, among Integra LifeSciences Holdings Corporation and the additional grantors party</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thereto in favor of Bank of America, N.A., as administrative and collateral agent (Incorporated by reference to Exhibit 4.4 to the Company’s</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Annual Report on Form 10-K for the year ended December 31, 2005)</w:t>
            </w:r>
          </w:p>
        </w:tc>
      </w:tr>
      <w:tr>
        <w:trPr>
          <w:trHeight w:val="648"/>
        </w:trPr>
        <w:tc>
          <w:tcPr>
            <w:tcW w:w="780" w:type="dxa"/>
            <w:vAlign w:val="bottom"/>
          </w:tcPr>
          <w:p>
            <w:pPr>
              <w:spacing w:after="0"/>
              <w:rPr>
                <w:sz w:val="24"/>
                <w:szCs w:val="24"/>
                <w:color w:val="auto"/>
              </w:rPr>
            </w:pPr>
          </w:p>
        </w:tc>
        <w:tc>
          <w:tcPr>
            <w:tcW w:w="10580" w:type="dxa"/>
            <w:vAlign w:val="bottom"/>
          </w:tcPr>
          <w:p>
            <w:pPr>
              <w:ind w:left="4800"/>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1360"/>
          </w:cols>
          <w:pgMar w:left="280" w:top="530" w:right="25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4.5</w:t>
            </w:r>
          </w:p>
        </w:tc>
        <w:tc>
          <w:tcPr>
            <w:tcW w:w="10520" w:type="dxa"/>
            <w:vAlign w:val="bottom"/>
          </w:tcPr>
          <w:p>
            <w:pPr>
              <w:ind w:left="300"/>
              <w:spacing w:after="0"/>
              <w:rPr>
                <w:sz w:val="20"/>
                <w:szCs w:val="20"/>
                <w:color w:val="auto"/>
              </w:rPr>
            </w:pPr>
            <w:r>
              <w:rPr>
                <w:rFonts w:ascii="Arial" w:cs="Arial" w:eastAsia="Arial" w:hAnsi="Arial"/>
                <w:sz w:val="18"/>
                <w:szCs w:val="18"/>
                <w:color w:val="auto"/>
                <w:w w:val="94"/>
              </w:rPr>
              <w:t>Pledge Agreement, dated as of December 22, 2005, among Integra LifeSciences Holdings Corporation and the additional grantors party</w:t>
            </w:r>
          </w:p>
        </w:tc>
      </w:tr>
      <w:tr>
        <w:trPr>
          <w:trHeight w:val="216"/>
        </w:trPr>
        <w:tc>
          <w:tcPr>
            <w:tcW w:w="840" w:type="dxa"/>
            <w:vAlign w:val="bottom"/>
          </w:tcPr>
          <w:p>
            <w:pPr>
              <w:spacing w:after="0"/>
              <w:rPr>
                <w:sz w:val="18"/>
                <w:szCs w:val="18"/>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w w:val="92"/>
              </w:rPr>
              <w:t>thereto in favor of Bank of America, N.A., as administrative and collateral agent (Incorporated by reference to Exhibit 4.5 to the Company’s</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Annual Report on Form 10-K for the year ended December 31, 2005)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4.6</w:t>
            </w:r>
          </w:p>
        </w:tc>
        <w:tc>
          <w:tcPr>
            <w:tcW w:w="10520" w:type="dxa"/>
            <w:vAlign w:val="bottom"/>
          </w:tcPr>
          <w:p>
            <w:pPr>
              <w:ind w:left="300"/>
              <w:spacing w:after="0"/>
              <w:rPr>
                <w:sz w:val="20"/>
                <w:szCs w:val="20"/>
                <w:color w:val="auto"/>
              </w:rPr>
            </w:pPr>
            <w:r>
              <w:rPr>
                <w:rFonts w:ascii="Arial" w:cs="Arial" w:eastAsia="Arial" w:hAnsi="Arial"/>
                <w:sz w:val="18"/>
                <w:szCs w:val="18"/>
                <w:color w:val="auto"/>
                <w:w w:val="92"/>
              </w:rPr>
              <w:t>Subsidiary Guaranty Agreement, dated as of December 22, 2005, among the guarantors party thereto and individually as a “Guarantor”), in</w:t>
            </w:r>
          </w:p>
        </w:tc>
      </w:tr>
      <w:tr>
        <w:trPr>
          <w:trHeight w:val="216"/>
        </w:trPr>
        <w:tc>
          <w:tcPr>
            <w:tcW w:w="840" w:type="dxa"/>
            <w:vAlign w:val="bottom"/>
          </w:tcPr>
          <w:p>
            <w:pPr>
              <w:spacing w:after="0"/>
              <w:rPr>
                <w:sz w:val="18"/>
                <w:szCs w:val="18"/>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w w:val="94"/>
              </w:rPr>
              <w:t>favor of Bank of America, N.A., as administrative and collateral agent (Incorporated by reference to Exhibit 4.6 to the Company’s Annual</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Report on Form 10-K for the year ended December 31, 2005)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4.7</w:t>
            </w:r>
          </w:p>
        </w:tc>
        <w:tc>
          <w:tcPr>
            <w:tcW w:w="10520" w:type="dxa"/>
            <w:vAlign w:val="bottom"/>
          </w:tcPr>
          <w:p>
            <w:pPr>
              <w:ind w:left="300"/>
              <w:spacing w:after="0"/>
              <w:rPr>
                <w:sz w:val="20"/>
                <w:szCs w:val="20"/>
                <w:color w:val="auto"/>
              </w:rPr>
            </w:pPr>
            <w:r>
              <w:rPr>
                <w:rFonts w:ascii="Arial" w:cs="Arial" w:eastAsia="Arial" w:hAnsi="Arial"/>
                <w:sz w:val="18"/>
                <w:szCs w:val="18"/>
                <w:color w:val="auto"/>
                <w:w w:val="91"/>
              </w:rPr>
              <w:t>Indenture, dated June 11, 2007, among Integra LifeSciences Holdings Corporation, Integra LifeSciences Corporation and Wells Fargo Bank,</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N.A., as trustee (Incorporated by reference to Exhibit 4.1 to the Company’s Current Report on Form 8-K filed on June 12, 2007)</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4.8</w:t>
            </w:r>
          </w:p>
        </w:tc>
        <w:tc>
          <w:tcPr>
            <w:tcW w:w="10520" w:type="dxa"/>
            <w:vAlign w:val="bottom"/>
          </w:tcPr>
          <w:p>
            <w:pPr>
              <w:ind w:left="300"/>
              <w:spacing w:after="0"/>
              <w:rPr>
                <w:sz w:val="20"/>
                <w:szCs w:val="20"/>
                <w:color w:val="auto"/>
              </w:rPr>
            </w:pPr>
            <w:r>
              <w:rPr>
                <w:rFonts w:ascii="Arial" w:cs="Arial" w:eastAsia="Arial" w:hAnsi="Arial"/>
                <w:sz w:val="18"/>
                <w:szCs w:val="18"/>
                <w:color w:val="auto"/>
                <w:w w:val="96"/>
              </w:rPr>
              <w:t>Form of 2.75% Senior Convertible Note due 2010 (included in Exhibit 4.8) (Incorporated by reference to Exhibit B to Exhibit 4.1 to the</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Company’s Current Report on Form 8-K filed on June 12, 2007)</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4.9</w:t>
            </w:r>
          </w:p>
        </w:tc>
        <w:tc>
          <w:tcPr>
            <w:tcW w:w="10520" w:type="dxa"/>
            <w:vAlign w:val="bottom"/>
          </w:tcPr>
          <w:p>
            <w:pPr>
              <w:ind w:left="300"/>
              <w:spacing w:after="0"/>
              <w:rPr>
                <w:sz w:val="20"/>
                <w:szCs w:val="20"/>
                <w:color w:val="auto"/>
              </w:rPr>
            </w:pPr>
            <w:r>
              <w:rPr>
                <w:rFonts w:ascii="Arial" w:cs="Arial" w:eastAsia="Arial" w:hAnsi="Arial"/>
                <w:sz w:val="18"/>
                <w:szCs w:val="18"/>
                <w:color w:val="auto"/>
                <w:w w:val="91"/>
              </w:rPr>
              <w:t>Indenture, dated June 11, 2007, among Integra LifeSciences Holdings Corporation, Integra LifeSciences Corporation and Wells Fargo Bank,</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N.A., as trustee (Incorporated by reference to Exhibit 4.3 to the Company’s Current Report on Form 8-K filed on June 12, 2007)</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4.10</w:t>
            </w:r>
          </w:p>
        </w:tc>
        <w:tc>
          <w:tcPr>
            <w:tcW w:w="10520" w:type="dxa"/>
            <w:vAlign w:val="bottom"/>
          </w:tcPr>
          <w:p>
            <w:pPr>
              <w:ind w:left="300"/>
              <w:spacing w:after="0"/>
              <w:rPr>
                <w:sz w:val="20"/>
                <w:szCs w:val="20"/>
                <w:color w:val="auto"/>
              </w:rPr>
            </w:pPr>
            <w:r>
              <w:rPr>
                <w:rFonts w:ascii="Arial" w:cs="Arial" w:eastAsia="Arial" w:hAnsi="Arial"/>
                <w:sz w:val="18"/>
                <w:szCs w:val="18"/>
                <w:color w:val="auto"/>
                <w:w w:val="94"/>
              </w:rPr>
              <w:t>Form of 2.375% Senior Convertible Note due 2012 (included in Exhibit 4.10) (Incorporated by reference to Exhibit B to Exhibit 4.3 to the</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Company’s Current Report on Form 8-K filed on June 12, 2007)</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4.11</w:t>
            </w:r>
          </w:p>
        </w:tc>
        <w:tc>
          <w:tcPr>
            <w:tcW w:w="10520" w:type="dxa"/>
            <w:vAlign w:val="bottom"/>
          </w:tcPr>
          <w:p>
            <w:pPr>
              <w:ind w:left="300"/>
              <w:spacing w:after="0"/>
              <w:rPr>
                <w:sz w:val="20"/>
                <w:szCs w:val="20"/>
                <w:color w:val="auto"/>
              </w:rPr>
            </w:pPr>
            <w:r>
              <w:rPr>
                <w:rFonts w:ascii="Arial" w:cs="Arial" w:eastAsia="Arial" w:hAnsi="Arial"/>
                <w:sz w:val="18"/>
                <w:szCs w:val="18"/>
                <w:color w:val="auto"/>
                <w:w w:val="93"/>
              </w:rPr>
              <w:t>Registration Rights Agreement, dated June 11, 2007, among Integra LifeSciences Holdings Corporation, Banc of America Securities LLC,</w:t>
            </w:r>
          </w:p>
        </w:tc>
      </w:tr>
      <w:tr>
        <w:trPr>
          <w:trHeight w:val="216"/>
        </w:trPr>
        <w:tc>
          <w:tcPr>
            <w:tcW w:w="840" w:type="dxa"/>
            <w:vAlign w:val="bottom"/>
          </w:tcPr>
          <w:p>
            <w:pPr>
              <w:spacing w:after="0"/>
              <w:rPr>
                <w:sz w:val="18"/>
                <w:szCs w:val="18"/>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w w:val="93"/>
              </w:rPr>
              <w:t>J.P. Morgan Securities Inc. and Morgan Stanley &amp; Co., Incorporated, as representatives of the several initial purchasers (Incorporated by</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reference to Exhibit 4.5 to the Company’s Current Report on Form 8-K filed on June 12, 2007)</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4.12</w:t>
            </w:r>
          </w:p>
        </w:tc>
        <w:tc>
          <w:tcPr>
            <w:tcW w:w="10520" w:type="dxa"/>
            <w:vAlign w:val="bottom"/>
          </w:tcPr>
          <w:p>
            <w:pPr>
              <w:ind w:left="300"/>
              <w:spacing w:after="0"/>
              <w:rPr>
                <w:sz w:val="20"/>
                <w:szCs w:val="20"/>
                <w:color w:val="auto"/>
              </w:rPr>
            </w:pPr>
            <w:r>
              <w:rPr>
                <w:rFonts w:ascii="Arial" w:cs="Arial" w:eastAsia="Arial" w:hAnsi="Arial"/>
                <w:sz w:val="18"/>
                <w:szCs w:val="18"/>
                <w:color w:val="auto"/>
                <w:w w:val="93"/>
              </w:rPr>
              <w:t>Registration Rights Agreement, dated June 11, 2007, among Integra LifeSciences Holdings Corporation, Banc of America Securities LLC,</w:t>
            </w:r>
          </w:p>
        </w:tc>
      </w:tr>
      <w:tr>
        <w:trPr>
          <w:trHeight w:val="216"/>
        </w:trPr>
        <w:tc>
          <w:tcPr>
            <w:tcW w:w="840" w:type="dxa"/>
            <w:vAlign w:val="bottom"/>
          </w:tcPr>
          <w:p>
            <w:pPr>
              <w:spacing w:after="0"/>
              <w:rPr>
                <w:sz w:val="18"/>
                <w:szCs w:val="18"/>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w w:val="93"/>
              </w:rPr>
              <w:t>J.P. Morgan Securities Inc. and Morgan Stanley &amp; Co., Incorporated, as representatives of the several initial purchasers (Incorporated by</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reference to Exhibit 4.6 to the Company’s Current Report on Form 8-K filed on June 12, 2007)</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10.1(a)</w:t>
            </w:r>
          </w:p>
        </w:tc>
        <w:tc>
          <w:tcPr>
            <w:tcW w:w="10520" w:type="dxa"/>
            <w:vAlign w:val="bottom"/>
          </w:tcPr>
          <w:p>
            <w:pPr>
              <w:ind w:left="300"/>
              <w:spacing w:after="0"/>
              <w:rPr>
                <w:sz w:val="20"/>
                <w:szCs w:val="20"/>
                <w:color w:val="auto"/>
              </w:rPr>
            </w:pPr>
            <w:r>
              <w:rPr>
                <w:rFonts w:ascii="Arial" w:cs="Arial" w:eastAsia="Arial" w:hAnsi="Arial"/>
                <w:sz w:val="18"/>
                <w:szCs w:val="18"/>
                <w:color w:val="auto"/>
                <w:w w:val="92"/>
              </w:rPr>
              <w:t>Lease between Plainsboro Associates and American Biomaterials Corporation dated as of April 16, 1985, as assigned to Colla-Tec, Inc. on</w:t>
            </w:r>
          </w:p>
        </w:tc>
      </w:tr>
      <w:tr>
        <w:trPr>
          <w:trHeight w:val="216"/>
        </w:trPr>
        <w:tc>
          <w:tcPr>
            <w:tcW w:w="840" w:type="dxa"/>
            <w:vAlign w:val="bottom"/>
          </w:tcPr>
          <w:p>
            <w:pPr>
              <w:spacing w:after="0"/>
              <w:rPr>
                <w:sz w:val="18"/>
                <w:szCs w:val="18"/>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w w:val="94"/>
              </w:rPr>
              <w:t>September 30, 1988 and as amended on November 1, 1992 as Lease Modification #1 (Incorporated by reference to Exhibit 10.30 to the</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Company’s Registration Statement on Form 10/A (File No. 0-26224) which became effective on August 8, 1995)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10.1(b)</w:t>
            </w:r>
          </w:p>
        </w:tc>
        <w:tc>
          <w:tcPr>
            <w:tcW w:w="10520" w:type="dxa"/>
            <w:vAlign w:val="bottom"/>
          </w:tcPr>
          <w:p>
            <w:pPr>
              <w:ind w:left="300"/>
              <w:spacing w:after="0"/>
              <w:rPr>
                <w:sz w:val="20"/>
                <w:szCs w:val="20"/>
                <w:color w:val="auto"/>
              </w:rPr>
            </w:pPr>
            <w:r>
              <w:rPr>
                <w:rFonts w:ascii="Arial" w:cs="Arial" w:eastAsia="Arial" w:hAnsi="Arial"/>
                <w:sz w:val="18"/>
                <w:szCs w:val="18"/>
                <w:color w:val="auto"/>
                <w:w w:val="94"/>
              </w:rPr>
              <w:t>Lease Modification #2 entered into as of October 28, 2005, by and between Plainsboro Associates and Integra LifeSciences Corporation</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(Incorporated by reference to Exhibit 10.1 to the Company’s Current Report on Form 8-K filed on November 2, 2005)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10.1(c)</w:t>
            </w:r>
          </w:p>
        </w:tc>
        <w:tc>
          <w:tcPr>
            <w:tcW w:w="10520" w:type="dxa"/>
            <w:vAlign w:val="bottom"/>
          </w:tcPr>
          <w:p>
            <w:pPr>
              <w:ind w:left="300"/>
              <w:spacing w:after="0"/>
              <w:rPr>
                <w:sz w:val="20"/>
                <w:szCs w:val="20"/>
                <w:color w:val="auto"/>
              </w:rPr>
            </w:pPr>
            <w:r>
              <w:rPr>
                <w:rFonts w:ascii="Arial" w:cs="Arial" w:eastAsia="Arial" w:hAnsi="Arial"/>
                <w:sz w:val="18"/>
                <w:szCs w:val="18"/>
                <w:color w:val="auto"/>
                <w:w w:val="96"/>
              </w:rPr>
              <w:t>Lease Modification #3 entered into as of March 2, 2011, by and between Plainsboro Associates and Integra LifeSciences Corporation</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(Incorporated by reference to Exhibit 10.1 to the Company’s Current Report on Form 8-K filed on March 3, 2011)</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10.2 (a)</w:t>
            </w:r>
          </w:p>
        </w:tc>
        <w:tc>
          <w:tcPr>
            <w:tcW w:w="10520" w:type="dxa"/>
            <w:vAlign w:val="bottom"/>
          </w:tcPr>
          <w:p>
            <w:pPr>
              <w:ind w:left="300"/>
              <w:spacing w:after="0"/>
              <w:rPr>
                <w:sz w:val="20"/>
                <w:szCs w:val="20"/>
                <w:color w:val="auto"/>
              </w:rPr>
            </w:pPr>
            <w:r>
              <w:rPr>
                <w:rFonts w:ascii="Arial" w:cs="Arial" w:eastAsia="Arial" w:hAnsi="Arial"/>
                <w:sz w:val="18"/>
                <w:szCs w:val="18"/>
                <w:color w:val="auto"/>
                <w:w w:val="90"/>
              </w:rPr>
              <w:t>Equipment Lease Agreement between Medicus Corporation and the Company, dated as of June 1, 2000 (Incorporated by reference to Exhibit</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10.1 to the Company’s Quarterly Report on Form 10-Q for the quarter ended June 30, 2000)</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10.2(b)</w:t>
            </w:r>
          </w:p>
        </w:tc>
        <w:tc>
          <w:tcPr>
            <w:tcW w:w="10520" w:type="dxa"/>
            <w:vAlign w:val="bottom"/>
          </w:tcPr>
          <w:p>
            <w:pPr>
              <w:ind w:left="300"/>
              <w:spacing w:after="0"/>
              <w:rPr>
                <w:sz w:val="20"/>
                <w:szCs w:val="20"/>
                <w:color w:val="auto"/>
              </w:rPr>
            </w:pPr>
            <w:r>
              <w:rPr>
                <w:rFonts w:ascii="Arial" w:cs="Arial" w:eastAsia="Arial" w:hAnsi="Arial"/>
                <w:sz w:val="18"/>
                <w:szCs w:val="18"/>
                <w:color w:val="auto"/>
                <w:w w:val="91"/>
              </w:rPr>
              <w:t>First Amendment to Equipment Lease Agreement between Medicus Corporation and the Company, dated as of June 29, 2010 (Incorporated</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by reference to Exhibit 10.2 to the Company’s Quarterly Report on Form 10-Q for the quarter ended June 30, 2010)</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10520" w:type="dxa"/>
            <w:vAlign w:val="bottom"/>
          </w:tcPr>
          <w:p>
            <w:pPr>
              <w:ind w:left="300"/>
              <w:spacing w:after="0"/>
              <w:rPr>
                <w:sz w:val="20"/>
                <w:szCs w:val="20"/>
                <w:color w:val="auto"/>
              </w:rPr>
            </w:pPr>
            <w:r>
              <w:rPr>
                <w:rFonts w:ascii="Arial" w:cs="Arial" w:eastAsia="Arial" w:hAnsi="Arial"/>
                <w:sz w:val="18"/>
                <w:szCs w:val="18"/>
                <w:color w:val="auto"/>
                <w:w w:val="93"/>
              </w:rPr>
              <w:t>Form of Indemnification Agreement between the Company and [ ] dated August 16, 1995, including a schedule identifying the individuals</w:t>
            </w:r>
          </w:p>
        </w:tc>
      </w:tr>
      <w:tr>
        <w:trPr>
          <w:trHeight w:val="216"/>
        </w:trPr>
        <w:tc>
          <w:tcPr>
            <w:tcW w:w="840" w:type="dxa"/>
            <w:vAlign w:val="bottom"/>
          </w:tcPr>
          <w:p>
            <w:pPr>
              <w:spacing w:after="0"/>
              <w:rPr>
                <w:sz w:val="18"/>
                <w:szCs w:val="18"/>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w w:val="91"/>
              </w:rPr>
              <w:t>that are a party to such Indemnification Agreements (Incorporated by reference to Exhibit 10.37 to the Company’s Registration Statement on</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Form S-1 (File No. 33-98698) which became effective on January 24, 1996)*</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520" w:type="dxa"/>
            <w:vAlign w:val="bottom"/>
          </w:tcPr>
          <w:p>
            <w:pPr>
              <w:ind w:left="300"/>
              <w:spacing w:after="0"/>
              <w:rPr>
                <w:sz w:val="20"/>
                <w:szCs w:val="20"/>
                <w:color w:val="auto"/>
              </w:rPr>
            </w:pPr>
            <w:r>
              <w:rPr>
                <w:rFonts w:ascii="Arial" w:cs="Arial" w:eastAsia="Arial" w:hAnsi="Arial"/>
                <w:sz w:val="18"/>
                <w:szCs w:val="18"/>
                <w:color w:val="auto"/>
                <w:w w:val="92"/>
              </w:rPr>
              <w:t>1996 Incentive Stock Option and Non-Qualified Stock Option Plan (as amended through December 27, 1997) (Incorporated by reference to</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Exhibit 10.4 to the Company’s Current Report on Form 8-K filed on February 3, 1998)*</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10520" w:type="dxa"/>
            <w:vAlign w:val="bottom"/>
          </w:tcPr>
          <w:p>
            <w:pPr>
              <w:ind w:left="300"/>
              <w:spacing w:after="0"/>
              <w:rPr>
                <w:sz w:val="20"/>
                <w:szCs w:val="20"/>
                <w:color w:val="auto"/>
              </w:rPr>
            </w:pPr>
            <w:r>
              <w:rPr>
                <w:rFonts w:ascii="Arial" w:cs="Arial" w:eastAsia="Arial" w:hAnsi="Arial"/>
                <w:sz w:val="18"/>
                <w:szCs w:val="18"/>
                <w:color w:val="auto"/>
                <w:w w:val="92"/>
              </w:rPr>
              <w:t>1998 Stock Option Plan (amended and restated as of July 26, 2005) (Incorporated by reference to Exhibit 10.3 to the Company’s Quarterly</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Report on Form 10-Q for the quarter ended September 30, 2005)*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10520" w:type="dxa"/>
            <w:vAlign w:val="bottom"/>
          </w:tcPr>
          <w:p>
            <w:pPr>
              <w:ind w:left="300"/>
              <w:spacing w:after="0"/>
              <w:rPr>
                <w:sz w:val="20"/>
                <w:szCs w:val="20"/>
                <w:color w:val="auto"/>
              </w:rPr>
            </w:pPr>
            <w:r>
              <w:rPr>
                <w:rFonts w:ascii="Arial" w:cs="Arial" w:eastAsia="Arial" w:hAnsi="Arial"/>
                <w:sz w:val="18"/>
                <w:szCs w:val="18"/>
                <w:color w:val="auto"/>
                <w:w w:val="92"/>
              </w:rPr>
              <w:t>1999 Stock Option Plan (amended and restated as of July 26, 2005) (Incorporated by reference to Exhibit 10.4 to the Company’s Quarterly</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Report on Form 10-Q for the quarter ended September 30, 2005)*</w:t>
            </w:r>
          </w:p>
        </w:tc>
      </w:tr>
      <w:tr>
        <w:trPr>
          <w:trHeight w:val="648"/>
        </w:trPr>
        <w:tc>
          <w:tcPr>
            <w:tcW w:w="840" w:type="dxa"/>
            <w:vAlign w:val="bottom"/>
          </w:tcPr>
          <w:p>
            <w:pPr>
              <w:spacing w:after="0"/>
              <w:rPr>
                <w:sz w:val="24"/>
                <w:szCs w:val="24"/>
                <w:color w:val="auto"/>
              </w:rPr>
            </w:pPr>
          </w:p>
        </w:tc>
        <w:tc>
          <w:tcPr>
            <w:tcW w:w="10520" w:type="dxa"/>
            <w:vAlign w:val="bottom"/>
          </w:tcPr>
          <w:p>
            <w:pPr>
              <w:ind w:left="4740"/>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360"/>
          </w:cols>
          <w:pgMar w:left="280" w:top="530" w:right="259" w:bottom="1440" w:gutter="0" w:footer="0" w:header="0"/>
        </w:sectPr>
      </w:pPr>
    </w:p>
    <w:bookmarkStart w:id="52" w:name="page53"/>
    <w:bookmarkEnd w:id="52"/>
    <w:p>
      <w:pPr>
        <w:jc w:val="both"/>
        <w:ind w:left="1140" w:hanging="1147"/>
        <w:spacing w:after="0" w:line="277" w:lineRule="auto"/>
        <w:tabs>
          <w:tab w:leader="none" w:pos="1120" w:val="left"/>
        </w:tabs>
        <w:rPr>
          <w:sz w:val="20"/>
          <w:szCs w:val="20"/>
          <w:color w:val="auto"/>
        </w:rPr>
      </w:pPr>
      <w:r>
        <w:rPr>
          <w:rFonts w:ascii="Arial" w:cs="Arial" w:eastAsia="Arial" w:hAnsi="Arial"/>
          <w:sz w:val="18"/>
          <w:szCs w:val="18"/>
          <w:color w:val="auto"/>
        </w:rPr>
        <w:t>10.7(a)</w:t>
      </w:r>
      <w:r>
        <w:rPr>
          <w:sz w:val="20"/>
          <w:szCs w:val="20"/>
          <w:color w:val="auto"/>
        </w:rPr>
        <w:tab/>
      </w:r>
      <w:r>
        <w:rPr>
          <w:rFonts w:ascii="Arial" w:cs="Arial" w:eastAsia="Arial" w:hAnsi="Arial"/>
          <w:sz w:val="18"/>
          <w:szCs w:val="18"/>
          <w:color w:val="auto"/>
        </w:rPr>
        <w:t>Employee Stock Purchase Plan (as amended on May 17, 2004) (Incorporated by reference to Exhibit 4.1 to the Company’s Registration Statement on Form S-8 (Registration No. 333-127488) filed on August 12, 2005)*</w:t>
      </w:r>
    </w:p>
    <w:p>
      <w:pPr>
        <w:spacing w:after="0" w:line="170" w:lineRule="exact"/>
        <w:rPr>
          <w:sz w:val="20"/>
          <w:szCs w:val="20"/>
          <w:color w:val="auto"/>
        </w:rPr>
      </w:pPr>
    </w:p>
    <w:p>
      <w:pPr>
        <w:jc w:val="both"/>
        <w:ind w:left="1140" w:right="20" w:hanging="1147"/>
        <w:spacing w:after="0" w:line="277" w:lineRule="auto"/>
        <w:tabs>
          <w:tab w:leader="none" w:pos="1120" w:val="left"/>
        </w:tabs>
        <w:rPr>
          <w:sz w:val="20"/>
          <w:szCs w:val="20"/>
          <w:color w:val="auto"/>
        </w:rPr>
      </w:pPr>
      <w:r>
        <w:rPr>
          <w:rFonts w:ascii="Arial" w:cs="Arial" w:eastAsia="Arial" w:hAnsi="Arial"/>
          <w:sz w:val="18"/>
          <w:szCs w:val="18"/>
          <w:color w:val="auto"/>
        </w:rPr>
        <w:t>10.7(b)</w:t>
      </w:r>
      <w:r>
        <w:rPr>
          <w:sz w:val="20"/>
          <w:szCs w:val="20"/>
          <w:color w:val="auto"/>
        </w:rPr>
        <w:tab/>
      </w:r>
      <w:r>
        <w:rPr>
          <w:rFonts w:ascii="Arial" w:cs="Arial" w:eastAsia="Arial" w:hAnsi="Arial"/>
          <w:sz w:val="18"/>
          <w:szCs w:val="18"/>
          <w:color w:val="auto"/>
        </w:rPr>
        <w:t>First Amendment to Employee Stock Purchase Plan, dated October 26, 2005 (Incorporated by reference to Exhibit 10.1 to the Company’s Current Report on Form 8-K filed on November 1, 2005)*</w:t>
      </w:r>
    </w:p>
    <w:p>
      <w:pPr>
        <w:spacing w:after="0" w:line="170" w:lineRule="exact"/>
        <w:rPr>
          <w:sz w:val="20"/>
          <w:szCs w:val="20"/>
          <w:color w:val="auto"/>
        </w:rPr>
      </w:pPr>
    </w:p>
    <w:p>
      <w:pPr>
        <w:jc w:val="both"/>
        <w:ind w:left="1140" w:right="20" w:hanging="1147"/>
        <w:spacing w:after="0" w:line="277" w:lineRule="auto"/>
        <w:tabs>
          <w:tab w:leader="none" w:pos="1120" w:val="left"/>
        </w:tabs>
        <w:rPr>
          <w:sz w:val="20"/>
          <w:szCs w:val="20"/>
          <w:color w:val="auto"/>
        </w:rPr>
      </w:pPr>
      <w:r>
        <w:rPr>
          <w:rFonts w:ascii="Arial" w:cs="Arial" w:eastAsia="Arial" w:hAnsi="Arial"/>
          <w:sz w:val="18"/>
          <w:szCs w:val="18"/>
          <w:color w:val="auto"/>
        </w:rPr>
        <w:t>10.8(a)</w:t>
      </w:r>
      <w:r>
        <w:rPr>
          <w:sz w:val="20"/>
          <w:szCs w:val="20"/>
          <w:color w:val="auto"/>
        </w:rPr>
        <w:tab/>
      </w:r>
      <w:r>
        <w:rPr>
          <w:rFonts w:ascii="Arial" w:cs="Arial" w:eastAsia="Arial" w:hAnsi="Arial"/>
          <w:sz w:val="18"/>
          <w:szCs w:val="18"/>
          <w:color w:val="auto"/>
        </w:rPr>
        <w:t>2000 Equity Incentive Plan (amended and restated as of July 26, 2005) (Incorporated by reference to Exhibit 10.5 to the Company’s Quarterly Report on Form 10-Q for the quarter ended September 30, 2005)*</w:t>
      </w:r>
    </w:p>
    <w:p>
      <w:pPr>
        <w:spacing w:after="0" w:line="170" w:lineRule="exact"/>
        <w:rPr>
          <w:sz w:val="20"/>
          <w:szCs w:val="20"/>
          <w:color w:val="auto"/>
        </w:rPr>
      </w:pPr>
    </w:p>
    <w:p>
      <w:pPr>
        <w:jc w:val="both"/>
        <w:ind w:left="1140" w:right="20" w:hanging="1147"/>
        <w:spacing w:after="0" w:line="277" w:lineRule="auto"/>
        <w:tabs>
          <w:tab w:leader="none" w:pos="1120" w:val="left"/>
        </w:tabs>
        <w:rPr>
          <w:sz w:val="20"/>
          <w:szCs w:val="20"/>
          <w:color w:val="auto"/>
        </w:rPr>
      </w:pPr>
      <w:r>
        <w:rPr>
          <w:rFonts w:ascii="Arial" w:cs="Arial" w:eastAsia="Arial" w:hAnsi="Arial"/>
          <w:sz w:val="18"/>
          <w:szCs w:val="18"/>
          <w:color w:val="auto"/>
        </w:rPr>
        <w:t>10.8(b)</w:t>
      </w:r>
      <w:r>
        <w:rPr>
          <w:sz w:val="20"/>
          <w:szCs w:val="20"/>
          <w:color w:val="auto"/>
        </w:rPr>
        <w:tab/>
      </w:r>
      <w:r>
        <w:rPr>
          <w:rFonts w:ascii="Arial" w:cs="Arial" w:eastAsia="Arial" w:hAnsi="Arial"/>
          <w:sz w:val="18"/>
          <w:szCs w:val="18"/>
          <w:color w:val="auto"/>
        </w:rPr>
        <w:t>Amendment to 2000 Equity Incentive Plan (effective as of May 17, 2012) (Incorporated by reference to Exhibit 10.7 to the Company’s Quarterly Report on Form 10-Q for the quarter ended June 30, 2012)*</w:t>
      </w:r>
    </w:p>
    <w:p>
      <w:pPr>
        <w:spacing w:after="0" w:line="170" w:lineRule="exact"/>
        <w:rPr>
          <w:sz w:val="20"/>
          <w:szCs w:val="20"/>
          <w:color w:val="auto"/>
        </w:rPr>
      </w:pPr>
    </w:p>
    <w:p>
      <w:pPr>
        <w:jc w:val="both"/>
        <w:ind w:left="1140" w:right="20" w:hanging="1147"/>
        <w:spacing w:after="0" w:line="277" w:lineRule="auto"/>
        <w:tabs>
          <w:tab w:leader="none" w:pos="1120" w:val="left"/>
        </w:tabs>
        <w:rPr>
          <w:sz w:val="20"/>
          <w:szCs w:val="20"/>
          <w:color w:val="auto"/>
        </w:rPr>
      </w:pPr>
      <w:r>
        <w:rPr>
          <w:rFonts w:ascii="Arial" w:cs="Arial" w:eastAsia="Arial" w:hAnsi="Arial"/>
          <w:sz w:val="18"/>
          <w:szCs w:val="18"/>
          <w:color w:val="auto"/>
        </w:rPr>
        <w:t>10.8(c)</w:t>
      </w:r>
      <w:r>
        <w:rPr>
          <w:sz w:val="20"/>
          <w:szCs w:val="20"/>
          <w:color w:val="auto"/>
        </w:rPr>
        <w:tab/>
      </w:r>
      <w:r>
        <w:rPr>
          <w:rFonts w:ascii="Arial" w:cs="Arial" w:eastAsia="Arial" w:hAnsi="Arial"/>
          <w:sz w:val="18"/>
          <w:szCs w:val="18"/>
          <w:color w:val="auto"/>
        </w:rPr>
        <w:t>Amendment to 2000 Equity Incentive Plan (effective as of January 1, 2013) (Incorporated by reference to Exhibit 10.8(c) to the Company’s Annual Report on Form 10-K for the year ended December 31, 2012)*</w:t>
      </w:r>
    </w:p>
    <w:p>
      <w:pPr>
        <w:spacing w:after="0" w:line="170" w:lineRule="exact"/>
        <w:rPr>
          <w:sz w:val="20"/>
          <w:szCs w:val="20"/>
          <w:color w:val="auto"/>
        </w:rPr>
      </w:pPr>
    </w:p>
    <w:p>
      <w:pPr>
        <w:jc w:val="both"/>
        <w:ind w:left="1140" w:right="20" w:hanging="1147"/>
        <w:spacing w:after="0" w:line="277" w:lineRule="auto"/>
        <w:tabs>
          <w:tab w:leader="none" w:pos="1120" w:val="left"/>
        </w:tabs>
        <w:rPr>
          <w:sz w:val="20"/>
          <w:szCs w:val="20"/>
          <w:color w:val="auto"/>
        </w:rPr>
      </w:pPr>
      <w:r>
        <w:rPr>
          <w:rFonts w:ascii="Arial" w:cs="Arial" w:eastAsia="Arial" w:hAnsi="Arial"/>
          <w:sz w:val="18"/>
          <w:szCs w:val="18"/>
          <w:color w:val="auto"/>
        </w:rPr>
        <w:t>10.9(a)</w:t>
      </w:r>
      <w:r>
        <w:rPr>
          <w:sz w:val="20"/>
          <w:szCs w:val="20"/>
          <w:color w:val="auto"/>
        </w:rPr>
        <w:tab/>
      </w:r>
      <w:r>
        <w:rPr>
          <w:rFonts w:ascii="Arial" w:cs="Arial" w:eastAsia="Arial" w:hAnsi="Arial"/>
          <w:sz w:val="18"/>
          <w:szCs w:val="18"/>
          <w:color w:val="auto"/>
        </w:rPr>
        <w:t>2001 Equity Incentive Plan (amended and restated as of July 26, 2005) (Incorporated by reference to Exhibit 10.6 to the Company’s Quarterly Report on Form 10-Q for the quarter ended September 30, 2005)*</w:t>
      </w:r>
    </w:p>
    <w:p>
      <w:pPr>
        <w:spacing w:after="0" w:line="170" w:lineRule="exact"/>
        <w:rPr>
          <w:sz w:val="20"/>
          <w:szCs w:val="20"/>
          <w:color w:val="auto"/>
        </w:rPr>
      </w:pPr>
    </w:p>
    <w:p>
      <w:pPr>
        <w:jc w:val="both"/>
        <w:ind w:left="1140" w:right="20" w:hanging="1147"/>
        <w:spacing w:after="0" w:line="277" w:lineRule="auto"/>
        <w:tabs>
          <w:tab w:leader="none" w:pos="1120" w:val="left"/>
        </w:tabs>
        <w:rPr>
          <w:sz w:val="20"/>
          <w:szCs w:val="20"/>
          <w:color w:val="auto"/>
        </w:rPr>
      </w:pPr>
      <w:r>
        <w:rPr>
          <w:rFonts w:ascii="Arial" w:cs="Arial" w:eastAsia="Arial" w:hAnsi="Arial"/>
          <w:sz w:val="18"/>
          <w:szCs w:val="18"/>
          <w:color w:val="auto"/>
        </w:rPr>
        <w:t>10.9(b)</w:t>
      </w:r>
      <w:r>
        <w:rPr>
          <w:sz w:val="20"/>
          <w:szCs w:val="20"/>
          <w:color w:val="auto"/>
        </w:rPr>
        <w:tab/>
      </w:r>
      <w:r>
        <w:rPr>
          <w:rFonts w:ascii="Arial" w:cs="Arial" w:eastAsia="Arial" w:hAnsi="Arial"/>
          <w:sz w:val="18"/>
          <w:szCs w:val="18"/>
          <w:color w:val="auto"/>
        </w:rPr>
        <w:t>Amendment to 2001 Equity Incentive Plan (effective as of May 17, 2012) (Incorporated by reference to Exhibit 10.8 to the Company’s Quarterly Report on Form 10-Q for the quarter ended June 30, 2012)*</w:t>
      </w:r>
    </w:p>
    <w:p>
      <w:pPr>
        <w:spacing w:after="0" w:line="170" w:lineRule="exact"/>
        <w:rPr>
          <w:sz w:val="20"/>
          <w:szCs w:val="20"/>
          <w:color w:val="auto"/>
        </w:rPr>
      </w:pPr>
    </w:p>
    <w:p>
      <w:pPr>
        <w:jc w:val="both"/>
        <w:ind w:left="1140" w:right="20" w:hanging="1147"/>
        <w:spacing w:after="0" w:line="277" w:lineRule="auto"/>
        <w:tabs>
          <w:tab w:leader="none" w:pos="1120" w:val="left"/>
        </w:tabs>
        <w:rPr>
          <w:sz w:val="20"/>
          <w:szCs w:val="20"/>
          <w:color w:val="auto"/>
        </w:rPr>
      </w:pPr>
      <w:r>
        <w:rPr>
          <w:rFonts w:ascii="Arial" w:cs="Arial" w:eastAsia="Arial" w:hAnsi="Arial"/>
          <w:sz w:val="18"/>
          <w:szCs w:val="18"/>
          <w:color w:val="auto"/>
        </w:rPr>
        <w:t>10.9(c)</w:t>
      </w:r>
      <w:r>
        <w:rPr>
          <w:sz w:val="20"/>
          <w:szCs w:val="20"/>
          <w:color w:val="auto"/>
        </w:rPr>
        <w:tab/>
      </w:r>
      <w:r>
        <w:rPr>
          <w:rFonts w:ascii="Arial" w:cs="Arial" w:eastAsia="Arial" w:hAnsi="Arial"/>
          <w:sz w:val="18"/>
          <w:szCs w:val="18"/>
          <w:color w:val="auto"/>
        </w:rPr>
        <w:t>Amendment to 2001 Equity Incentive Plan (effective as of January 1, 2013) (Incorporated by reference to Exhibit 10.9(c) to the Company’s Annual Report on Form 10-K for the year ended December 31, 2012)*</w:t>
      </w:r>
    </w:p>
    <w:p>
      <w:pPr>
        <w:spacing w:after="0" w:line="170" w:lineRule="exact"/>
        <w:rPr>
          <w:sz w:val="20"/>
          <w:szCs w:val="20"/>
          <w:color w:val="auto"/>
        </w:rPr>
      </w:pPr>
    </w:p>
    <w:p>
      <w:pPr>
        <w:jc w:val="both"/>
        <w:ind w:left="1140" w:right="20" w:hanging="1147"/>
        <w:spacing w:after="0" w:line="277" w:lineRule="auto"/>
        <w:tabs>
          <w:tab w:leader="none" w:pos="1120" w:val="left"/>
        </w:tabs>
        <w:rPr>
          <w:sz w:val="20"/>
          <w:szCs w:val="20"/>
          <w:color w:val="auto"/>
        </w:rPr>
      </w:pPr>
      <w:r>
        <w:rPr>
          <w:rFonts w:ascii="Arial" w:cs="Arial" w:eastAsia="Arial" w:hAnsi="Arial"/>
          <w:sz w:val="18"/>
          <w:szCs w:val="18"/>
          <w:color w:val="auto"/>
        </w:rPr>
        <w:t>10.10(a)</w:t>
      </w:r>
      <w:r>
        <w:rPr>
          <w:sz w:val="20"/>
          <w:szCs w:val="20"/>
          <w:color w:val="auto"/>
        </w:rPr>
        <w:tab/>
      </w:r>
      <w:r>
        <w:rPr>
          <w:rFonts w:ascii="Arial" w:cs="Arial" w:eastAsia="Arial" w:hAnsi="Arial"/>
          <w:sz w:val="18"/>
          <w:szCs w:val="18"/>
          <w:color w:val="auto"/>
        </w:rPr>
        <w:t>Second Amended and Restated 2003 Equity Incentive Plan effective May 19, 2010 (Incorporated by reference to Exhibit 10 to the Company’s Current Report on Form 8-K filed May 21, 2010)*</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10.10(b)</w:t>
      </w:r>
      <w:r>
        <w:rPr>
          <w:sz w:val="20"/>
          <w:szCs w:val="20"/>
          <w:color w:val="auto"/>
        </w:rPr>
        <w:tab/>
      </w:r>
      <w:r>
        <w:rPr>
          <w:rFonts w:ascii="Arial" w:cs="Arial" w:eastAsia="Arial" w:hAnsi="Arial"/>
          <w:sz w:val="16"/>
          <w:szCs w:val="16"/>
          <w:color w:val="auto"/>
        </w:rPr>
        <w:t>Amendment to the Second Amended and Restated 2003 Equity Incentive Plan effective May 17, 2012 (Incorporated by reference to Exhibit</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10.9 to the Company’s Quarterly Report on Form 10-Q for the quarter ended June 30,</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2012)*</w:t>
      </w:r>
    </w:p>
    <w:p>
      <w:pPr>
        <w:spacing w:after="0" w:line="211" w:lineRule="exact"/>
        <w:rPr>
          <w:sz w:val="20"/>
          <w:szCs w:val="20"/>
          <w:color w:val="auto"/>
        </w:rPr>
      </w:pPr>
    </w:p>
    <w:p>
      <w:pPr>
        <w:jc w:val="both"/>
        <w:ind w:left="1140" w:right="20" w:hanging="1147"/>
        <w:spacing w:after="0" w:line="277" w:lineRule="auto"/>
        <w:tabs>
          <w:tab w:leader="none" w:pos="1120" w:val="left"/>
        </w:tabs>
        <w:rPr>
          <w:sz w:val="20"/>
          <w:szCs w:val="20"/>
          <w:color w:val="auto"/>
        </w:rPr>
      </w:pPr>
      <w:r>
        <w:rPr>
          <w:rFonts w:ascii="Arial" w:cs="Arial" w:eastAsia="Arial" w:hAnsi="Arial"/>
          <w:sz w:val="18"/>
          <w:szCs w:val="18"/>
          <w:color w:val="auto"/>
        </w:rPr>
        <w:t>10.10(c)</w:t>
      </w:r>
      <w:r>
        <w:rPr>
          <w:sz w:val="20"/>
          <w:szCs w:val="20"/>
          <w:color w:val="auto"/>
        </w:rPr>
        <w:tab/>
      </w:r>
      <w:r>
        <w:rPr>
          <w:rFonts w:ascii="Arial" w:cs="Arial" w:eastAsia="Arial" w:hAnsi="Arial"/>
          <w:sz w:val="18"/>
          <w:szCs w:val="18"/>
          <w:color w:val="auto"/>
        </w:rPr>
        <w:t>Amendment to the Second Amended and Restated 2003 Equity Incentive Plan effective January 1, 2013 (Incorporated by reference to Exhibit 10.4 to the Company’s Quarterly Report on Form 10-Q for the quarter ended March 31, 2013)*</w:t>
      </w:r>
    </w:p>
    <w:p>
      <w:pPr>
        <w:spacing w:after="0" w:line="170" w:lineRule="exact"/>
        <w:rPr>
          <w:sz w:val="20"/>
          <w:szCs w:val="20"/>
          <w:color w:val="auto"/>
        </w:rPr>
      </w:pPr>
    </w:p>
    <w:p>
      <w:pPr>
        <w:jc w:val="both"/>
        <w:ind w:left="1140" w:right="20" w:hanging="1147"/>
        <w:spacing w:after="0" w:line="308" w:lineRule="auto"/>
        <w:tabs>
          <w:tab w:leader="none" w:pos="1120" w:val="left"/>
        </w:tabs>
        <w:rPr>
          <w:sz w:val="20"/>
          <w:szCs w:val="20"/>
          <w:color w:val="auto"/>
        </w:rPr>
      </w:pPr>
      <w:r>
        <w:rPr>
          <w:rFonts w:ascii="Arial" w:cs="Arial" w:eastAsia="Arial" w:hAnsi="Arial"/>
          <w:sz w:val="18"/>
          <w:szCs w:val="18"/>
          <w:color w:val="auto"/>
        </w:rPr>
        <w:t>10.11(a)</w:t>
      </w:r>
      <w:r>
        <w:rPr>
          <w:sz w:val="20"/>
          <w:szCs w:val="20"/>
          <w:color w:val="auto"/>
        </w:rPr>
        <w:tab/>
      </w:r>
      <w:r>
        <w:rPr>
          <w:rFonts w:ascii="Arial" w:cs="Arial" w:eastAsia="Arial" w:hAnsi="Arial"/>
          <w:sz w:val="17"/>
          <w:szCs w:val="17"/>
          <w:color w:val="auto"/>
        </w:rPr>
        <w:t>Second Amended and Restated Employment Agreement dated July 27, 2004 between the Company and Stuart M. Essig (Incorporated by reference to Exhibit 10.1 to the Company’s Quarterly Report on Form 10-Q for the quarter ended September 30, 2004)*</w:t>
      </w:r>
    </w:p>
    <w:p>
      <w:pPr>
        <w:spacing w:after="0" w:line="147" w:lineRule="exact"/>
        <w:rPr>
          <w:sz w:val="20"/>
          <w:szCs w:val="20"/>
          <w:color w:val="auto"/>
        </w:rPr>
      </w:pPr>
    </w:p>
    <w:p>
      <w:pPr>
        <w:jc w:val="both"/>
        <w:ind w:left="1140" w:right="20" w:hanging="1147"/>
        <w:spacing w:after="0" w:line="342" w:lineRule="auto"/>
        <w:tabs>
          <w:tab w:leader="none" w:pos="1120" w:val="left"/>
        </w:tabs>
        <w:rPr>
          <w:sz w:val="20"/>
          <w:szCs w:val="20"/>
          <w:color w:val="auto"/>
        </w:rPr>
      </w:pPr>
      <w:r>
        <w:rPr>
          <w:rFonts w:ascii="Arial" w:cs="Arial" w:eastAsia="Arial" w:hAnsi="Arial"/>
          <w:sz w:val="18"/>
          <w:szCs w:val="18"/>
          <w:color w:val="auto"/>
        </w:rPr>
        <w:t>10.11(b)</w:t>
      </w:r>
      <w:r>
        <w:rPr>
          <w:sz w:val="20"/>
          <w:szCs w:val="20"/>
          <w:color w:val="auto"/>
        </w:rPr>
        <w:tab/>
      </w:r>
      <w:r>
        <w:rPr>
          <w:rFonts w:ascii="Arial" w:cs="Arial" w:eastAsia="Arial" w:hAnsi="Arial"/>
          <w:sz w:val="16"/>
          <w:szCs w:val="16"/>
          <w:color w:val="auto"/>
        </w:rPr>
        <w:t>Amendment 2006-1, dated as of December 19, 2006, to the Second Amended and Restated Employment Agreement, between the Company and Stuart M. Essig (Incorporated by reference to Exhibit 10.1 to the Company’s Current Report on Form 8-K filed on December 22, 2006)*</w:t>
      </w:r>
    </w:p>
    <w:p>
      <w:pPr>
        <w:spacing w:after="0" w:line="124" w:lineRule="exact"/>
        <w:rPr>
          <w:sz w:val="20"/>
          <w:szCs w:val="20"/>
          <w:color w:val="auto"/>
        </w:rPr>
      </w:pPr>
    </w:p>
    <w:p>
      <w:pPr>
        <w:jc w:val="both"/>
        <w:ind w:left="1140" w:right="20" w:hanging="1147"/>
        <w:spacing w:after="0" w:line="264" w:lineRule="auto"/>
        <w:tabs>
          <w:tab w:leader="none" w:pos="1120" w:val="left"/>
        </w:tabs>
        <w:rPr>
          <w:sz w:val="20"/>
          <w:szCs w:val="20"/>
          <w:color w:val="auto"/>
        </w:rPr>
      </w:pPr>
      <w:r>
        <w:rPr>
          <w:rFonts w:ascii="Arial" w:cs="Arial" w:eastAsia="Arial" w:hAnsi="Arial"/>
          <w:sz w:val="18"/>
          <w:szCs w:val="18"/>
          <w:color w:val="auto"/>
        </w:rPr>
        <w:t>10.11(c)</w:t>
      </w:r>
      <w:r>
        <w:rPr>
          <w:sz w:val="20"/>
          <w:szCs w:val="20"/>
          <w:color w:val="auto"/>
        </w:rPr>
        <w:tab/>
      </w:r>
      <w:r>
        <w:rPr>
          <w:rFonts w:ascii="Arial" w:cs="Arial" w:eastAsia="Arial" w:hAnsi="Arial"/>
          <w:sz w:val="18"/>
          <w:szCs w:val="18"/>
          <w:color w:val="auto"/>
        </w:rPr>
        <w:t>Amendment 2008-1, dated as of March 6, 2008, to the Second Amended and Restated Employment Agreement, between the Company and Stuart M. Essig (Incorporated by reference to Exhibit 10.12(c) to the Company’s Annual Report on Form 10-K for the year ended December 31, 2007)*</w:t>
      </w:r>
    </w:p>
    <w:p>
      <w:pPr>
        <w:spacing w:after="0" w:line="181" w:lineRule="exact"/>
        <w:rPr>
          <w:sz w:val="20"/>
          <w:szCs w:val="20"/>
          <w:color w:val="auto"/>
        </w:rPr>
      </w:pPr>
    </w:p>
    <w:p>
      <w:pPr>
        <w:jc w:val="both"/>
        <w:ind w:left="1140" w:right="20" w:hanging="1147"/>
        <w:spacing w:after="0" w:line="264" w:lineRule="auto"/>
        <w:tabs>
          <w:tab w:leader="none" w:pos="1120" w:val="left"/>
        </w:tabs>
        <w:rPr>
          <w:sz w:val="20"/>
          <w:szCs w:val="20"/>
          <w:color w:val="auto"/>
        </w:rPr>
      </w:pPr>
      <w:r>
        <w:rPr>
          <w:rFonts w:ascii="Arial" w:cs="Arial" w:eastAsia="Arial" w:hAnsi="Arial"/>
          <w:sz w:val="18"/>
          <w:szCs w:val="18"/>
          <w:color w:val="auto"/>
        </w:rPr>
        <w:t>10.11(d)</w:t>
      </w:r>
      <w:r>
        <w:rPr>
          <w:sz w:val="20"/>
          <w:szCs w:val="20"/>
          <w:color w:val="auto"/>
        </w:rPr>
        <w:tab/>
      </w:r>
      <w:r>
        <w:rPr>
          <w:rFonts w:ascii="Arial" w:cs="Arial" w:eastAsia="Arial" w:hAnsi="Arial"/>
          <w:sz w:val="18"/>
          <w:szCs w:val="18"/>
          <w:color w:val="auto"/>
        </w:rPr>
        <w:t>Amendment 2008-2, dated as of August 6, 2008, to the Second Amended and Restated Employment Agreement between Stuart M. Essig and the Company (Incorporated by reference to Exhibit 10.7 to the Company’s Quarterly Report on Form 10-Q for the quarter ended June 30, 2008)*</w:t>
      </w:r>
    </w:p>
    <w:p>
      <w:pPr>
        <w:spacing w:after="0" w:line="181" w:lineRule="exact"/>
        <w:rPr>
          <w:sz w:val="20"/>
          <w:szCs w:val="20"/>
          <w:color w:val="auto"/>
        </w:rPr>
      </w:pPr>
    </w:p>
    <w:p>
      <w:pPr>
        <w:jc w:val="both"/>
        <w:ind w:left="1140" w:hanging="1147"/>
        <w:spacing w:after="0" w:line="342" w:lineRule="auto"/>
        <w:tabs>
          <w:tab w:leader="none" w:pos="1120" w:val="left"/>
        </w:tabs>
        <w:rPr>
          <w:sz w:val="20"/>
          <w:szCs w:val="20"/>
          <w:color w:val="auto"/>
        </w:rPr>
      </w:pPr>
      <w:r>
        <w:rPr>
          <w:rFonts w:ascii="Arial" w:cs="Arial" w:eastAsia="Arial" w:hAnsi="Arial"/>
          <w:sz w:val="18"/>
          <w:szCs w:val="18"/>
          <w:color w:val="auto"/>
        </w:rPr>
        <w:t>10.11(e)</w:t>
      </w:r>
      <w:r>
        <w:rPr>
          <w:sz w:val="20"/>
          <w:szCs w:val="20"/>
          <w:color w:val="auto"/>
        </w:rPr>
        <w:tab/>
      </w:r>
      <w:r>
        <w:rPr>
          <w:rFonts w:ascii="Arial" w:cs="Arial" w:eastAsia="Arial" w:hAnsi="Arial"/>
          <w:sz w:val="16"/>
          <w:szCs w:val="16"/>
          <w:color w:val="auto"/>
        </w:rPr>
        <w:t>Amendment 2009-1, dated as of April 13, 2009, to the Second Amended and Restated Employment Agreement between Stuart M. Essig and the Company (Incorporated by reference to Exhibit 10.2 to the Company’s Current Report on Form 8-K filed on April 13, 2009)*</w:t>
      </w:r>
    </w:p>
    <w:p>
      <w:pPr>
        <w:spacing w:after="0" w:line="124" w:lineRule="exact"/>
        <w:rPr>
          <w:sz w:val="20"/>
          <w:szCs w:val="20"/>
          <w:color w:val="auto"/>
        </w:rPr>
      </w:pPr>
    </w:p>
    <w:p>
      <w:pPr>
        <w:jc w:val="both"/>
        <w:ind w:left="1140" w:right="20" w:hanging="1147"/>
        <w:spacing w:after="0" w:line="277" w:lineRule="auto"/>
        <w:tabs>
          <w:tab w:leader="none" w:pos="1120" w:val="left"/>
        </w:tabs>
        <w:rPr>
          <w:sz w:val="20"/>
          <w:szCs w:val="20"/>
          <w:color w:val="auto"/>
        </w:rPr>
      </w:pPr>
      <w:r>
        <w:rPr>
          <w:rFonts w:ascii="Arial" w:cs="Arial" w:eastAsia="Arial" w:hAnsi="Arial"/>
          <w:sz w:val="18"/>
          <w:szCs w:val="18"/>
          <w:color w:val="auto"/>
        </w:rPr>
        <w:t>10.11(f)</w:t>
      </w:r>
      <w:r>
        <w:rPr>
          <w:sz w:val="20"/>
          <w:szCs w:val="20"/>
          <w:color w:val="auto"/>
        </w:rPr>
        <w:tab/>
      </w:r>
      <w:r>
        <w:rPr>
          <w:rFonts w:ascii="Arial" w:cs="Arial" w:eastAsia="Arial" w:hAnsi="Arial"/>
          <w:sz w:val="18"/>
          <w:szCs w:val="18"/>
          <w:color w:val="auto"/>
        </w:rPr>
        <w:t>Letter Agreement dated May 17, 2011 between the Company and Stuart M. Essig (Incorporated by reference to Exhibit 10.1 to the Company’s Current Report on Form 8-K filed May 23, 2011)*</w:t>
      </w:r>
    </w:p>
    <w:p>
      <w:pPr>
        <w:spacing w:after="0" w:line="170" w:lineRule="exact"/>
        <w:rPr>
          <w:sz w:val="20"/>
          <w:szCs w:val="20"/>
          <w:color w:val="auto"/>
        </w:rPr>
      </w:pPr>
    </w:p>
    <w:p>
      <w:pPr>
        <w:jc w:val="both"/>
        <w:ind w:left="1140" w:hanging="1147"/>
        <w:spacing w:after="0" w:line="277" w:lineRule="auto"/>
        <w:tabs>
          <w:tab w:leader="none" w:pos="1120" w:val="left"/>
        </w:tabs>
        <w:rPr>
          <w:sz w:val="20"/>
          <w:szCs w:val="20"/>
          <w:color w:val="auto"/>
        </w:rPr>
      </w:pPr>
      <w:r>
        <w:rPr>
          <w:rFonts w:ascii="Arial" w:cs="Arial" w:eastAsia="Arial" w:hAnsi="Arial"/>
          <w:sz w:val="18"/>
          <w:szCs w:val="18"/>
          <w:color w:val="auto"/>
        </w:rPr>
        <w:t>10.11(g)</w:t>
      </w:r>
      <w:r>
        <w:rPr>
          <w:sz w:val="20"/>
          <w:szCs w:val="20"/>
          <w:color w:val="auto"/>
        </w:rPr>
        <w:tab/>
      </w:r>
      <w:r>
        <w:rPr>
          <w:rFonts w:ascii="Arial" w:cs="Arial" w:eastAsia="Arial" w:hAnsi="Arial"/>
          <w:sz w:val="18"/>
          <w:szCs w:val="18"/>
          <w:color w:val="auto"/>
        </w:rPr>
        <w:t>Letter dated December 20, 2011 from Stuart M. Essig to the Company (Incorporated by reference to Exhibit 10.3 to the Company’s Current Report on Form 8-K filed December 23, 2011)*</w:t>
      </w:r>
    </w:p>
    <w:p>
      <w:pPr>
        <w:spacing w:after="0" w:line="170" w:lineRule="exact"/>
        <w:rPr>
          <w:sz w:val="20"/>
          <w:szCs w:val="20"/>
          <w:color w:val="auto"/>
        </w:rPr>
      </w:pPr>
    </w:p>
    <w:p>
      <w:pPr>
        <w:jc w:val="both"/>
        <w:ind w:left="1140" w:right="20" w:hanging="1147"/>
        <w:spacing w:after="0" w:line="277" w:lineRule="auto"/>
        <w:tabs>
          <w:tab w:leader="none" w:pos="1120" w:val="left"/>
        </w:tabs>
        <w:rPr>
          <w:sz w:val="20"/>
          <w:szCs w:val="20"/>
          <w:color w:val="auto"/>
        </w:rPr>
      </w:pPr>
      <w:r>
        <w:rPr>
          <w:rFonts w:ascii="Arial" w:cs="Arial" w:eastAsia="Arial" w:hAnsi="Arial"/>
          <w:sz w:val="18"/>
          <w:szCs w:val="18"/>
          <w:color w:val="auto"/>
        </w:rPr>
        <w:t>10.11(h)</w:t>
      </w:r>
      <w:r>
        <w:rPr>
          <w:sz w:val="20"/>
          <w:szCs w:val="20"/>
          <w:color w:val="auto"/>
        </w:rPr>
        <w:tab/>
      </w:r>
      <w:r>
        <w:rPr>
          <w:rFonts w:ascii="Arial" w:cs="Arial" w:eastAsia="Arial" w:hAnsi="Arial"/>
          <w:sz w:val="18"/>
          <w:szCs w:val="18"/>
          <w:color w:val="auto"/>
        </w:rPr>
        <w:t>Letter Agreement dated June 7, 2012 between Stuart M. Essig and the Company (Incorporated by reference to Exhibit 10.1 to the Company’s Current Report on Form 8-K filed on June 7, 2012)*</w:t>
      </w:r>
    </w:p>
    <w:p>
      <w:pPr>
        <w:spacing w:after="0" w:line="170" w:lineRule="exact"/>
        <w:rPr>
          <w:sz w:val="20"/>
          <w:szCs w:val="20"/>
          <w:color w:val="auto"/>
        </w:rPr>
      </w:pPr>
    </w:p>
    <w:p>
      <w:pPr>
        <w:jc w:val="both"/>
        <w:ind w:left="1140" w:hanging="1147"/>
        <w:spacing w:after="0" w:line="277" w:lineRule="auto"/>
        <w:tabs>
          <w:tab w:leader="none" w:pos="11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Indemnity letter agreement dated December 27, 1997 from the Company to Stuart M. Essig (Incorporated by reference to Exhibit 10.5 to the Company’s Current Report on Form 8-K filed on February 3, 1998)*</w:t>
      </w:r>
    </w:p>
    <w:p>
      <w:pPr>
        <w:spacing w:after="0" w:line="170" w:lineRule="exact"/>
        <w:rPr>
          <w:sz w:val="20"/>
          <w:szCs w:val="20"/>
          <w:color w:val="auto"/>
        </w:rPr>
      </w:pPr>
    </w:p>
    <w:p>
      <w:pPr>
        <w:jc w:val="both"/>
        <w:ind w:left="1140" w:right="20" w:hanging="1147"/>
        <w:spacing w:after="0" w:line="277" w:lineRule="auto"/>
        <w:tabs>
          <w:tab w:leader="none" w:pos="1120" w:val="left"/>
        </w:tabs>
        <w:rPr>
          <w:sz w:val="20"/>
          <w:szCs w:val="20"/>
          <w:color w:val="auto"/>
        </w:rPr>
      </w:pPr>
      <w:r>
        <w:rPr>
          <w:rFonts w:ascii="Arial" w:cs="Arial" w:eastAsia="Arial" w:hAnsi="Arial"/>
          <w:sz w:val="18"/>
          <w:szCs w:val="18"/>
          <w:color w:val="auto"/>
        </w:rPr>
        <w:t>10.13(a)</w:t>
      </w:r>
      <w:r>
        <w:rPr>
          <w:sz w:val="20"/>
          <w:szCs w:val="20"/>
          <w:color w:val="auto"/>
        </w:rPr>
        <w:tab/>
      </w:r>
      <w:r>
        <w:rPr>
          <w:rFonts w:ascii="Arial" w:cs="Arial" w:eastAsia="Arial" w:hAnsi="Arial"/>
          <w:sz w:val="18"/>
          <w:szCs w:val="18"/>
          <w:color w:val="auto"/>
        </w:rPr>
        <w:t>Registration Rights Provisions for Stuart M. Essig (Incorporated by reference to Exhibit B of Exhibit 10.1 to the Company’s Current Report on Form 8-K filed on February 3, 1998)*</w:t>
      </w:r>
    </w:p>
    <w:p>
      <w:pPr>
        <w:sectPr>
          <w:pgSz w:w="11900" w:h="16838" w:orient="portrait"/>
          <w:cols w:equalWidth="0" w:num="1">
            <w:col w:w="11360"/>
          </w:cols>
          <w:pgMar w:left="280" w:top="530" w:right="259" w:bottom="1081" w:gutter="0" w:footer="0" w:header="0"/>
        </w:sect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360"/>
          </w:cols>
          <w:pgMar w:left="280" w:top="530" w:right="259" w:bottom="1081"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10.13(b)</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Registration Rights Provisions for Stuart M. Essig (Incorporated by reference to Exhibit 10.2 to the Company’s Current Report on Form 8-K</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filed on January 8, 2001)*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10.13(c)</w:t>
            </w:r>
          </w:p>
        </w:tc>
        <w:tc>
          <w:tcPr>
            <w:tcW w:w="10480" w:type="dxa"/>
            <w:vAlign w:val="bottom"/>
          </w:tcPr>
          <w:p>
            <w:pPr>
              <w:ind w:left="260"/>
              <w:spacing w:after="0"/>
              <w:rPr>
                <w:sz w:val="20"/>
                <w:szCs w:val="20"/>
                <w:color w:val="auto"/>
              </w:rPr>
            </w:pPr>
            <w:r>
              <w:rPr>
                <w:rFonts w:ascii="Arial" w:cs="Arial" w:eastAsia="Arial" w:hAnsi="Arial"/>
                <w:sz w:val="18"/>
                <w:szCs w:val="18"/>
                <w:color w:val="auto"/>
                <w:w w:val="97"/>
              </w:rPr>
              <w:t>Registration Rights Provisions for Stuart M. Essig (Incorporated by reference to Exhibit B of Exhibit 10.1 to the Company’s Quarterly</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Report on Form 10-Q for the quarter ended September 30,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10.14(a)</w:t>
            </w:r>
          </w:p>
        </w:tc>
        <w:tc>
          <w:tcPr>
            <w:tcW w:w="10480" w:type="dxa"/>
            <w:vAlign w:val="bottom"/>
          </w:tcPr>
          <w:p>
            <w:pPr>
              <w:ind w:left="260"/>
              <w:spacing w:after="0"/>
              <w:rPr>
                <w:sz w:val="20"/>
                <w:szCs w:val="20"/>
                <w:color w:val="auto"/>
              </w:rPr>
            </w:pPr>
            <w:r>
              <w:rPr>
                <w:rFonts w:ascii="Arial" w:cs="Arial" w:eastAsia="Arial" w:hAnsi="Arial"/>
                <w:sz w:val="18"/>
                <w:szCs w:val="18"/>
                <w:color w:val="auto"/>
                <w:w w:val="97"/>
              </w:rPr>
              <w:t>Amended and Restated 2005 Employment Agreement between John B. Henneman, III and the Company dated December 19, 2005</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7"/>
              </w:rPr>
              <w:t>(Incorporated by reference to Exhibit 10.16 to the Company’s Annual Report on Form 10-K for the year ended December 31, 2005)*</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10.14(b)</w:t>
            </w:r>
          </w:p>
        </w:tc>
        <w:tc>
          <w:tcPr>
            <w:tcW w:w="10480" w:type="dxa"/>
            <w:vAlign w:val="bottom"/>
          </w:tcPr>
          <w:p>
            <w:pPr>
              <w:ind w:left="260"/>
              <w:spacing w:after="0"/>
              <w:rPr>
                <w:sz w:val="20"/>
                <w:szCs w:val="20"/>
                <w:color w:val="auto"/>
              </w:rPr>
            </w:pPr>
            <w:r>
              <w:rPr>
                <w:rFonts w:ascii="Arial" w:cs="Arial" w:eastAsia="Arial" w:hAnsi="Arial"/>
                <w:sz w:val="18"/>
                <w:szCs w:val="18"/>
                <w:color w:val="auto"/>
                <w:w w:val="99"/>
              </w:rPr>
              <w:t>Amendment 2008-1, dated as of January 2, 2008, to the Amended and Restated 2005 Employment Agreement between John B.</w:t>
            </w:r>
          </w:p>
        </w:tc>
      </w:tr>
      <w:tr>
        <w:trPr>
          <w:trHeight w:val="216"/>
        </w:trPr>
        <w:tc>
          <w:tcPr>
            <w:tcW w:w="88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Henneman, III and the Company (Incorporated by reference to Exhibit 10.15(b) to the Company’s Annual Report on Form 10-K for the year</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ended December 31, 2007)*</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10.14(c)</w:t>
            </w:r>
          </w:p>
        </w:tc>
        <w:tc>
          <w:tcPr>
            <w:tcW w:w="10480" w:type="dxa"/>
            <w:vAlign w:val="bottom"/>
          </w:tcPr>
          <w:p>
            <w:pPr>
              <w:ind w:left="260"/>
              <w:spacing w:after="0"/>
              <w:rPr>
                <w:sz w:val="20"/>
                <w:szCs w:val="20"/>
                <w:color w:val="auto"/>
              </w:rPr>
            </w:pPr>
            <w:r>
              <w:rPr>
                <w:rFonts w:ascii="Arial" w:cs="Arial" w:eastAsia="Arial" w:hAnsi="Arial"/>
                <w:sz w:val="18"/>
                <w:szCs w:val="18"/>
                <w:color w:val="auto"/>
                <w:w w:val="96"/>
              </w:rPr>
              <w:t>Amendment 2008-2, dated as of December 18, 2008, to the Amended and Restated 2005 Employment Agreement between John B.</w:t>
            </w:r>
          </w:p>
        </w:tc>
      </w:tr>
      <w:tr>
        <w:trPr>
          <w:trHeight w:val="216"/>
        </w:trPr>
        <w:tc>
          <w:tcPr>
            <w:tcW w:w="88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8"/>
              </w:rPr>
              <w:t>Henneman, III and the Company (Incorporated by reference to Exhibit 10.2 to the Company’s Current Report on Form 8-K filed on</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December 24,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10.14(d)</w:t>
            </w:r>
          </w:p>
        </w:tc>
        <w:tc>
          <w:tcPr>
            <w:tcW w:w="10480" w:type="dxa"/>
            <w:vAlign w:val="bottom"/>
          </w:tcPr>
          <w:p>
            <w:pPr>
              <w:ind w:left="260"/>
              <w:spacing w:after="0"/>
              <w:rPr>
                <w:sz w:val="20"/>
                <w:szCs w:val="20"/>
                <w:color w:val="auto"/>
              </w:rPr>
            </w:pPr>
            <w:r>
              <w:rPr>
                <w:rFonts w:ascii="Arial" w:cs="Arial" w:eastAsia="Arial" w:hAnsi="Arial"/>
                <w:sz w:val="18"/>
                <w:szCs w:val="18"/>
                <w:color w:val="auto"/>
                <w:w w:val="90"/>
              </w:rPr>
              <w:t>Amendment 2009-1, dated as of April 13, 2009, to the Amended and Restated 2005 Employment Agreement between John B. Henneman, III</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7"/>
              </w:rPr>
              <w:t>and the Company (Incorporated by reference to Exhibit 10.5 to the Company’s Current Report on Form 8-K filed on April 13, 2009)*</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10.14(e)</w:t>
            </w:r>
          </w:p>
        </w:tc>
        <w:tc>
          <w:tcPr>
            <w:tcW w:w="10480" w:type="dxa"/>
            <w:vAlign w:val="bottom"/>
          </w:tcPr>
          <w:p>
            <w:pPr>
              <w:ind w:left="260"/>
              <w:spacing w:after="0"/>
              <w:rPr>
                <w:sz w:val="20"/>
                <w:szCs w:val="20"/>
                <w:color w:val="auto"/>
              </w:rPr>
            </w:pPr>
            <w:r>
              <w:rPr>
                <w:rFonts w:ascii="Arial" w:cs="Arial" w:eastAsia="Arial" w:hAnsi="Arial"/>
                <w:sz w:val="18"/>
                <w:szCs w:val="18"/>
                <w:color w:val="auto"/>
                <w:w w:val="98"/>
              </w:rPr>
              <w:t>Amendment 2010-1, dated as of October 12, 2010, to the Amended and Restated 2005 Employment Agreement between John B.</w:t>
            </w:r>
          </w:p>
        </w:tc>
      </w:tr>
      <w:tr>
        <w:trPr>
          <w:trHeight w:val="216"/>
        </w:trPr>
        <w:tc>
          <w:tcPr>
            <w:tcW w:w="88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Henneman, III and the Company (Incorporated by reference to Exhibit 10.3 to the Company’s Current Report on Form 8-K filed October 12,</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2010)*</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10.14(f)</w:t>
            </w:r>
          </w:p>
        </w:tc>
        <w:tc>
          <w:tcPr>
            <w:tcW w:w="10480" w:type="dxa"/>
            <w:vAlign w:val="bottom"/>
          </w:tcPr>
          <w:p>
            <w:pPr>
              <w:ind w:left="260"/>
              <w:spacing w:after="0"/>
              <w:rPr>
                <w:sz w:val="20"/>
                <w:szCs w:val="20"/>
                <w:color w:val="auto"/>
              </w:rPr>
            </w:pPr>
            <w:r>
              <w:rPr>
                <w:rFonts w:ascii="Arial" w:cs="Arial" w:eastAsia="Arial" w:hAnsi="Arial"/>
                <w:sz w:val="18"/>
                <w:szCs w:val="18"/>
                <w:color w:val="auto"/>
                <w:w w:val="98"/>
              </w:rPr>
              <w:t>Letter dated as of February 22, 2012 from John B. Henneman, III to the Company (Incorporated by reference to Exhibit 10.1 to the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Company’s Current Report on Form 8-K filed February 22,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Consulting Agreement, dated October 12, 2010, between the Company and Inception Surgical (Incorporated by reference to Exhibit 10.1 to</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the Company’s Current Report on Form 8-K filed on October 12, 2010)*</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480" w:type="dxa"/>
            <w:vAlign w:val="bottom"/>
          </w:tcPr>
          <w:p>
            <w:pPr>
              <w:ind w:left="260"/>
              <w:spacing w:after="0"/>
              <w:rPr>
                <w:sz w:val="20"/>
                <w:szCs w:val="20"/>
                <w:color w:val="auto"/>
              </w:rPr>
            </w:pPr>
            <w:r>
              <w:rPr>
                <w:rFonts w:ascii="Arial" w:cs="Arial" w:eastAsia="Arial" w:hAnsi="Arial"/>
                <w:sz w:val="18"/>
                <w:szCs w:val="18"/>
                <w:color w:val="auto"/>
                <w:w w:val="94"/>
              </w:rPr>
              <w:t>Severance Agreement between Richard D. Gorelick and the Company dated as of January 3, 2012 (Incorporated by reference to Exhibit</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10.10 to the Company’s Quarterly Report on Form 10-Q for the quarter ended March 31, 2013)*</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10.17(a)</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Severance Agreement between Judith O’Grady and the Company dated as of January 4, 2010 (Incorporated by reference to Exhibit 10.17 to</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the Company’s Annual Report on Form 10-K for the year ended December 31, 2009)*</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10.17(b)</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Severance Agreement between Judith O’Grady and the Company dated as of January 3, 2011 (Incorporated by reference to Exhibit 10.17(a)</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to the Company’s Annual Report on Form 10-K for the year ended December 31, 2010)*</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10.17(c)</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Severance Agreement between Judith O’Grady and the Company dated as of January 3, 2012 (Incorporated by reference to Exhibit 10.16(c)</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to the Company’s Annual Report on Form 10-K for the year ended December 31,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10.18(a)</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Employment Agreement, dated as of October 12, 2010, between Peter J. Arduini and the Company (Incorporated by reference to Exhibit</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10.2 to the Company’s Current Report on Form 8-K filed October 12, 2010)*</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10.18(b)</w:t>
            </w:r>
          </w:p>
        </w:tc>
        <w:tc>
          <w:tcPr>
            <w:tcW w:w="10480" w:type="dxa"/>
            <w:vAlign w:val="bottom"/>
          </w:tcPr>
          <w:p>
            <w:pPr>
              <w:ind w:left="260"/>
              <w:spacing w:after="0"/>
              <w:rPr>
                <w:sz w:val="20"/>
                <w:szCs w:val="20"/>
                <w:color w:val="auto"/>
              </w:rPr>
            </w:pPr>
            <w:r>
              <w:rPr>
                <w:rFonts w:ascii="Arial" w:cs="Arial" w:eastAsia="Arial" w:hAnsi="Arial"/>
                <w:sz w:val="18"/>
                <w:szCs w:val="18"/>
                <w:color w:val="auto"/>
                <w:w w:val="94"/>
              </w:rPr>
              <w:t>Amended and Restated Employment Agreement dated December 20, 2011 between Peter J. Arduini and the Company (Incorporated by</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reference to Exhibit 10.1 to the Company’s Current Report on Form 8-K filed December 23,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Form of Notice of Stock Option Grant with Eight-Year Term for Peter J. Arduini (Incorporated by reference to Exhibit 10.2 to the Company’s</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Current Report on Form 8-K filed December 23, 2011)*</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480" w:type="dxa"/>
            <w:vAlign w:val="bottom"/>
          </w:tcPr>
          <w:p>
            <w:pPr>
              <w:ind w:left="260"/>
              <w:spacing w:after="0"/>
              <w:rPr>
                <w:sz w:val="20"/>
                <w:szCs w:val="20"/>
                <w:color w:val="auto"/>
              </w:rPr>
            </w:pPr>
            <w:r>
              <w:rPr>
                <w:rFonts w:ascii="Arial" w:cs="Arial" w:eastAsia="Arial" w:hAnsi="Arial"/>
                <w:sz w:val="18"/>
                <w:szCs w:val="18"/>
                <w:color w:val="auto"/>
                <w:w w:val="96"/>
              </w:rPr>
              <w:t>Letter Agreement dated February 19, 2013 between Peter J. Arduini and Integra LifeSciences Holdings Corporation (Incorporated by</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reference to Exhibit 10.1 to the Company's Current Report on Form 8-K filed on February 25, 2013)*</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10.21(a)</w:t>
            </w:r>
          </w:p>
        </w:tc>
        <w:tc>
          <w:tcPr>
            <w:tcW w:w="10480" w:type="dxa"/>
            <w:vAlign w:val="bottom"/>
          </w:tcPr>
          <w:p>
            <w:pPr>
              <w:ind w:left="260"/>
              <w:spacing w:after="0"/>
              <w:rPr>
                <w:sz w:val="20"/>
                <w:szCs w:val="20"/>
                <w:color w:val="auto"/>
              </w:rPr>
            </w:pPr>
            <w:r>
              <w:rPr>
                <w:rFonts w:ascii="Arial" w:cs="Arial" w:eastAsia="Arial" w:hAnsi="Arial"/>
                <w:sz w:val="18"/>
                <w:szCs w:val="18"/>
                <w:color w:val="auto"/>
                <w:w w:val="90"/>
              </w:rPr>
              <w:t>Lease Contract, dated April 1, 2005, between the Puerto Rico Industrial Development Company and Integra CI, Inc. (executed on September</w:t>
            </w:r>
          </w:p>
        </w:tc>
      </w:tr>
      <w:tr>
        <w:trPr>
          <w:trHeight w:val="216"/>
        </w:trPr>
        <w:tc>
          <w:tcPr>
            <w:tcW w:w="88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15, 2006) (Incorporated by reference to Exhibit 10.3 to the Company’s Quarterly Report on Form 10-Q for the quarter ended September 30,</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2006)</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10.21(b)</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Amendment to Lease Contract dated as of November 2, 2011, between Integra CI, Inc. and Puerto Rico Industrial Development Company</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(Incorporated by reference to Exhibit 10.1 to the Company’s Current Report on Form 8-K filed on November 7, 2011)</w:t>
            </w:r>
          </w:p>
        </w:tc>
      </w:tr>
    </w:tbl>
    <w:p>
      <w:pPr>
        <w:spacing w:after="0" w:line="200" w:lineRule="exact"/>
        <w:rPr>
          <w:sz w:val="20"/>
          <w:szCs w:val="20"/>
          <w:color w:val="auto"/>
        </w:rPr>
      </w:pPr>
    </w:p>
    <w:p>
      <w:pPr>
        <w:sectPr>
          <w:pgSz w:w="11900" w:h="16838" w:orient="portrait"/>
          <w:cols w:equalWidth="0" w:num="1">
            <w:col w:w="11360"/>
          </w:cols>
          <w:pgMar w:left="280" w:top="530" w:right="259" w:bottom="1440" w:gutter="0" w:footer="0" w:header="0"/>
        </w:sect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360"/>
          </w:cols>
          <w:pgMar w:left="280" w:top="530" w:right="25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10.21(c)</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Termination of Amendment to Lease Contract, dated as of April 2, 2012, between Integra CI, Inc. and Puerto Rico Industrial Development</w:t>
            </w:r>
          </w:p>
        </w:tc>
      </w:tr>
      <w:tr>
        <w:trPr>
          <w:trHeight w:val="216"/>
        </w:trPr>
        <w:tc>
          <w:tcPr>
            <w:tcW w:w="88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5"/>
              </w:rPr>
              <w:t>Company (Incorporated by reference to Exhibit 10.2 to the Company’s Quarterly Report on Form 10-Q for the quarter ended March 31,</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Restricted Units Agreement dated December 27, 1997 between the Company and Stuart M. Essig (Incorporated by reference to Exhibit 10.3</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to the Company’s Current Report on Form 8-K filed on February 3, 1998)*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10480" w:type="dxa"/>
            <w:vAlign w:val="bottom"/>
          </w:tcPr>
          <w:p>
            <w:pPr>
              <w:ind w:left="260"/>
              <w:spacing w:after="0"/>
              <w:rPr>
                <w:sz w:val="20"/>
                <w:szCs w:val="20"/>
                <w:color w:val="auto"/>
              </w:rPr>
            </w:pPr>
            <w:r>
              <w:rPr>
                <w:rFonts w:ascii="Arial" w:cs="Arial" w:eastAsia="Arial" w:hAnsi="Arial"/>
                <w:sz w:val="18"/>
                <w:szCs w:val="18"/>
                <w:color w:val="auto"/>
                <w:w w:val="90"/>
              </w:rPr>
              <w:t>Stock Option Grant and Agreement pursuant to 1999 Stock Option Plan dated December 22, 2000 between the Company and Stuart M. Essig</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(Incorporated by reference to Exhibit 4.1 to the Company’s Current Report on Form 8-K filed on January 8, 2001)*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0480" w:type="dxa"/>
            <w:vAlign w:val="bottom"/>
          </w:tcPr>
          <w:p>
            <w:pPr>
              <w:ind w:left="260"/>
              <w:spacing w:after="0"/>
              <w:rPr>
                <w:sz w:val="20"/>
                <w:szCs w:val="20"/>
                <w:color w:val="auto"/>
              </w:rPr>
            </w:pPr>
            <w:r>
              <w:rPr>
                <w:rFonts w:ascii="Arial" w:cs="Arial" w:eastAsia="Arial" w:hAnsi="Arial"/>
                <w:sz w:val="18"/>
                <w:szCs w:val="18"/>
                <w:color w:val="auto"/>
                <w:w w:val="94"/>
              </w:rPr>
              <w:t>Stock Option Grant and Agreement pursuant to 2000 Equity Incentive Plan dated December 22, 2000 between the Company and Stuart</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M. Essig (Incorporated by reference to Exhibit 4.2 to the Company’s Current Report on Form 8-K filed on January 8, 2001)*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10.25(a)</w:t>
            </w:r>
          </w:p>
        </w:tc>
        <w:tc>
          <w:tcPr>
            <w:tcW w:w="10480" w:type="dxa"/>
            <w:vAlign w:val="bottom"/>
          </w:tcPr>
          <w:p>
            <w:pPr>
              <w:ind w:left="260"/>
              <w:spacing w:after="0"/>
              <w:rPr>
                <w:sz w:val="20"/>
                <w:szCs w:val="20"/>
                <w:color w:val="auto"/>
              </w:rPr>
            </w:pPr>
            <w:r>
              <w:rPr>
                <w:rFonts w:ascii="Arial" w:cs="Arial" w:eastAsia="Arial" w:hAnsi="Arial"/>
                <w:sz w:val="18"/>
                <w:szCs w:val="18"/>
                <w:color w:val="auto"/>
                <w:w w:val="90"/>
              </w:rPr>
              <w:t>Restricted Units Agreement dated December 22, 2000 between the Company and Stuart M. Essig (Incorporated by reference to Exhibit 4.3 to</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the Company’s Current Report on Form 8-K filed on January 8, 2001)*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10.25(b)</w:t>
            </w:r>
          </w:p>
        </w:tc>
        <w:tc>
          <w:tcPr>
            <w:tcW w:w="10480" w:type="dxa"/>
            <w:vAlign w:val="bottom"/>
          </w:tcPr>
          <w:p>
            <w:pPr>
              <w:ind w:left="260"/>
              <w:spacing w:after="0"/>
              <w:rPr>
                <w:sz w:val="20"/>
                <w:szCs w:val="20"/>
                <w:color w:val="auto"/>
              </w:rPr>
            </w:pPr>
            <w:r>
              <w:rPr>
                <w:rFonts w:ascii="Arial" w:cs="Arial" w:eastAsia="Arial" w:hAnsi="Arial"/>
                <w:sz w:val="18"/>
                <w:szCs w:val="18"/>
                <w:color w:val="auto"/>
                <w:w w:val="95"/>
              </w:rPr>
              <w:t>Amendment 2006-1, dated as of October 30, 2006, to the Stuart M. Essig Restricted Units Agreement dated as of December 22, 2000</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(Incorporated by reference to Exhibit 10.1 to the Company’s Current Report on Form 8-K filed on November 3, 2006)*</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Stock Option Grant and Agreement pursuant to 2003 Equity Incentive Plan dated July 27, 2004 between the Company and Stuart M. Essig</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7"/>
              </w:rPr>
              <w:t>(Incorporated by reference to Exhibit 10.30 to the Company’s Annual Report on Form 10-K for the year ended December 31,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10.27(a)</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Contract Stock/Restricted Units Agreement pursuant to 2003 Equity Incentive Plan dated July 27, 2004 between the Company and Stuart M.</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Essig (Incorporated by reference to Exhibit 10.31 to the Company’s Annual Report on Form 10-K for the year ended December 31,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10.27(b)</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Amendment 2006-1, dated as of October 30, 2006, to the Stuart M. Essig Contract Stock/Restricted Units Agreement dated as of July 27,</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2004 (Incorporated by reference to Exhibit 10.2 to the Company’s Current Report on Form 8-K filed on November 3, 2006)*</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10.27(c)</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Amendment 2008-1, dated as of March 6, 2008, to the Stuart M. Essig Contract Stock/Restricted Units Agreement dated as of July 27, 2004</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5"/>
              </w:rPr>
              <w:t>(Incorporated by reference to Exhibit 10.25(c) to the Company’s Annual Report on Form 10-K for the year ended December 31, 2007)*</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10.27(d)</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Amendment 2011-1, dated as of May 17, 2011, to the Stuart M. Essig Contract Stock/Restricted Units Agreement dated as of July 24, 2004</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8"/>
              </w:rPr>
              <w:t>(Incorporated by reference to Exhibit 10.6 to the Company’s Quarterly Report on Form 10-Q for the quarter ended June 30,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Contract Stock/Units Agreement dated as of May 17, 2011 between the Company and Stuart M. Essig (Incorporated by reference to Exhibit</w:t>
            </w:r>
          </w:p>
        </w:tc>
      </w:tr>
      <w:tr>
        <w:trPr>
          <w:trHeight w:val="216"/>
        </w:trPr>
        <w:tc>
          <w:tcPr>
            <w:tcW w:w="88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10.2 to the Company’s Current Report on Form 8-K filed on</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May 23,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10.29</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Form of Amendment 2011-1 to Contract Stock/Restricted Units Agreements between the Company and Mr. Essig (Incorporated by reference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to Exhibit 10.5 to the Company’s Quarterly Report on Form 10-Q for the quarter ended June 30,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Form of Stock Option Grant and Agreement between the Company and Stuart M. Essig (Incorporated by reference to Exhibit 10.32 to the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Company’s Annual Report on Form 10-K for the year ended December 31,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10.31(a)</w:t>
            </w:r>
          </w:p>
        </w:tc>
        <w:tc>
          <w:tcPr>
            <w:tcW w:w="10480" w:type="dxa"/>
            <w:vAlign w:val="bottom"/>
          </w:tcPr>
          <w:p>
            <w:pPr>
              <w:ind w:left="260"/>
              <w:spacing w:after="0"/>
              <w:rPr>
                <w:sz w:val="20"/>
                <w:szCs w:val="20"/>
                <w:color w:val="auto"/>
              </w:rPr>
            </w:pPr>
            <w:r>
              <w:rPr>
                <w:rFonts w:ascii="Arial" w:cs="Arial" w:eastAsia="Arial" w:hAnsi="Arial"/>
                <w:sz w:val="18"/>
                <w:szCs w:val="18"/>
                <w:color w:val="auto"/>
                <w:w w:val="97"/>
              </w:rPr>
              <w:t>Form of Contract Stock/Restricted Units Agreement for Stuart M. Essig (Incorporated by reference to Exhibit 10.8 to the Company’s</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Quarterly Report on Form 10-Q for the quarter ended June 30,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10.31(b)</w:t>
            </w:r>
          </w:p>
        </w:tc>
        <w:tc>
          <w:tcPr>
            <w:tcW w:w="10480" w:type="dxa"/>
            <w:vAlign w:val="bottom"/>
          </w:tcPr>
          <w:p>
            <w:pPr>
              <w:ind w:left="260"/>
              <w:spacing w:after="0"/>
              <w:rPr>
                <w:sz w:val="20"/>
                <w:szCs w:val="20"/>
                <w:color w:val="auto"/>
              </w:rPr>
            </w:pPr>
            <w:r>
              <w:rPr>
                <w:rFonts w:ascii="Arial" w:cs="Arial" w:eastAsia="Arial" w:hAnsi="Arial"/>
                <w:sz w:val="18"/>
                <w:szCs w:val="18"/>
                <w:color w:val="auto"/>
                <w:w w:val="96"/>
              </w:rPr>
              <w:t>New Form of Contract Stock/Restricted Units Agreement (for Annual Equity Awards) for Stuart M. Essig (Incorporated by reference to</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Exhibit 10.28(b) to the Company’s Annual Report on Form 10-K for the year ended December 31, 2010)*</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10.31(c)</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Form of Amendment 2011-1 to Contract Stock/Restricted Units Agreement between the Company and Mr. Essig (Incorporated by reference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to Exhibit 10.4 to the Company’s Quarterly Report on Form 10-Q for the quarter ended June 30,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Form of Performance Stock Agreement for Stuart M. Essig (Incorporated by reference to Exhibit 10.9 to the Company’s Quarterly Report on</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Form 10-Q for the quarter ended June 30, 2008)*</w:t>
            </w:r>
          </w:p>
        </w:tc>
      </w:tr>
      <w:tr>
        <w:trPr>
          <w:trHeight w:val="648"/>
        </w:trPr>
        <w:tc>
          <w:tcPr>
            <w:tcW w:w="880" w:type="dxa"/>
            <w:vAlign w:val="bottom"/>
          </w:tcPr>
          <w:p>
            <w:pPr>
              <w:spacing w:after="0"/>
              <w:rPr>
                <w:sz w:val="24"/>
                <w:szCs w:val="24"/>
                <w:color w:val="auto"/>
              </w:rPr>
            </w:pPr>
          </w:p>
        </w:tc>
        <w:tc>
          <w:tcPr>
            <w:tcW w:w="10480" w:type="dxa"/>
            <w:vAlign w:val="bottom"/>
          </w:tcPr>
          <w:p>
            <w:pPr>
              <w:ind w:left="4700"/>
              <w:spacing w:after="0"/>
              <w:rPr>
                <w:sz w:val="20"/>
                <w:szCs w:val="20"/>
                <w:color w:val="auto"/>
              </w:rPr>
            </w:pPr>
            <w:r>
              <w:rPr>
                <w:rFonts w:ascii="Arial" w:cs="Arial" w:eastAsia="Arial" w:hAnsi="Arial"/>
                <w:sz w:val="18"/>
                <w:szCs w:val="18"/>
                <w:color w:val="auto"/>
              </w:rPr>
              <w:t>55</w:t>
            </w:r>
          </w:p>
        </w:tc>
      </w:tr>
    </w:tbl>
    <w:p>
      <w:pPr>
        <w:sectPr>
          <w:pgSz w:w="11900" w:h="16838" w:orient="portrait"/>
          <w:cols w:equalWidth="0" w:num="1">
            <w:col w:w="11360"/>
          </w:cols>
          <w:pgMar w:left="280" w:top="530" w:right="25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10480" w:type="dxa"/>
            <w:vAlign w:val="bottom"/>
          </w:tcPr>
          <w:p>
            <w:pPr>
              <w:ind w:left="260"/>
              <w:spacing w:after="0"/>
              <w:rPr>
                <w:sz w:val="20"/>
                <w:szCs w:val="20"/>
                <w:color w:val="auto"/>
              </w:rPr>
            </w:pPr>
            <w:r>
              <w:rPr>
                <w:rFonts w:ascii="Arial" w:cs="Arial" w:eastAsia="Arial" w:hAnsi="Arial"/>
                <w:sz w:val="18"/>
                <w:szCs w:val="18"/>
                <w:color w:val="auto"/>
                <w:w w:val="96"/>
              </w:rPr>
              <w:t>Form of Restricted Stock Agreement for Stuart M. Essig for 2009 (Incorporated by reference to Exhibit 10.3 to the Company’s Current</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Report on Form 8-K filed April 13, 2009)*</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Form of Performance Stock Agreement (Executive Officers) (Incorporated by reference to Exhibit 10.2 to the Company's Current Report on</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Form 8-K filed on February 25, 2013)*</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Performance Incentive Compensation Plan effective January 1, 2013 (Incorporated by reference to Exhibit 10.3 to the Company’s Quarterly</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Report on Form 10-Q for the quarter ended March 31, 2013)*</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10.36</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New Form of Contract Stock/Restricted Units Agreement pursuant to 2003 Equity Incentive Plan (for 2011) Annual Equity Award for Stuart</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M. Essig) (Incorporated by reference to Exhibit 10.3 to the Company’s Quarterly Report on Form 10-Q for the quarter ended June 30,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10.37</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Form of Notice of Grant of Stock Option and Stock Option Agreement (Incorporated by reference to Exhibit 10.1 to the Company’s Current</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Report on Form 8-K filed on July 29, 2005)*</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10480" w:type="dxa"/>
            <w:vAlign w:val="bottom"/>
          </w:tcPr>
          <w:p>
            <w:pPr>
              <w:ind w:left="260"/>
              <w:spacing w:after="0"/>
              <w:rPr>
                <w:sz w:val="20"/>
                <w:szCs w:val="20"/>
                <w:color w:val="auto"/>
              </w:rPr>
            </w:pPr>
            <w:r>
              <w:rPr>
                <w:rFonts w:ascii="Arial" w:cs="Arial" w:eastAsia="Arial" w:hAnsi="Arial"/>
                <w:sz w:val="18"/>
                <w:szCs w:val="18"/>
                <w:color w:val="auto"/>
                <w:w w:val="96"/>
              </w:rPr>
              <w:t>Form of Non-Qualified Stock Option Agreement (Non-Directors) (Incorporated by reference to Exhibit 10.35 to the Company’s Annual</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Report on Form 10-K for the year ended December 31,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10.39</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Form of Incentive Stock Option Agreement (Incorporated by reference to Exhibit 10.36 to the Company’s Annual Report on Form 10-K for</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the year ended December 31,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10.40</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Form of Non-Qualified Stock Option Agreement (Directors) (Incorporated by reference to Exhibit 10.37 to the Company’s Annual Report on</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Form 10-K for the year ended December 31,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10.41(a)</w:t>
            </w:r>
          </w:p>
        </w:tc>
        <w:tc>
          <w:tcPr>
            <w:tcW w:w="10480" w:type="dxa"/>
            <w:vAlign w:val="bottom"/>
          </w:tcPr>
          <w:p>
            <w:pPr>
              <w:ind w:left="260"/>
              <w:spacing w:after="0"/>
              <w:rPr>
                <w:sz w:val="20"/>
                <w:szCs w:val="20"/>
                <w:color w:val="auto"/>
              </w:rPr>
            </w:pPr>
            <w:r>
              <w:rPr>
                <w:rFonts w:ascii="Arial" w:cs="Arial" w:eastAsia="Arial" w:hAnsi="Arial"/>
                <w:sz w:val="18"/>
                <w:szCs w:val="18"/>
                <w:color w:val="auto"/>
                <w:w w:val="94"/>
              </w:rPr>
              <w:t>Compensation of Directors of the Company effective May 17, 2011 (Incorporated by reference to Exhibit 10.1 to the Company’s Current</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Report on Form 8-K filed on December 16, 2010)*</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10.41(b)</w:t>
            </w:r>
          </w:p>
        </w:tc>
        <w:tc>
          <w:tcPr>
            <w:tcW w:w="10480" w:type="dxa"/>
            <w:vAlign w:val="bottom"/>
          </w:tcPr>
          <w:p>
            <w:pPr>
              <w:ind w:left="260"/>
              <w:spacing w:after="0"/>
              <w:rPr>
                <w:sz w:val="20"/>
                <w:szCs w:val="20"/>
                <w:color w:val="auto"/>
              </w:rPr>
            </w:pPr>
            <w:r>
              <w:rPr>
                <w:rFonts w:ascii="Arial" w:cs="Arial" w:eastAsia="Arial" w:hAnsi="Arial"/>
                <w:sz w:val="18"/>
                <w:szCs w:val="18"/>
                <w:color w:val="auto"/>
                <w:w w:val="97"/>
              </w:rPr>
              <w:t>Compensation of Non-Employee Directors of the Company effective May 17, 2012 (Incorporated by reference to Exhibit 10.1 to the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Company’s Current Report on Form 8-K filed on April 13,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10.41(c)</w:t>
            </w:r>
          </w:p>
        </w:tc>
        <w:tc>
          <w:tcPr>
            <w:tcW w:w="10480" w:type="dxa"/>
            <w:vAlign w:val="bottom"/>
          </w:tcPr>
          <w:p>
            <w:pPr>
              <w:ind w:left="260"/>
              <w:spacing w:after="0"/>
              <w:rPr>
                <w:sz w:val="20"/>
                <w:szCs w:val="20"/>
                <w:color w:val="auto"/>
              </w:rPr>
            </w:pPr>
            <w:r>
              <w:rPr>
                <w:rFonts w:ascii="Arial" w:cs="Arial" w:eastAsia="Arial" w:hAnsi="Arial"/>
                <w:sz w:val="18"/>
                <w:szCs w:val="18"/>
                <w:color w:val="auto"/>
                <w:w w:val="97"/>
              </w:rPr>
              <w:t>Compensation of Non-Employee Directors of the Company effective May 22, 2013 (Incorporated by reference to Exhibit 10.1 to the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Company’s Current Report on Form 8-K filed on December 14,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10.41(d)</w:t>
            </w:r>
          </w:p>
        </w:tc>
        <w:tc>
          <w:tcPr>
            <w:tcW w:w="10480" w:type="dxa"/>
            <w:vAlign w:val="bottom"/>
          </w:tcPr>
          <w:p>
            <w:pPr>
              <w:ind w:left="260"/>
              <w:spacing w:after="0"/>
              <w:rPr>
                <w:sz w:val="20"/>
                <w:szCs w:val="20"/>
                <w:color w:val="auto"/>
              </w:rPr>
            </w:pPr>
            <w:r>
              <w:rPr>
                <w:rFonts w:ascii="Arial" w:cs="Arial" w:eastAsia="Arial" w:hAnsi="Arial"/>
                <w:sz w:val="18"/>
                <w:szCs w:val="18"/>
                <w:color w:val="auto"/>
                <w:w w:val="98"/>
              </w:rPr>
              <w:t>Compensation of Non-Employee Directors of the Company effective July 24, 2013 (Incorporated by reference to Exhibit 10.1 to the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Company’s Current Report on Form 8-K filed on July 29, 2013)*</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10.42(a)</w:t>
            </w:r>
          </w:p>
        </w:tc>
        <w:tc>
          <w:tcPr>
            <w:tcW w:w="10480" w:type="dxa"/>
            <w:vAlign w:val="bottom"/>
          </w:tcPr>
          <w:p>
            <w:pPr>
              <w:ind w:left="260"/>
              <w:spacing w:after="0"/>
              <w:rPr>
                <w:sz w:val="20"/>
                <w:szCs w:val="20"/>
                <w:color w:val="auto"/>
              </w:rPr>
            </w:pPr>
            <w:r>
              <w:rPr>
                <w:rFonts w:ascii="Arial" w:cs="Arial" w:eastAsia="Arial" w:hAnsi="Arial"/>
                <w:sz w:val="18"/>
                <w:szCs w:val="18"/>
                <w:color w:val="auto"/>
                <w:w w:val="96"/>
              </w:rPr>
              <w:t>Form of Restricted Stock Agreement for Non-Employee Directors under the 2003 Equity Incentive Plan (Incorporated by reference to</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Exhibit 10.4 to the Company’s Quarterly Report on Form 10-Q for the quarter ended June 30,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10.42(b)</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New Form of Restricted Stock Agreement for Non-Employee Directors under the 2003 Equity Incentive Plan (Incorporated by reference to</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Exhibit 10.38(b) to the Company’s Annual Report on Form 10-K for the year ended December 31,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10.42(c)</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Form of Restricted Stock Agreement for Executive Officers - Annual Vesting (Incorporated by reference to Exhibit 10.1 to the Company’s</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Current Report on Form 8-K filed on February 25, 2009)*</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10.42(d)</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Form of Restricted Stock Agreement for Executive Officers - Annual Vesting (Incorporated by reference to Exhibit 10.5 to the Company’s</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Quarterly Report on Form 10-Q for the quarter ended June 30,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10.42(e)</w:t>
            </w:r>
          </w:p>
        </w:tc>
        <w:tc>
          <w:tcPr>
            <w:tcW w:w="10480" w:type="dxa"/>
            <w:vAlign w:val="bottom"/>
          </w:tcPr>
          <w:p>
            <w:pPr>
              <w:ind w:left="260"/>
              <w:spacing w:after="0"/>
              <w:rPr>
                <w:sz w:val="20"/>
                <w:szCs w:val="20"/>
                <w:color w:val="auto"/>
              </w:rPr>
            </w:pPr>
            <w:r>
              <w:rPr>
                <w:rFonts w:ascii="Arial" w:cs="Arial" w:eastAsia="Arial" w:hAnsi="Arial"/>
                <w:sz w:val="18"/>
                <w:szCs w:val="18"/>
                <w:color w:val="auto"/>
                <w:w w:val="95"/>
              </w:rPr>
              <w:t>New Form of Restricted Stock Agreement for Executive Officers - Annual Vesting (Incorporated by reference to Exhibit 10.38(e) to the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Company’s Annual Report on Form 10-K for the year ended December 31,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10.42(f)</w:t>
            </w:r>
          </w:p>
        </w:tc>
        <w:tc>
          <w:tcPr>
            <w:tcW w:w="10480" w:type="dxa"/>
            <w:vAlign w:val="bottom"/>
          </w:tcPr>
          <w:p>
            <w:pPr>
              <w:ind w:left="260"/>
              <w:spacing w:after="0"/>
              <w:rPr>
                <w:sz w:val="20"/>
                <w:szCs w:val="20"/>
                <w:color w:val="auto"/>
              </w:rPr>
            </w:pPr>
            <w:r>
              <w:rPr>
                <w:rFonts w:ascii="Arial" w:cs="Arial" w:eastAsia="Arial" w:hAnsi="Arial"/>
                <w:sz w:val="18"/>
                <w:szCs w:val="18"/>
                <w:color w:val="auto"/>
                <w:w w:val="96"/>
              </w:rPr>
              <w:t>Form of Restricted Stock Agreement for Executive Officers - Cliff Vesting (Incorporated by reference to Exhibit 10.8 to the Company’s</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Quarter Report on Form 10-Q for the quarter ended March 31, 2009)*</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10.42(g)</w:t>
            </w:r>
          </w:p>
        </w:tc>
        <w:tc>
          <w:tcPr>
            <w:tcW w:w="10480" w:type="dxa"/>
            <w:vAlign w:val="bottom"/>
          </w:tcPr>
          <w:p>
            <w:pPr>
              <w:ind w:left="260"/>
              <w:spacing w:after="0"/>
              <w:rPr>
                <w:sz w:val="20"/>
                <w:szCs w:val="20"/>
                <w:color w:val="auto"/>
              </w:rPr>
            </w:pPr>
            <w:r>
              <w:rPr>
                <w:rFonts w:ascii="Arial" w:cs="Arial" w:eastAsia="Arial" w:hAnsi="Arial"/>
                <w:sz w:val="18"/>
                <w:szCs w:val="18"/>
                <w:color w:val="auto"/>
                <w:w w:val="96"/>
              </w:rPr>
              <w:t>Form of Restricted Stock Agreement for Executive Officers - Cliff Vesting (Incorporated by reference to Exhibit 10.6 to the Company’s</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quarterly report on Form 10-Q for the quarter ended June 30,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10.42(h)</w:t>
            </w:r>
          </w:p>
        </w:tc>
        <w:tc>
          <w:tcPr>
            <w:tcW w:w="10480" w:type="dxa"/>
            <w:vAlign w:val="bottom"/>
          </w:tcPr>
          <w:p>
            <w:pPr>
              <w:ind w:left="260"/>
              <w:spacing w:after="0"/>
              <w:rPr>
                <w:sz w:val="20"/>
                <w:szCs w:val="20"/>
                <w:color w:val="auto"/>
              </w:rPr>
            </w:pPr>
            <w:r>
              <w:rPr>
                <w:rFonts w:ascii="Arial" w:cs="Arial" w:eastAsia="Arial" w:hAnsi="Arial"/>
                <w:sz w:val="18"/>
                <w:szCs w:val="18"/>
                <w:color w:val="auto"/>
                <w:w w:val="98"/>
              </w:rPr>
              <w:t>New Form of Restricted Stock Agreement for Executive Officers - Cliff Vesting (Incorporated by reference to Exhibit 10.38(h) to the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Company’s Annual Report on Form 10-K for the year ended December 31,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10.42(i)</w:t>
            </w:r>
          </w:p>
        </w:tc>
        <w:tc>
          <w:tcPr>
            <w:tcW w:w="10480" w:type="dxa"/>
            <w:vAlign w:val="bottom"/>
          </w:tcPr>
          <w:p>
            <w:pPr>
              <w:ind w:left="260"/>
              <w:spacing w:after="0"/>
              <w:rPr>
                <w:sz w:val="20"/>
                <w:szCs w:val="20"/>
                <w:color w:val="auto"/>
              </w:rPr>
            </w:pPr>
            <w:r>
              <w:rPr>
                <w:rFonts w:ascii="Arial" w:cs="Arial" w:eastAsia="Arial" w:hAnsi="Arial"/>
                <w:sz w:val="18"/>
                <w:szCs w:val="18"/>
                <w:color w:val="auto"/>
                <w:w w:val="95"/>
              </w:rPr>
              <w:t>Form of Restricted Stock Agreement for Mr. Henneman for 2008 and 2009 (Incorporated by reference to Exhibit 10.6 to the Company’s</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Current Report on Form 8-K filed on April 13, 2009)*</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10.42(j)</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Form of Contract Stock/Restricted Units Agreement pursuant to 2003 Equity Incentive Plan for Mr. Henneman (Incorporated by reference to</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Exhibit 10.4 to the Company’s Current Report on Form 8-K filed on December 24, 2008)*</w:t>
            </w:r>
          </w:p>
        </w:tc>
      </w:tr>
    </w:tbl>
    <w:p>
      <w:pPr>
        <w:spacing w:after="0" w:line="200" w:lineRule="exact"/>
        <w:rPr>
          <w:sz w:val="20"/>
          <w:szCs w:val="20"/>
          <w:color w:val="auto"/>
        </w:rPr>
      </w:pPr>
    </w:p>
    <w:p>
      <w:pPr>
        <w:sectPr>
          <w:pgSz w:w="11900" w:h="16838" w:orient="portrait"/>
          <w:cols w:equalWidth="0" w:num="1">
            <w:col w:w="11360"/>
          </w:cols>
          <w:pgMar w:left="280" w:top="530" w:right="259" w:bottom="1440" w:gutter="0" w:footer="0" w:header="0"/>
        </w:sect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360"/>
          </w:cols>
          <w:pgMar w:left="280" w:top="530" w:right="25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10.42(k)</w:t>
            </w:r>
          </w:p>
        </w:tc>
        <w:tc>
          <w:tcPr>
            <w:tcW w:w="10440" w:type="dxa"/>
            <w:vAlign w:val="bottom"/>
          </w:tcPr>
          <w:p>
            <w:pPr>
              <w:ind w:left="240"/>
              <w:spacing w:after="0"/>
              <w:rPr>
                <w:sz w:val="20"/>
                <w:szCs w:val="20"/>
                <w:color w:val="auto"/>
              </w:rPr>
            </w:pPr>
            <w:r>
              <w:rPr>
                <w:rFonts w:ascii="Arial" w:cs="Arial" w:eastAsia="Arial" w:hAnsi="Arial"/>
                <w:sz w:val="18"/>
                <w:szCs w:val="18"/>
                <w:color w:val="auto"/>
                <w:w w:val="92"/>
              </w:rPr>
              <w:t>Form of Option Agreement for John B. Henneman, III (Incorporated by reference to Exhibit 10.1 to the Company’s Current Report on Form</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8-K filed on June 6, 2008)*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10.42(l)</w:t>
            </w:r>
          </w:p>
        </w:tc>
        <w:tc>
          <w:tcPr>
            <w:tcW w:w="10440" w:type="dxa"/>
            <w:vAlign w:val="bottom"/>
          </w:tcPr>
          <w:p>
            <w:pPr>
              <w:ind w:left="240"/>
              <w:spacing w:after="0"/>
              <w:rPr>
                <w:sz w:val="20"/>
                <w:szCs w:val="20"/>
                <w:color w:val="auto"/>
              </w:rPr>
            </w:pPr>
            <w:r>
              <w:rPr>
                <w:rFonts w:ascii="Arial" w:cs="Arial" w:eastAsia="Arial" w:hAnsi="Arial"/>
                <w:sz w:val="18"/>
                <w:szCs w:val="18"/>
                <w:color w:val="auto"/>
                <w:w w:val="92"/>
              </w:rPr>
              <w:t>Form of Performance Stock Agreement for John B. Henneman, III (Incorporated by reference to Exhibit 10.37(b) to the Company’s Annual</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Report on Form 10-K for the year ended December 31,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10.42(m)</w:t>
            </w:r>
          </w:p>
        </w:tc>
        <w:tc>
          <w:tcPr>
            <w:tcW w:w="10440" w:type="dxa"/>
            <w:vAlign w:val="bottom"/>
          </w:tcPr>
          <w:p>
            <w:pPr>
              <w:ind w:left="240"/>
              <w:spacing w:after="0"/>
              <w:rPr>
                <w:sz w:val="20"/>
                <w:szCs w:val="20"/>
                <w:color w:val="auto"/>
              </w:rPr>
            </w:pPr>
            <w:r>
              <w:rPr>
                <w:rFonts w:ascii="Arial" w:cs="Arial" w:eastAsia="Arial" w:hAnsi="Arial"/>
                <w:sz w:val="18"/>
                <w:szCs w:val="18"/>
                <w:color w:val="auto"/>
                <w:w w:val="95"/>
              </w:rPr>
              <w:t>Form of Contract Stock/Restricted Units Agreement (for Signing Grant) for Mr. Arduini (Incorporated by reference to Exhibit 10.4 to the</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Company’s Current Report on Form 8-K filed on October 12,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10.42(n)</w:t>
            </w:r>
          </w:p>
        </w:tc>
        <w:tc>
          <w:tcPr>
            <w:tcW w:w="10440" w:type="dxa"/>
            <w:vAlign w:val="bottom"/>
          </w:tcPr>
          <w:p>
            <w:pPr>
              <w:ind w:left="240"/>
              <w:spacing w:after="0"/>
              <w:rPr>
                <w:sz w:val="20"/>
                <w:szCs w:val="20"/>
                <w:color w:val="auto"/>
              </w:rPr>
            </w:pPr>
            <w:r>
              <w:rPr>
                <w:rFonts w:ascii="Arial" w:cs="Arial" w:eastAsia="Arial" w:hAnsi="Arial"/>
                <w:sz w:val="18"/>
                <w:szCs w:val="18"/>
                <w:color w:val="auto"/>
                <w:w w:val="93"/>
              </w:rPr>
              <w:t>Form of Contract Stock/Restricted Units Agreement (for Annual Equity Awards) for Mr. Arduini (Incorporated by reference to Exhibit 10.5</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to the Company’s Current Report on Form 8-K filed on October 12,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10.42(o)</w:t>
            </w:r>
          </w:p>
        </w:tc>
        <w:tc>
          <w:tcPr>
            <w:tcW w:w="10440" w:type="dxa"/>
            <w:vAlign w:val="bottom"/>
          </w:tcPr>
          <w:p>
            <w:pPr>
              <w:ind w:left="240"/>
              <w:spacing w:after="0"/>
              <w:rPr>
                <w:sz w:val="20"/>
                <w:szCs w:val="20"/>
                <w:color w:val="auto"/>
              </w:rPr>
            </w:pPr>
            <w:r>
              <w:rPr>
                <w:rFonts w:ascii="Arial" w:cs="Arial" w:eastAsia="Arial" w:hAnsi="Arial"/>
                <w:sz w:val="18"/>
                <w:szCs w:val="18"/>
                <w:color w:val="auto"/>
                <w:w w:val="97"/>
              </w:rPr>
              <w:t>Form of Non-Qualified Stock Option Agreement for Mr. Arduini (Incorporated by reference to Exhibit 10.6 to the Company’s Current</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Report on Form 8-K filed on October 12,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10.42(p)</w:t>
            </w:r>
          </w:p>
        </w:tc>
        <w:tc>
          <w:tcPr>
            <w:tcW w:w="10440" w:type="dxa"/>
            <w:vAlign w:val="bottom"/>
          </w:tcPr>
          <w:p>
            <w:pPr>
              <w:ind w:left="240"/>
              <w:spacing w:after="0"/>
              <w:rPr>
                <w:sz w:val="20"/>
                <w:szCs w:val="20"/>
                <w:color w:val="auto"/>
              </w:rPr>
            </w:pPr>
            <w:r>
              <w:rPr>
                <w:rFonts w:ascii="Arial" w:cs="Arial" w:eastAsia="Arial" w:hAnsi="Arial"/>
                <w:sz w:val="18"/>
                <w:szCs w:val="18"/>
                <w:color w:val="auto"/>
                <w:w w:val="95"/>
              </w:rPr>
              <w:t>Form of Restricted Stock Agreement for Mr. Henneman (Incorporated by reference to Exhibit 10.7 to the Company’s Current Report on</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Form 8-K filed on October 12,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10.42(q)</w:t>
            </w:r>
          </w:p>
        </w:tc>
        <w:tc>
          <w:tcPr>
            <w:tcW w:w="10440" w:type="dxa"/>
            <w:vAlign w:val="bottom"/>
          </w:tcPr>
          <w:p>
            <w:pPr>
              <w:ind w:left="240"/>
              <w:spacing w:after="0"/>
              <w:rPr>
                <w:sz w:val="20"/>
                <w:szCs w:val="20"/>
                <w:color w:val="auto"/>
              </w:rPr>
            </w:pPr>
            <w:r>
              <w:rPr>
                <w:rFonts w:ascii="Arial" w:cs="Arial" w:eastAsia="Arial" w:hAnsi="Arial"/>
                <w:sz w:val="18"/>
                <w:szCs w:val="18"/>
                <w:color w:val="auto"/>
                <w:w w:val="93"/>
              </w:rPr>
              <w:t>Form of Restricted Stock Agreement (Annual Vesting) for Mr. Henneman (Incorporated by reference to Exhibit 10.39(n) to the Company’s</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Annual Report on Form 10-K for the year ended December 31, 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10.43</w:t>
            </w:r>
          </w:p>
        </w:tc>
        <w:tc>
          <w:tcPr>
            <w:tcW w:w="10440" w:type="dxa"/>
            <w:vAlign w:val="bottom"/>
          </w:tcPr>
          <w:p>
            <w:pPr>
              <w:ind w:left="240"/>
              <w:spacing w:after="0"/>
              <w:rPr>
                <w:sz w:val="20"/>
                <w:szCs w:val="20"/>
                <w:color w:val="auto"/>
              </w:rPr>
            </w:pPr>
            <w:r>
              <w:rPr>
                <w:rFonts w:ascii="Arial" w:cs="Arial" w:eastAsia="Arial" w:hAnsi="Arial"/>
                <w:sz w:val="18"/>
                <w:szCs w:val="18"/>
                <w:color w:val="auto"/>
                <w:w w:val="92"/>
              </w:rPr>
              <w:t>Annual Executive Physical Medical Exam Arrangement (Incorporated by reference to the Exhibit 10.2 to the Company’s Current Report on</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Form 8-K filed on July 29, 2013)*</w:t>
            </w:r>
          </w:p>
        </w:tc>
      </w:tr>
      <w:tr>
        <w:trPr>
          <w:trHeight w:val="256"/>
        </w:trPr>
        <w:tc>
          <w:tcPr>
            <w:tcW w:w="900" w:type="dxa"/>
            <w:vAlign w:val="bottom"/>
          </w:tcPr>
          <w:p>
            <w:pPr>
              <w:spacing w:after="0"/>
              <w:rPr>
                <w:sz w:val="20"/>
                <w:szCs w:val="20"/>
                <w:color w:val="auto"/>
              </w:rPr>
            </w:pPr>
            <w:r>
              <w:rPr>
                <w:rFonts w:ascii="Arial" w:cs="Arial" w:eastAsia="Arial" w:hAnsi="Arial"/>
                <w:sz w:val="18"/>
                <w:szCs w:val="18"/>
                <w:color w:val="auto"/>
              </w:rPr>
              <w:t>10.44</w:t>
            </w:r>
          </w:p>
        </w:tc>
        <w:tc>
          <w:tcPr>
            <w:tcW w:w="10440" w:type="dxa"/>
            <w:vAlign w:val="bottom"/>
          </w:tcPr>
          <w:p>
            <w:pPr>
              <w:ind w:left="240"/>
              <w:spacing w:after="0"/>
              <w:rPr>
                <w:sz w:val="20"/>
                <w:szCs w:val="20"/>
                <w:color w:val="auto"/>
              </w:rPr>
            </w:pPr>
            <w:r>
              <w:rPr>
                <w:rFonts w:ascii="Arial" w:cs="Arial" w:eastAsia="Arial" w:hAnsi="Arial"/>
                <w:sz w:val="18"/>
                <w:szCs w:val="18"/>
                <w:color w:val="auto"/>
                <w:w w:val="91"/>
              </w:rPr>
              <w:t>Reimbursement of Legal Fees Arrangement for CFO (Incorporated by reference to Exhibit 10.3 to the Company’s Current Report on Form 8-</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K filed on July 29, 2013)*</w:t>
            </w:r>
          </w:p>
        </w:tc>
      </w:tr>
      <w:tr>
        <w:trPr>
          <w:trHeight w:val="431"/>
        </w:trPr>
        <w:tc>
          <w:tcPr>
            <w:tcW w:w="900" w:type="dxa"/>
            <w:vAlign w:val="bottom"/>
          </w:tcPr>
          <w:p>
            <w:pPr>
              <w:spacing w:after="0"/>
              <w:rPr>
                <w:sz w:val="20"/>
                <w:szCs w:val="20"/>
                <w:color w:val="auto"/>
              </w:rPr>
            </w:pPr>
            <w:r>
              <w:rPr>
                <w:rFonts w:ascii="Arial" w:cs="Arial" w:eastAsia="Arial" w:hAnsi="Arial"/>
                <w:sz w:val="18"/>
                <w:szCs w:val="18"/>
                <w:color w:val="auto"/>
              </w:rPr>
              <w:t>10.45</w:t>
            </w:r>
          </w:p>
        </w:tc>
        <w:tc>
          <w:tcPr>
            <w:tcW w:w="10440" w:type="dxa"/>
            <w:vAlign w:val="bottom"/>
          </w:tcPr>
          <w:p>
            <w:pPr>
              <w:ind w:left="240"/>
              <w:spacing w:after="0"/>
              <w:rPr>
                <w:sz w:val="20"/>
                <w:szCs w:val="20"/>
                <w:color w:val="auto"/>
              </w:rPr>
            </w:pPr>
            <w:r>
              <w:rPr>
                <w:rFonts w:ascii="Arial" w:cs="Arial" w:eastAsia="Arial" w:hAnsi="Arial"/>
                <w:sz w:val="18"/>
                <w:szCs w:val="18"/>
                <w:color w:val="auto"/>
                <w:w w:val="91"/>
              </w:rPr>
              <w:t>Amended and Restated Management Incentive Compensation Plan, as of January 1, 2008 (Incorporated by reference to Exhibit 10.43(c) to</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the Company’s Annual Report on Form 10-K for the year ended December 31,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10.46</w:t>
            </w:r>
          </w:p>
        </w:tc>
        <w:tc>
          <w:tcPr>
            <w:tcW w:w="10440" w:type="dxa"/>
            <w:vAlign w:val="bottom"/>
          </w:tcPr>
          <w:p>
            <w:pPr>
              <w:ind w:left="240"/>
              <w:spacing w:after="0"/>
              <w:rPr>
                <w:sz w:val="20"/>
                <w:szCs w:val="20"/>
                <w:color w:val="auto"/>
              </w:rPr>
            </w:pPr>
            <w:r>
              <w:rPr>
                <w:rFonts w:ascii="Arial" w:cs="Arial" w:eastAsia="Arial" w:hAnsi="Arial"/>
                <w:sz w:val="18"/>
                <w:szCs w:val="18"/>
                <w:color w:val="auto"/>
                <w:w w:val="92"/>
              </w:rPr>
              <w:t>Form of 2010 Convertible Bond Hedge Transaction Confirmation, dated June 6, 2007, between Integra LifeSciences Holdings Corporation</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and dealer (Incorporated by reference to Exhibit 10.1 to the Company’s Current Report on Form 8-K filed on June 12,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10.47</w:t>
            </w:r>
          </w:p>
        </w:tc>
        <w:tc>
          <w:tcPr>
            <w:tcW w:w="10440" w:type="dxa"/>
            <w:vAlign w:val="bottom"/>
          </w:tcPr>
          <w:p>
            <w:pPr>
              <w:ind w:left="240"/>
              <w:spacing w:after="0"/>
              <w:rPr>
                <w:sz w:val="20"/>
                <w:szCs w:val="20"/>
                <w:color w:val="auto"/>
              </w:rPr>
            </w:pPr>
            <w:r>
              <w:rPr>
                <w:rFonts w:ascii="Arial" w:cs="Arial" w:eastAsia="Arial" w:hAnsi="Arial"/>
                <w:sz w:val="18"/>
                <w:szCs w:val="18"/>
                <w:color w:val="auto"/>
                <w:w w:val="92"/>
              </w:rPr>
              <w:t>Form of 2012 Convertible Bond Hedge Transaction Confirmation, dated June 6, 2007, between Integra LifeSciences Holdings Corporation</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and dealer (Incorporated by reference to Exhibit 10.2 to the Company’s Current Report on Form 8-K filed on June 12,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10.48</w:t>
            </w:r>
          </w:p>
        </w:tc>
        <w:tc>
          <w:tcPr>
            <w:tcW w:w="10440" w:type="dxa"/>
            <w:vAlign w:val="bottom"/>
          </w:tcPr>
          <w:p>
            <w:pPr>
              <w:ind w:left="240"/>
              <w:spacing w:after="0"/>
              <w:rPr>
                <w:sz w:val="20"/>
                <w:szCs w:val="20"/>
                <w:color w:val="auto"/>
              </w:rPr>
            </w:pPr>
            <w:r>
              <w:rPr>
                <w:rFonts w:ascii="Arial" w:cs="Arial" w:eastAsia="Arial" w:hAnsi="Arial"/>
                <w:sz w:val="18"/>
                <w:szCs w:val="18"/>
                <w:color w:val="auto"/>
                <w:w w:val="91"/>
              </w:rPr>
              <w:t>Form of 2010 Amended and Restated Issuer Warrant Transaction Confirmation, dated June 6, 2007, between Integra LifeSciences Holdings</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4"/>
              </w:rPr>
              <w:t>Corporation and dealer (Incorporated by reference to Exhibit 10.3 to the Company’s Current Report on Form 8-K filed on June 12,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10.49</w:t>
            </w:r>
          </w:p>
        </w:tc>
        <w:tc>
          <w:tcPr>
            <w:tcW w:w="10440" w:type="dxa"/>
            <w:vAlign w:val="bottom"/>
          </w:tcPr>
          <w:p>
            <w:pPr>
              <w:ind w:left="240"/>
              <w:spacing w:after="0"/>
              <w:rPr>
                <w:sz w:val="20"/>
                <w:szCs w:val="20"/>
                <w:color w:val="auto"/>
              </w:rPr>
            </w:pPr>
            <w:r>
              <w:rPr>
                <w:rFonts w:ascii="Arial" w:cs="Arial" w:eastAsia="Arial" w:hAnsi="Arial"/>
                <w:sz w:val="18"/>
                <w:szCs w:val="18"/>
                <w:color w:val="auto"/>
                <w:w w:val="91"/>
              </w:rPr>
              <w:t>Form of 2012 Amended and Restated Issuer Warrant Transaction Confirmation, dated June 6, 2007, between Integra LifeSciences Holdings</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4"/>
              </w:rPr>
              <w:t>Corporation and dealer (Incorporated by reference to Exhibit 10.4 to the Company’s Current Report on Form 8-K filed on June 12,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10.50</w:t>
            </w:r>
          </w:p>
        </w:tc>
        <w:tc>
          <w:tcPr>
            <w:tcW w:w="10440" w:type="dxa"/>
            <w:vAlign w:val="bottom"/>
          </w:tcPr>
          <w:p>
            <w:pPr>
              <w:ind w:left="240"/>
              <w:spacing w:after="0"/>
              <w:rPr>
                <w:sz w:val="20"/>
                <w:szCs w:val="20"/>
                <w:color w:val="auto"/>
              </w:rPr>
            </w:pPr>
            <w:r>
              <w:rPr>
                <w:rFonts w:ascii="Arial" w:cs="Arial" w:eastAsia="Arial" w:hAnsi="Arial"/>
                <w:sz w:val="18"/>
                <w:szCs w:val="18"/>
                <w:color w:val="auto"/>
                <w:w w:val="96"/>
              </w:rPr>
              <w:t>Letter Agreement, dated June 9, 2011, between Deutsche Bank AG, London Branch and Integra LifeSciences Holdings Corporation,</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3"/>
              </w:rPr>
              <w:t>regarding the Base Call Option Transaction (Incorporated by reference to Exhibit 10.4 to the Company’s Form 8-K filed on June 15, 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10.51</w:t>
            </w:r>
          </w:p>
        </w:tc>
        <w:tc>
          <w:tcPr>
            <w:tcW w:w="10440" w:type="dxa"/>
            <w:vAlign w:val="bottom"/>
          </w:tcPr>
          <w:p>
            <w:pPr>
              <w:ind w:left="240"/>
              <w:spacing w:after="0"/>
              <w:rPr>
                <w:sz w:val="20"/>
                <w:szCs w:val="20"/>
                <w:color w:val="auto"/>
              </w:rPr>
            </w:pPr>
            <w:r>
              <w:rPr>
                <w:rFonts w:ascii="Arial" w:cs="Arial" w:eastAsia="Arial" w:hAnsi="Arial"/>
                <w:sz w:val="18"/>
                <w:szCs w:val="18"/>
                <w:color w:val="auto"/>
                <w:w w:val="92"/>
              </w:rPr>
              <w:t>Letter Agreement, dated June 9, 2011, between Royal Bank of Canada and Integra LifeSciences Holdings Corporation, regarding the Base</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Call Option Transaction (Incorporated by reference to Exhibit 10.8 to the Company’s Form 8-K filed on June 15, 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10.52</w:t>
            </w:r>
          </w:p>
        </w:tc>
        <w:tc>
          <w:tcPr>
            <w:tcW w:w="10440" w:type="dxa"/>
            <w:vAlign w:val="bottom"/>
          </w:tcPr>
          <w:p>
            <w:pPr>
              <w:ind w:left="240"/>
              <w:spacing w:after="0"/>
              <w:rPr>
                <w:sz w:val="20"/>
                <w:szCs w:val="20"/>
                <w:color w:val="auto"/>
              </w:rPr>
            </w:pPr>
            <w:r>
              <w:rPr>
                <w:rFonts w:ascii="Arial" w:cs="Arial" w:eastAsia="Arial" w:hAnsi="Arial"/>
                <w:sz w:val="18"/>
                <w:szCs w:val="18"/>
                <w:color w:val="auto"/>
                <w:w w:val="92"/>
              </w:rPr>
              <w:t>Letter Agreement, dated June 9, 2011, between The Royal Bank of Scotland plc and Integra LifeSciences Holdings Corporation, regarding</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the Base Call Option Transaction (Incorporated by reference to Exhibit 10.6 to the Company’s Form 8-K filed on June 15, 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10.53</w:t>
            </w:r>
          </w:p>
        </w:tc>
        <w:tc>
          <w:tcPr>
            <w:tcW w:w="10440" w:type="dxa"/>
            <w:vAlign w:val="bottom"/>
          </w:tcPr>
          <w:p>
            <w:pPr>
              <w:ind w:left="240"/>
              <w:spacing w:after="0"/>
              <w:rPr>
                <w:sz w:val="20"/>
                <w:szCs w:val="20"/>
                <w:color w:val="auto"/>
              </w:rPr>
            </w:pPr>
            <w:r>
              <w:rPr>
                <w:rFonts w:ascii="Arial" w:cs="Arial" w:eastAsia="Arial" w:hAnsi="Arial"/>
                <w:sz w:val="18"/>
                <w:szCs w:val="18"/>
                <w:color w:val="auto"/>
                <w:w w:val="93"/>
              </w:rPr>
              <w:t>Letter Agreement, dated June 9, 2011, between Wells Fargo Bank, National Association and Integra LifeSciences Holdings Corporation,</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3"/>
              </w:rPr>
              <w:t>regarding the Base Call Option Transaction (Incorporated by reference to Exhibit 10.2 to the Company’s Form 8-K filed on June 15, 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10.54</w:t>
            </w:r>
          </w:p>
        </w:tc>
        <w:tc>
          <w:tcPr>
            <w:tcW w:w="10440" w:type="dxa"/>
            <w:vAlign w:val="bottom"/>
          </w:tcPr>
          <w:p>
            <w:pPr>
              <w:ind w:left="240"/>
              <w:spacing w:after="0"/>
              <w:rPr>
                <w:sz w:val="20"/>
                <w:szCs w:val="20"/>
                <w:color w:val="auto"/>
              </w:rPr>
            </w:pPr>
            <w:r>
              <w:rPr>
                <w:rFonts w:ascii="Arial" w:cs="Arial" w:eastAsia="Arial" w:hAnsi="Arial"/>
                <w:sz w:val="18"/>
                <w:szCs w:val="18"/>
                <w:color w:val="auto"/>
                <w:w w:val="96"/>
              </w:rPr>
              <w:t>Letter Agreement, dated June 9, 2011, between Deutsche Bank AG, London Branch and Integra LifeSciences Holdings Corporation,</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5"/>
              </w:rPr>
              <w:t>regarding the Base Warrant Transaction (Incorporated by reference to Exhibit 10.3 to the Company’s Form 8-K filed on June 15, 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10.55</w:t>
            </w:r>
          </w:p>
        </w:tc>
        <w:tc>
          <w:tcPr>
            <w:tcW w:w="10440" w:type="dxa"/>
            <w:vAlign w:val="bottom"/>
          </w:tcPr>
          <w:p>
            <w:pPr>
              <w:ind w:left="240"/>
              <w:spacing w:after="0"/>
              <w:rPr>
                <w:sz w:val="20"/>
                <w:szCs w:val="20"/>
                <w:color w:val="auto"/>
              </w:rPr>
            </w:pPr>
            <w:r>
              <w:rPr>
                <w:rFonts w:ascii="Arial" w:cs="Arial" w:eastAsia="Arial" w:hAnsi="Arial"/>
                <w:sz w:val="18"/>
                <w:szCs w:val="18"/>
                <w:color w:val="auto"/>
                <w:w w:val="92"/>
              </w:rPr>
              <w:t>Letter Agreement, dated June 9, 2011, between Royal Bank of Canada and Integra LifeSciences Holdings Corporation, regarding the Base</w:t>
            </w:r>
          </w:p>
        </w:tc>
      </w:tr>
      <w:tr>
        <w:trPr>
          <w:trHeight w:val="230"/>
        </w:trPr>
        <w:tc>
          <w:tcPr>
            <w:tcW w:w="90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Warrant Transaction (Incorporated by reference to Exhibit 10.7 to the Company’s Form 8-K filed on June 15, 2011)</w:t>
            </w:r>
          </w:p>
        </w:tc>
      </w:tr>
    </w:tbl>
    <w:p>
      <w:pPr>
        <w:spacing w:after="0" w:line="200" w:lineRule="exact"/>
        <w:rPr>
          <w:sz w:val="20"/>
          <w:szCs w:val="20"/>
          <w:color w:val="auto"/>
        </w:rPr>
      </w:pPr>
    </w:p>
    <w:p>
      <w:pPr>
        <w:sectPr>
          <w:pgSz w:w="11900" w:h="16838" w:orient="portrait"/>
          <w:cols w:equalWidth="0" w:num="1">
            <w:col w:w="11340"/>
          </w:cols>
          <w:pgMar w:left="280" w:top="530" w:right="27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340"/>
          </w:cols>
          <w:pgMar w:left="280" w:top="530" w:right="27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10.56</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Letter Agreement, dated June 9, 2011, between The Royal Bank of Scotland plc and Integra LifeSciences Holdings Corporation, regarding</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the Base Warrant Transaction (Incorporated by reference to Exhibit 10.5 to the Company’s Form 8-K filed on June 15, 2011)</w:t>
            </w:r>
          </w:p>
        </w:tc>
      </w:tr>
      <w:tr>
        <w:trPr>
          <w:trHeight w:val="526"/>
        </w:trPr>
        <w:tc>
          <w:tcPr>
            <w:tcW w:w="880" w:type="dxa"/>
            <w:vAlign w:val="bottom"/>
          </w:tcPr>
          <w:p>
            <w:pPr>
              <w:spacing w:after="0"/>
              <w:rPr>
                <w:sz w:val="20"/>
                <w:szCs w:val="20"/>
                <w:color w:val="auto"/>
              </w:rPr>
            </w:pPr>
            <w:r>
              <w:rPr>
                <w:rFonts w:ascii="Arial" w:cs="Arial" w:eastAsia="Arial" w:hAnsi="Arial"/>
                <w:sz w:val="18"/>
                <w:szCs w:val="18"/>
                <w:color w:val="auto"/>
              </w:rPr>
              <w:t>10.57</w:t>
            </w:r>
          </w:p>
        </w:tc>
        <w:tc>
          <w:tcPr>
            <w:tcW w:w="10480" w:type="dxa"/>
            <w:vAlign w:val="bottom"/>
          </w:tcPr>
          <w:p>
            <w:pPr>
              <w:ind w:left="260"/>
              <w:spacing w:after="0"/>
              <w:rPr>
                <w:sz w:val="20"/>
                <w:szCs w:val="20"/>
                <w:color w:val="auto"/>
              </w:rPr>
            </w:pPr>
            <w:r>
              <w:rPr>
                <w:rFonts w:ascii="Arial" w:cs="Arial" w:eastAsia="Arial" w:hAnsi="Arial"/>
                <w:sz w:val="18"/>
                <w:szCs w:val="18"/>
                <w:color w:val="auto"/>
                <w:w w:val="94"/>
              </w:rPr>
              <w:t>Letter Agreement, dated June 9, 2011, between Wells Fargo Bank, National Association and Integra LifeSciences Holdings Corporation,</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5"/>
              </w:rPr>
              <w:t>regarding the Base Warrant Transaction (Incorporated by reference to Exhibit 10.1 to the Company’s Form 8-K filed on June 15,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10.58</w:t>
            </w:r>
          </w:p>
        </w:tc>
        <w:tc>
          <w:tcPr>
            <w:tcW w:w="10480" w:type="dxa"/>
            <w:vAlign w:val="bottom"/>
          </w:tcPr>
          <w:p>
            <w:pPr>
              <w:ind w:left="260"/>
              <w:spacing w:after="0"/>
              <w:rPr>
                <w:sz w:val="20"/>
                <w:szCs w:val="20"/>
                <w:color w:val="auto"/>
              </w:rPr>
            </w:pPr>
            <w:r>
              <w:rPr>
                <w:rFonts w:ascii="Arial" w:cs="Arial" w:eastAsia="Arial" w:hAnsi="Arial"/>
                <w:sz w:val="18"/>
                <w:szCs w:val="18"/>
                <w:color w:val="auto"/>
                <w:w w:val="95"/>
              </w:rPr>
              <w:t>Letter Agreement, dated June 14, 2011, between Deutsche Bank AG, London Branch and Integra LifeSciences Holdings Corporation,</w:t>
            </w:r>
          </w:p>
        </w:tc>
      </w:tr>
      <w:tr>
        <w:trPr>
          <w:trHeight w:val="216"/>
        </w:trPr>
        <w:tc>
          <w:tcPr>
            <w:tcW w:w="88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4"/>
              </w:rPr>
              <w:t>regarding the Additional Call Option Transaction (Incorporated by reference to Exhibit 10.9 to the Company’s Form 8-K filed on June 15,</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10.59</w:t>
            </w:r>
          </w:p>
        </w:tc>
        <w:tc>
          <w:tcPr>
            <w:tcW w:w="10480" w:type="dxa"/>
            <w:vAlign w:val="bottom"/>
          </w:tcPr>
          <w:p>
            <w:pPr>
              <w:ind w:left="260"/>
              <w:spacing w:after="0"/>
              <w:rPr>
                <w:sz w:val="20"/>
                <w:szCs w:val="20"/>
                <w:color w:val="auto"/>
              </w:rPr>
            </w:pPr>
            <w:r>
              <w:rPr>
                <w:rFonts w:ascii="Arial" w:cs="Arial" w:eastAsia="Arial" w:hAnsi="Arial"/>
                <w:sz w:val="18"/>
                <w:szCs w:val="18"/>
                <w:color w:val="auto"/>
                <w:w w:val="95"/>
              </w:rPr>
              <w:t>Letter Agreement, dated June 14, 2011, between Royal Bank of Canada and Integra LifeSciences Holdings Corporation, regarding the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8"/>
              </w:rPr>
              <w:t>Additional Call Option Transaction (Incorporated by reference to Exhibit 10.10 to the Company’s Form 8-K filed on June 15,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10.60</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Letter Agreement, dated June 14, 2011, between The Royal Bank of Scotland plc and Integra LifeSciences Holdings Corporation, regarding</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6"/>
              </w:rPr>
              <w:t>the Additional Call Option Transaction (Incorporated by reference to Exhibit 10.11 to the Company’s Form 8-K filed on June 15,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10.61</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Letter Agreement, dated June 14, 2011, between Wells Fargo Bank, National Association and Integra LifeSciences Holdings Corporation,</w:t>
            </w:r>
          </w:p>
        </w:tc>
      </w:tr>
      <w:tr>
        <w:trPr>
          <w:trHeight w:val="216"/>
        </w:trPr>
        <w:tc>
          <w:tcPr>
            <w:tcW w:w="88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regarding the Additional Call Option Transaction (Incorporated by reference to Exhibit 10.12 to the Company’s Form 8-K filed on June 15,</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10.62</w:t>
            </w:r>
          </w:p>
        </w:tc>
        <w:tc>
          <w:tcPr>
            <w:tcW w:w="10480" w:type="dxa"/>
            <w:vAlign w:val="bottom"/>
          </w:tcPr>
          <w:p>
            <w:pPr>
              <w:ind w:left="260"/>
              <w:spacing w:after="0"/>
              <w:rPr>
                <w:sz w:val="20"/>
                <w:szCs w:val="20"/>
                <w:color w:val="auto"/>
              </w:rPr>
            </w:pPr>
            <w:r>
              <w:rPr>
                <w:rFonts w:ascii="Arial" w:cs="Arial" w:eastAsia="Arial" w:hAnsi="Arial"/>
                <w:sz w:val="18"/>
                <w:szCs w:val="18"/>
                <w:color w:val="auto"/>
                <w:w w:val="95"/>
              </w:rPr>
              <w:t>Letter Agreement, dated June 14, 2011, between Deutsche Bank AG, London Branch and Integra LifeSciences Holdings Corporation,</w:t>
            </w:r>
          </w:p>
        </w:tc>
      </w:tr>
      <w:tr>
        <w:trPr>
          <w:trHeight w:val="216"/>
        </w:trPr>
        <w:tc>
          <w:tcPr>
            <w:tcW w:w="88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5"/>
              </w:rPr>
              <w:t>regarding the Additional Warrant Transaction (Incorporated by reference to Exhibit 10.13 to the Company’s Form 8-K filed on June 15,</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10.63</w:t>
            </w:r>
          </w:p>
        </w:tc>
        <w:tc>
          <w:tcPr>
            <w:tcW w:w="10480" w:type="dxa"/>
            <w:vAlign w:val="bottom"/>
          </w:tcPr>
          <w:p>
            <w:pPr>
              <w:ind w:left="260"/>
              <w:spacing w:after="0"/>
              <w:rPr>
                <w:sz w:val="20"/>
                <w:szCs w:val="20"/>
                <w:color w:val="auto"/>
              </w:rPr>
            </w:pPr>
            <w:r>
              <w:rPr>
                <w:rFonts w:ascii="Arial" w:cs="Arial" w:eastAsia="Arial" w:hAnsi="Arial"/>
                <w:sz w:val="18"/>
                <w:szCs w:val="18"/>
                <w:color w:val="auto"/>
                <w:w w:val="95"/>
              </w:rPr>
              <w:t>Letter Agreement, dated June 14, 2011, between Royal Bank of Canada and Integra LifeSciences Holdings Corporation, regarding the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Additional Warrant Transaction (Incorporated by reference to Exhibit 10.14 to the Company’s Form 8-K filed on June 15,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10.64</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Letter Agreement, dated June 14, 2011, between The Royal Bank of Scotland plc and Integra LifeSciences Holdings Corporation, regarding</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8"/>
              </w:rPr>
              <w:t>the Additional Warrant Transaction (Incorporated by reference to Exhibit 10.15 to the Company’s Form 8-K filed on June 15,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10.65</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Letter Agreement, dated June 14, 2011, between Wells Fargo Bank, National Association and Integra LifeSciences Holdings Corporation,</w:t>
            </w:r>
          </w:p>
        </w:tc>
      </w:tr>
      <w:tr>
        <w:trPr>
          <w:trHeight w:val="216"/>
        </w:trPr>
        <w:tc>
          <w:tcPr>
            <w:tcW w:w="88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5"/>
              </w:rPr>
              <w:t>regarding the Additional Warrant Transaction (Incorporated by reference to Exhibit 10.16 to the Company’s Form 8-K filed on June 15,</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10.66</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Unit Purchase Agreement, dated as of July 23, 2008, by and among Integra LifeSciences Holdings Corporation, Theken Spine LLC, Randall</w:t>
            </w:r>
          </w:p>
        </w:tc>
      </w:tr>
      <w:tr>
        <w:trPr>
          <w:trHeight w:val="216"/>
        </w:trPr>
        <w:tc>
          <w:tcPr>
            <w:tcW w:w="88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R. Theken and the other members of Theken Spine, LLC party thereto (Incorporated by reference to Exhibit 10.1 to the Company’s Current</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Report on Form 8-K filed on July 24,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10.67</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Form of Indemnification Agreement for Non-Employee Directors and Officers (Incorporated by reference to Exhibit 10.1 to the Company’s</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Current Report on Form 8-K filed on December 24,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10.68</w:t>
            </w:r>
          </w:p>
        </w:tc>
        <w:tc>
          <w:tcPr>
            <w:tcW w:w="10480" w:type="dxa"/>
            <w:vAlign w:val="bottom"/>
          </w:tcPr>
          <w:p>
            <w:pPr>
              <w:ind w:left="260"/>
              <w:spacing w:after="0"/>
              <w:rPr>
                <w:sz w:val="20"/>
                <w:szCs w:val="20"/>
                <w:color w:val="auto"/>
              </w:rPr>
            </w:pPr>
            <w:r>
              <w:rPr>
                <w:rFonts w:ascii="Arial" w:cs="Arial" w:eastAsia="Arial" w:hAnsi="Arial"/>
                <w:sz w:val="18"/>
                <w:szCs w:val="18"/>
                <w:color w:val="auto"/>
                <w:w w:val="96"/>
              </w:rPr>
              <w:t>Piggyback Registration Rights Agreement dated December 22, 2008 between Integra LifeSciences Holdings Corporation and George</w:t>
            </w:r>
          </w:p>
        </w:tc>
      </w:tr>
      <w:tr>
        <w:trPr>
          <w:trHeight w:val="216"/>
        </w:trPr>
        <w:tc>
          <w:tcPr>
            <w:tcW w:w="88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6"/>
              </w:rPr>
              <w:t>Heenan, Thomas Gilliam and Michael Evers, as trustees of The Bruce A. LeVahn 2008 Trust and Steven M. LeVahn (Incorporated by</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reference to Exhibit 10.1 to the Company’s Current Report on Form 8-K filed on December 29,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10.69(a)</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Lease Agreement between 109 Morgan Lane, LLC and Integra LifeSciences Corporation, dated May 15, 2008 (Incorporated by reference to</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Exhibit 10.10 to the Company’s Quarterly Report on Form 10-Q for the quarter ended June 30,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10.69(b)</w:t>
            </w:r>
          </w:p>
        </w:tc>
        <w:tc>
          <w:tcPr>
            <w:tcW w:w="10480" w:type="dxa"/>
            <w:vAlign w:val="bottom"/>
          </w:tcPr>
          <w:p>
            <w:pPr>
              <w:ind w:left="260"/>
              <w:spacing w:after="0"/>
              <w:rPr>
                <w:sz w:val="20"/>
                <w:szCs w:val="20"/>
                <w:color w:val="auto"/>
              </w:rPr>
            </w:pPr>
            <w:r>
              <w:rPr>
                <w:rFonts w:ascii="Arial" w:cs="Arial" w:eastAsia="Arial" w:hAnsi="Arial"/>
                <w:sz w:val="18"/>
                <w:szCs w:val="18"/>
                <w:color w:val="auto"/>
                <w:w w:val="97"/>
              </w:rPr>
              <w:t>First Amendment to Lease Agreement between 109 Morgan Lane, LLC and Integra LifeSciences Corporation, dated March 9, 2009</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8"/>
              </w:rPr>
              <w:t>(Incorporated by reference to Exhibit 10.9 to the Company’s Quarterly Report on Form 10-Q for the quarter ended March 31, 2009)</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10.69(c)</w:t>
            </w:r>
          </w:p>
        </w:tc>
        <w:tc>
          <w:tcPr>
            <w:tcW w:w="10480" w:type="dxa"/>
            <w:vAlign w:val="bottom"/>
          </w:tcPr>
          <w:p>
            <w:pPr>
              <w:ind w:left="260"/>
              <w:spacing w:after="0"/>
              <w:rPr>
                <w:sz w:val="20"/>
                <w:szCs w:val="20"/>
                <w:color w:val="auto"/>
              </w:rPr>
            </w:pPr>
            <w:r>
              <w:rPr>
                <w:rFonts w:ascii="Arial" w:cs="Arial" w:eastAsia="Arial" w:hAnsi="Arial"/>
                <w:sz w:val="18"/>
                <w:szCs w:val="18"/>
                <w:color w:val="auto"/>
                <w:w w:val="90"/>
              </w:rPr>
              <w:t>Lease Agreement dated as of July 1, 2013, between 109 Morgan Lane, LLC and Integra LifeSciences Corporation (Incorporated by reference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to Exhibit 10.1 to the Company's Current Report on Form 8-K filed on July 1, 2013)</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12.1</w:t>
            </w:r>
          </w:p>
        </w:tc>
        <w:tc>
          <w:tcPr>
            <w:tcW w:w="10480" w:type="dxa"/>
            <w:vAlign w:val="bottom"/>
          </w:tcPr>
          <w:p>
            <w:pPr>
              <w:ind w:left="260"/>
              <w:spacing w:after="0"/>
              <w:rPr>
                <w:sz w:val="20"/>
                <w:szCs w:val="20"/>
                <w:color w:val="auto"/>
              </w:rPr>
            </w:pPr>
            <w:r>
              <w:rPr>
                <w:rFonts w:ascii="Arial" w:cs="Arial" w:eastAsia="Arial" w:hAnsi="Arial"/>
                <w:sz w:val="18"/>
                <w:szCs w:val="18"/>
                <w:color w:val="auto"/>
                <w:w w:val="90"/>
              </w:rPr>
              <w:t>Statement Regarding the Computation of Ratio of Earnings to Fixed Charges and Preferred Share Dividends for the Years Ended 2008, 2009,</w:t>
            </w:r>
          </w:p>
        </w:tc>
      </w:tr>
      <w:tr>
        <w:trPr>
          <w:trHeight w:val="216"/>
        </w:trPr>
        <w:tc>
          <w:tcPr>
            <w:tcW w:w="88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6"/>
              </w:rPr>
              <w:t>2010, 2011 and 2012, and the Nine Months Ended September 30, 2013 (Incorporated by reference to Exhibit 12.1 to the Company’s</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Registration Statement on Form S-3 ASR filed November 4, 2013)</w:t>
            </w:r>
          </w:p>
        </w:tc>
      </w:tr>
      <w:tr>
        <w:trPr>
          <w:trHeight w:val="648"/>
        </w:trPr>
        <w:tc>
          <w:tcPr>
            <w:tcW w:w="880" w:type="dxa"/>
            <w:vAlign w:val="bottom"/>
          </w:tcPr>
          <w:p>
            <w:pPr>
              <w:spacing w:after="0"/>
              <w:rPr>
                <w:sz w:val="24"/>
                <w:szCs w:val="24"/>
                <w:color w:val="auto"/>
              </w:rPr>
            </w:pPr>
          </w:p>
        </w:tc>
        <w:tc>
          <w:tcPr>
            <w:tcW w:w="10480" w:type="dxa"/>
            <w:vAlign w:val="bottom"/>
          </w:tcPr>
          <w:p>
            <w:pPr>
              <w:ind w:left="4700"/>
              <w:spacing w:after="0"/>
              <w:rPr>
                <w:sz w:val="20"/>
                <w:szCs w:val="20"/>
                <w:color w:val="auto"/>
              </w:rPr>
            </w:pPr>
            <w:r>
              <w:rPr>
                <w:rFonts w:ascii="Arial" w:cs="Arial" w:eastAsia="Arial" w:hAnsi="Arial"/>
                <w:sz w:val="18"/>
                <w:szCs w:val="18"/>
                <w:color w:val="auto"/>
              </w:rPr>
              <w:t>58</w:t>
            </w:r>
          </w:p>
        </w:tc>
      </w:tr>
    </w:tbl>
    <w:p>
      <w:pPr>
        <w:sectPr>
          <w:pgSz w:w="11900" w:h="16838" w:orient="portrait"/>
          <w:cols w:equalWidth="0" w:num="1">
            <w:col w:w="11360"/>
          </w:cols>
          <w:pgMar w:left="280" w:top="692" w:right="259" w:bottom="1440" w:gutter="0" w:footer="0" w:header="0"/>
        </w:sectPr>
      </w:pPr>
    </w:p>
    <w:bookmarkStart w:id="58" w:name="page59"/>
    <w:bookmarkEnd w:id="58"/>
    <w:p>
      <w:pPr>
        <w:ind w:left="1180" w:hanging="1145"/>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Preferability Letter of Independent Public Accounting Firm dated July 31, 2012 (Incorporated by reference to Exhibit 18.1 to the Company’s Quarterly Report on Form 10-Q for the quarter ended June 30, 2012)</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21</w:t>
            </w:r>
          </w:p>
        </w:tc>
        <w:tc>
          <w:tcPr>
            <w:tcW w:w="10460" w:type="dxa"/>
            <w:vAlign w:val="bottom"/>
          </w:tcPr>
          <w:p>
            <w:pPr>
              <w:ind w:left="240"/>
              <w:spacing w:after="0"/>
              <w:rPr>
                <w:sz w:val="20"/>
                <w:szCs w:val="20"/>
                <w:color w:val="auto"/>
              </w:rPr>
            </w:pPr>
            <w:r>
              <w:rPr>
                <w:rFonts w:ascii="Arial" w:cs="Arial" w:eastAsia="Arial" w:hAnsi="Arial"/>
                <w:sz w:val="18"/>
                <w:szCs w:val="18"/>
                <w:color w:val="auto"/>
              </w:rPr>
              <w:t>Subsidiaries of the Company+</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23</w:t>
            </w:r>
          </w:p>
        </w:tc>
        <w:tc>
          <w:tcPr>
            <w:tcW w:w="10460" w:type="dxa"/>
            <w:vAlign w:val="bottom"/>
          </w:tcPr>
          <w:p>
            <w:pPr>
              <w:ind w:left="240"/>
              <w:spacing w:after="0"/>
              <w:rPr>
                <w:sz w:val="20"/>
                <w:szCs w:val="20"/>
                <w:color w:val="auto"/>
              </w:rPr>
            </w:pPr>
            <w:r>
              <w:rPr>
                <w:rFonts w:ascii="Arial" w:cs="Arial" w:eastAsia="Arial" w:hAnsi="Arial"/>
                <w:sz w:val="18"/>
                <w:szCs w:val="18"/>
                <w:color w:val="auto"/>
              </w:rPr>
              <w:t>Consent of Pricewaterhouse Coopers LLP+</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460" w:type="dxa"/>
            <w:vAlign w:val="bottom"/>
          </w:tcPr>
          <w:p>
            <w:pPr>
              <w:ind w:left="2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460" w:type="dxa"/>
            <w:vAlign w:val="bottom"/>
          </w:tcPr>
          <w:p>
            <w:pPr>
              <w:ind w:left="2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460" w:type="dxa"/>
            <w:vAlign w:val="bottom"/>
          </w:tcPr>
          <w:p>
            <w:pPr>
              <w:ind w:left="24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460" w:type="dxa"/>
            <w:vAlign w:val="bottom"/>
          </w:tcPr>
          <w:p>
            <w:pPr>
              <w:ind w:left="24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99.1</w:t>
            </w:r>
          </w:p>
        </w:tc>
        <w:tc>
          <w:tcPr>
            <w:tcW w:w="10460" w:type="dxa"/>
            <w:vAlign w:val="bottom"/>
          </w:tcPr>
          <w:p>
            <w:pPr>
              <w:ind w:left="240"/>
              <w:spacing w:after="0"/>
              <w:rPr>
                <w:sz w:val="20"/>
                <w:szCs w:val="20"/>
                <w:color w:val="auto"/>
              </w:rPr>
            </w:pPr>
            <w:r>
              <w:rPr>
                <w:rFonts w:ascii="Arial" w:cs="Arial" w:eastAsia="Arial" w:hAnsi="Arial"/>
                <w:sz w:val="18"/>
                <w:szCs w:val="18"/>
                <w:color w:val="auto"/>
                <w:w w:val="93"/>
              </w:rPr>
              <w:t>Letter, dated December 21, 2011, from the United States Food and Drug Administration to Integra LifeSciences Corporation (Incorporated</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by reference to Exhibit 99.1 to the Company’s Current Report on Form 8-K filed on January 5,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99.2</w:t>
            </w:r>
          </w:p>
        </w:tc>
        <w:tc>
          <w:tcPr>
            <w:tcW w:w="10460" w:type="dxa"/>
            <w:vAlign w:val="bottom"/>
          </w:tcPr>
          <w:p>
            <w:pPr>
              <w:ind w:left="240"/>
              <w:spacing w:after="0"/>
              <w:rPr>
                <w:sz w:val="20"/>
                <w:szCs w:val="20"/>
                <w:color w:val="auto"/>
              </w:rPr>
            </w:pPr>
            <w:r>
              <w:rPr>
                <w:rFonts w:ascii="Arial" w:cs="Arial" w:eastAsia="Arial" w:hAnsi="Arial"/>
                <w:sz w:val="18"/>
                <w:szCs w:val="18"/>
                <w:color w:val="auto"/>
                <w:w w:val="99"/>
              </w:rPr>
              <w:t>Food and Drug Administration Form FDA-483, dated July 30, 2012, relating to inspection of Plainsboro, NJ manufacturing facility</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w w:val="99"/>
              </w:rPr>
              <w:t>(Incorporated by reference to Exhibit 99.1 to the Company’s Quarterly Report on Form 10-Q for the quarter ended June 30,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99.3</w:t>
            </w:r>
          </w:p>
        </w:tc>
        <w:tc>
          <w:tcPr>
            <w:tcW w:w="10460" w:type="dxa"/>
            <w:vAlign w:val="bottom"/>
          </w:tcPr>
          <w:p>
            <w:pPr>
              <w:ind w:left="240"/>
              <w:spacing w:after="0"/>
              <w:rPr>
                <w:sz w:val="20"/>
                <w:szCs w:val="20"/>
                <w:color w:val="auto"/>
              </w:rPr>
            </w:pPr>
            <w:r>
              <w:rPr>
                <w:rFonts w:ascii="Arial" w:cs="Arial" w:eastAsia="Arial" w:hAnsi="Arial"/>
                <w:sz w:val="18"/>
                <w:szCs w:val="18"/>
                <w:color w:val="auto"/>
                <w:w w:val="95"/>
              </w:rPr>
              <w:t>Letter, dated November 1, 2012, from the United States Food and Drug Administration to Integra NeuroSciences Ltd. (Incorporated by</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reference to Exhibit 99.1 to the Company’s Current Report on Form 8-K filed on November 13, 2012)</w:t>
            </w:r>
          </w:p>
        </w:tc>
      </w:tr>
      <w:tr>
        <w:trPr>
          <w:trHeight w:val="256"/>
        </w:trPr>
        <w:tc>
          <w:tcPr>
            <w:tcW w:w="900" w:type="dxa"/>
            <w:vAlign w:val="bottom"/>
          </w:tcPr>
          <w:p>
            <w:pPr>
              <w:spacing w:after="0"/>
              <w:rPr>
                <w:sz w:val="20"/>
                <w:szCs w:val="20"/>
                <w:color w:val="auto"/>
              </w:rPr>
            </w:pPr>
            <w:r>
              <w:rPr>
                <w:rFonts w:ascii="Arial" w:cs="Arial" w:eastAsia="Arial" w:hAnsi="Arial"/>
                <w:sz w:val="18"/>
                <w:szCs w:val="18"/>
                <w:color w:val="auto"/>
              </w:rPr>
              <w:t>99.4</w:t>
            </w:r>
          </w:p>
        </w:tc>
        <w:tc>
          <w:tcPr>
            <w:tcW w:w="10460" w:type="dxa"/>
            <w:vAlign w:val="bottom"/>
          </w:tcPr>
          <w:p>
            <w:pPr>
              <w:ind w:left="240"/>
              <w:spacing w:after="0"/>
              <w:rPr>
                <w:sz w:val="20"/>
                <w:szCs w:val="20"/>
                <w:color w:val="auto"/>
              </w:rPr>
            </w:pPr>
            <w:r>
              <w:rPr>
                <w:rFonts w:ascii="Arial" w:cs="Arial" w:eastAsia="Arial" w:hAnsi="Arial"/>
                <w:sz w:val="18"/>
                <w:szCs w:val="18"/>
                <w:color w:val="auto"/>
                <w:w w:val="93"/>
              </w:rPr>
              <w:t>Letter, dated February 13, 2013, from the United States Federal Drug Administration to Integra LifeSciences Corporation (Incorporated by</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reference to Exhibit 99.1 to the Company’s Current Report on Form 8-K filed on February 19, 2013)</w:t>
            </w:r>
          </w:p>
        </w:tc>
      </w:tr>
      <w:tr>
        <w:trPr>
          <w:trHeight w:val="256"/>
        </w:trPr>
        <w:tc>
          <w:tcPr>
            <w:tcW w:w="900" w:type="dxa"/>
            <w:vAlign w:val="bottom"/>
          </w:tcPr>
          <w:p>
            <w:pPr>
              <w:spacing w:after="0"/>
              <w:rPr>
                <w:sz w:val="20"/>
                <w:szCs w:val="20"/>
                <w:color w:val="auto"/>
              </w:rPr>
            </w:pPr>
            <w:r>
              <w:rPr>
                <w:rFonts w:ascii="Arial" w:cs="Arial" w:eastAsia="Arial" w:hAnsi="Arial"/>
                <w:sz w:val="18"/>
                <w:szCs w:val="18"/>
                <w:color w:val="auto"/>
              </w:rPr>
              <w:t>99.5</w:t>
            </w:r>
          </w:p>
        </w:tc>
        <w:tc>
          <w:tcPr>
            <w:tcW w:w="10460" w:type="dxa"/>
            <w:vAlign w:val="bottom"/>
          </w:tcPr>
          <w:p>
            <w:pPr>
              <w:ind w:left="240"/>
              <w:spacing w:after="0"/>
              <w:rPr>
                <w:sz w:val="20"/>
                <w:szCs w:val="20"/>
                <w:color w:val="auto"/>
              </w:rPr>
            </w:pPr>
            <w:r>
              <w:rPr>
                <w:rFonts w:ascii="Arial" w:cs="Arial" w:eastAsia="Arial" w:hAnsi="Arial"/>
                <w:sz w:val="18"/>
                <w:szCs w:val="18"/>
                <w:color w:val="auto"/>
                <w:w w:val="91"/>
              </w:rPr>
              <w:t>Letter, dated September 24, 2013, from the United States Federal Drug Administration to Integra LifeSciences Corporation (Incorporated by</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reference to Exhibit 99.1 to the Company’s Current Report on Form 8-K filed on September 27, 2013)</w:t>
            </w:r>
          </w:p>
        </w:tc>
      </w:tr>
      <w:tr>
        <w:trPr>
          <w:trHeight w:val="256"/>
        </w:trPr>
        <w:tc>
          <w:tcPr>
            <w:tcW w:w="900" w:type="dxa"/>
            <w:vAlign w:val="bottom"/>
          </w:tcPr>
          <w:p>
            <w:pPr>
              <w:spacing w:after="0"/>
              <w:rPr>
                <w:sz w:val="20"/>
                <w:szCs w:val="20"/>
                <w:color w:val="auto"/>
              </w:rPr>
            </w:pPr>
            <w:r>
              <w:rPr>
                <w:rFonts w:ascii="Arial" w:cs="Arial" w:eastAsia="Arial" w:hAnsi="Arial"/>
                <w:sz w:val="18"/>
                <w:szCs w:val="18"/>
                <w:color w:val="auto"/>
              </w:rPr>
              <w:t>99.6</w:t>
            </w:r>
          </w:p>
        </w:tc>
        <w:tc>
          <w:tcPr>
            <w:tcW w:w="10460" w:type="dxa"/>
            <w:vAlign w:val="bottom"/>
          </w:tcPr>
          <w:p>
            <w:pPr>
              <w:ind w:left="240"/>
              <w:spacing w:after="0"/>
              <w:rPr>
                <w:sz w:val="20"/>
                <w:szCs w:val="20"/>
                <w:color w:val="auto"/>
              </w:rPr>
            </w:pPr>
            <w:r>
              <w:rPr>
                <w:rFonts w:ascii="Arial" w:cs="Arial" w:eastAsia="Arial" w:hAnsi="Arial"/>
                <w:sz w:val="18"/>
                <w:szCs w:val="18"/>
                <w:color w:val="auto"/>
                <w:w w:val="92"/>
              </w:rPr>
              <w:t>Food and Drug Administration Form FDA-483, dated November 26, 2013, relating to the inspection of the Añasco Facility (Incorporated by</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reference to Exhibit 99.1 to the Company’s Current Report on Form 8-K filed on December 3, 2013)</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Definition Linkbase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40" w:right="5980" w:hanging="5"/>
        <w:spacing w:after="0" w:line="497" w:lineRule="auto"/>
        <w:tabs>
          <w:tab w:leader="none" w:pos="27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Indicates a management contract or compensatory plan or arrangement. + Indicates this document is filed as an exhibit herewith.</w:t>
      </w:r>
    </w:p>
    <w:p>
      <w:pPr>
        <w:spacing w:after="0" w:line="1" w:lineRule="exact"/>
        <w:rPr>
          <w:sz w:val="20"/>
          <w:szCs w:val="20"/>
          <w:color w:val="auto"/>
        </w:rPr>
      </w:pPr>
    </w:p>
    <w:p>
      <w:pPr>
        <w:jc w:val="both"/>
        <w:ind w:left="260" w:right="20" w:hanging="225"/>
        <w:spacing w:after="0" w:line="257" w:lineRule="auto"/>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Annual Report on Form 10-K for the year ended December 31, 2013 filed on February 26, 2014 formatted in XBRL (Extensible Business Reporting Language): (i) the Consolidated Statements of Operations, (ii) the Consolidated Statement of Comprehensive Income (Loss), (iii) the Consolidated Balance Sheets, (iv) Parenthetical Data to the Consolidated Balance Sheets, (v) the Consolidated Statements of Cash Flows, (vi) the Consolidated Statements of Changes in Stockholders’ Equity, and (vii) Notes to Consolidated Financial Statements, is furnished electronically herewith.</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Commission File Number for Reports on Form 10-K, Form 10-Q and Form 8-K is 0-26224.</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530" w:right="259" w:bottom="1440" w:gutter="0" w:footer="0" w:header="0"/>
        </w:sectPr>
      </w:pPr>
    </w:p>
    <w:bookmarkStart w:id="59" w:name="page60"/>
    <w:bookmarkEnd w:id="59"/>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INTEGRA LIFESCIENCES HOLDINGS</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CORPORATION</w:t>
      </w:r>
    </w:p>
    <w:p>
      <w:pPr>
        <w:spacing w:after="0" w:line="373" w:lineRule="exact"/>
        <w:rPr>
          <w:sz w:val="20"/>
          <w:szCs w:val="20"/>
          <w:color w:val="auto"/>
        </w:rPr>
      </w:pPr>
    </w:p>
    <w:p>
      <w:pPr>
        <w:ind w:left="3420"/>
        <w:spacing w:after="0"/>
        <w:tabs>
          <w:tab w:leader="none" w:pos="3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31750</wp:posOffset>
            </wp:positionV>
            <wp:extent cx="2941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2014</w:t>
      </w: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00"/>
          </w:cols>
          <w:pgMar w:left="240" w:top="1202" w:right="359" w:bottom="1440" w:gutter="0" w:footer="0" w:header="0"/>
        </w:sectPr>
      </w:pPr>
    </w:p>
    <w:bookmarkStart w:id="60" w:name="page61"/>
    <w:bookmarkEnd w:id="60"/>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60" w:type="dxa"/>
            <w:vAlign w:val="bottom"/>
          </w:tcPr>
          <w:p>
            <w:pPr>
              <w:spacing w:after="0"/>
              <w:rPr>
                <w:sz w:val="16"/>
                <w:szCs w:val="16"/>
                <w:color w:val="auto"/>
              </w:rPr>
            </w:pPr>
          </w:p>
        </w:tc>
        <w:tc>
          <w:tcPr>
            <w:tcW w:w="2520" w:type="dxa"/>
            <w:vAlign w:val="bottom"/>
            <w:gridSpan w:val="2"/>
          </w:tcPr>
          <w:p>
            <w:pPr>
              <w:jc w:val="center"/>
              <w:ind w:right="1860"/>
              <w:spacing w:after="0"/>
              <w:rPr>
                <w:sz w:val="20"/>
                <w:szCs w:val="20"/>
                <w:color w:val="auto"/>
              </w:rPr>
            </w:pPr>
            <w:r>
              <w:rPr>
                <w:rFonts w:ascii="Arial" w:cs="Arial" w:eastAsia="Arial" w:hAnsi="Arial"/>
                <w:sz w:val="16"/>
                <w:szCs w:val="16"/>
                <w:b w:val="1"/>
                <w:bCs w:val="1"/>
                <w:color w:val="auto"/>
                <w:w w:val="89"/>
              </w:rPr>
              <w:t>Signature</w:t>
            </w:r>
          </w:p>
        </w:tc>
        <w:tc>
          <w:tcPr>
            <w:tcW w:w="4280" w:type="dxa"/>
            <w:vAlign w:val="bottom"/>
            <w:gridSpan w:val="3"/>
          </w:tcPr>
          <w:p>
            <w:pPr>
              <w:jc w:val="center"/>
              <w:ind w:left="111"/>
              <w:spacing w:after="0"/>
              <w:rPr>
                <w:sz w:val="20"/>
                <w:szCs w:val="20"/>
                <w:color w:val="auto"/>
              </w:rPr>
            </w:pPr>
            <w:r>
              <w:rPr>
                <w:rFonts w:ascii="Arial" w:cs="Arial" w:eastAsia="Arial" w:hAnsi="Arial"/>
                <w:sz w:val="16"/>
                <w:szCs w:val="16"/>
                <w:b w:val="1"/>
                <w:bCs w:val="1"/>
                <w:color w:val="auto"/>
                <w:w w:val="97"/>
              </w:rPr>
              <w:t>Title</w:t>
            </w:r>
          </w:p>
        </w:tc>
        <w:tc>
          <w:tcPr>
            <w:tcW w:w="1200" w:type="dxa"/>
            <w:vAlign w:val="bottom"/>
          </w:tcPr>
          <w:p>
            <w:pPr>
              <w:spacing w:after="0"/>
              <w:rPr>
                <w:sz w:val="16"/>
                <w:szCs w:val="16"/>
                <w:color w:val="auto"/>
              </w:rPr>
            </w:pPr>
          </w:p>
        </w:tc>
        <w:tc>
          <w:tcPr>
            <w:tcW w:w="340" w:type="dxa"/>
            <w:vAlign w:val="bottom"/>
            <w:gridSpan w:val="2"/>
          </w:tcPr>
          <w:p>
            <w:pP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/s/ Peter J. Arduini</w:t>
            </w:r>
          </w:p>
        </w:tc>
        <w:tc>
          <w:tcPr>
            <w:tcW w:w="4280" w:type="dxa"/>
            <w:vAlign w:val="bottom"/>
            <w:gridSpan w:val="3"/>
          </w:tcPr>
          <w:p>
            <w:pPr>
              <w:jc w:val="center"/>
              <w:ind w:left="111"/>
              <w:spacing w:after="0"/>
              <w:rPr>
                <w:sz w:val="20"/>
                <w:szCs w:val="20"/>
                <w:color w:val="auto"/>
              </w:rPr>
            </w:pPr>
            <w:r>
              <w:rPr>
                <w:rFonts w:ascii="Arial" w:cs="Arial" w:eastAsia="Arial" w:hAnsi="Arial"/>
                <w:sz w:val="18"/>
                <w:szCs w:val="18"/>
                <w:color w:val="auto"/>
                <w:w w:val="92"/>
              </w:rPr>
              <w:t>President and Chief Executive Officer,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26, 2014</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2"/>
              </w:rPr>
              <w:t>Peter J. Arduini</w:t>
            </w:r>
          </w:p>
        </w:tc>
        <w:tc>
          <w:tcPr>
            <w:tcW w:w="4280" w:type="dxa"/>
            <w:vAlign w:val="bottom"/>
            <w:gridSpan w:val="3"/>
          </w:tcPr>
          <w:p>
            <w:pPr>
              <w:jc w:val="center"/>
              <w:ind w:left="111"/>
              <w:spacing w:after="0"/>
              <w:rPr>
                <w:sz w:val="20"/>
                <w:szCs w:val="20"/>
                <w:color w:val="auto"/>
              </w:rPr>
            </w:pPr>
            <w:r>
              <w:rPr>
                <w:rFonts w:ascii="Arial" w:cs="Arial" w:eastAsia="Arial" w:hAnsi="Arial"/>
                <w:sz w:val="18"/>
                <w:szCs w:val="18"/>
                <w:color w:val="auto"/>
                <w:w w:val="93"/>
              </w:rPr>
              <w:t>and Director (Principal Executive Officer)</w:t>
            </w: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/s/ John B. Henneman, III</w:t>
            </w:r>
          </w:p>
        </w:tc>
        <w:tc>
          <w:tcPr>
            <w:tcW w:w="4280" w:type="dxa"/>
            <w:vAlign w:val="bottom"/>
            <w:gridSpan w:val="3"/>
          </w:tcPr>
          <w:p>
            <w:pPr>
              <w:jc w:val="center"/>
              <w:ind w:left="111"/>
              <w:spacing w:after="0"/>
              <w:rPr>
                <w:sz w:val="20"/>
                <w:szCs w:val="20"/>
                <w:color w:val="auto"/>
              </w:rPr>
            </w:pPr>
            <w:r>
              <w:rPr>
                <w:rFonts w:ascii="Arial" w:cs="Arial" w:eastAsia="Arial" w:hAnsi="Arial"/>
                <w:sz w:val="18"/>
                <w:szCs w:val="18"/>
                <w:color w:val="auto"/>
                <w:w w:val="88"/>
              </w:rPr>
              <w:t>Corporate Vice President, Finance and</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26, 2014</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280" w:type="dxa"/>
            <w:vAlign w:val="bottom"/>
            <w:gridSpan w:val="3"/>
            <w:vMerge w:val="restart"/>
          </w:tcPr>
          <w:p>
            <w:pPr>
              <w:jc w:val="center"/>
              <w:ind w:left="111"/>
              <w:spacing w:after="0"/>
              <w:rPr>
                <w:sz w:val="20"/>
                <w:szCs w:val="20"/>
                <w:color w:val="auto"/>
              </w:rPr>
            </w:pPr>
            <w:r>
              <w:rPr>
                <w:rFonts w:ascii="Arial" w:cs="Arial" w:eastAsia="Arial" w:hAnsi="Arial"/>
                <w:sz w:val="18"/>
                <w:szCs w:val="18"/>
                <w:color w:val="auto"/>
                <w:w w:val="94"/>
              </w:rPr>
              <w:t>Administration, and Chief Financial Officer</w:t>
            </w: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1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280" w:type="dxa"/>
            <w:vAlign w:val="bottom"/>
            <w:gridSpan w:val="3"/>
            <w:vMerge w:val="continue"/>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380" w:type="dxa"/>
            <w:vAlign w:val="bottom"/>
            <w:gridSpan w:val="3"/>
            <w:vMerge w:val="restart"/>
          </w:tcPr>
          <w:p>
            <w:pPr>
              <w:jc w:val="center"/>
              <w:spacing w:after="0"/>
              <w:rPr>
                <w:sz w:val="20"/>
                <w:szCs w:val="20"/>
                <w:color w:val="auto"/>
              </w:rPr>
            </w:pPr>
            <w:r>
              <w:rPr>
                <w:rFonts w:ascii="Arial" w:cs="Arial" w:eastAsia="Arial" w:hAnsi="Arial"/>
                <w:sz w:val="18"/>
                <w:szCs w:val="18"/>
                <w:color w:val="auto"/>
                <w:w w:val="92"/>
              </w:rPr>
              <w:t>John B. Henneman, III</w:t>
            </w:r>
          </w:p>
        </w:tc>
        <w:tc>
          <w:tcPr>
            <w:tcW w:w="4280" w:type="dxa"/>
            <w:vAlign w:val="bottom"/>
            <w:gridSpan w:val="3"/>
          </w:tcPr>
          <w:p>
            <w:pPr>
              <w:jc w:val="center"/>
              <w:ind w:left="111"/>
              <w:spacing w:after="0"/>
              <w:rPr>
                <w:sz w:val="20"/>
                <w:szCs w:val="20"/>
                <w:color w:val="auto"/>
              </w:rPr>
            </w:pPr>
            <w:r>
              <w:rPr>
                <w:rFonts w:ascii="Arial" w:cs="Arial" w:eastAsia="Arial" w:hAnsi="Arial"/>
                <w:sz w:val="18"/>
                <w:szCs w:val="18"/>
                <w:color w:val="auto"/>
                <w:w w:val="94"/>
              </w:rPr>
              <w:t>(Principal Financial Officer)</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380" w:type="dxa"/>
            <w:vAlign w:val="bottom"/>
            <w:gridSpan w:val="3"/>
            <w:vMerge w:val="continue"/>
          </w:tcPr>
          <w:p>
            <w:pPr>
              <w:spacing w:after="0"/>
              <w:rPr>
                <w:sz w:val="7"/>
                <w:szCs w:val="7"/>
                <w:color w:val="auto"/>
              </w:rPr>
            </w:pPr>
          </w:p>
        </w:tc>
        <w:tc>
          <w:tcPr>
            <w:tcW w:w="20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/s/ Jerry E. Corbin</w:t>
            </w:r>
          </w:p>
        </w:tc>
        <w:tc>
          <w:tcPr>
            <w:tcW w:w="4280" w:type="dxa"/>
            <w:vAlign w:val="bottom"/>
            <w:gridSpan w:val="3"/>
          </w:tcPr>
          <w:p>
            <w:pPr>
              <w:jc w:val="center"/>
              <w:ind w:left="111"/>
              <w:spacing w:after="0"/>
              <w:rPr>
                <w:sz w:val="20"/>
                <w:szCs w:val="20"/>
                <w:color w:val="auto"/>
              </w:rPr>
            </w:pPr>
            <w:r>
              <w:rPr>
                <w:rFonts w:ascii="Arial" w:cs="Arial" w:eastAsia="Arial" w:hAnsi="Arial"/>
                <w:sz w:val="18"/>
                <w:szCs w:val="18"/>
                <w:color w:val="auto"/>
                <w:w w:val="91"/>
              </w:rPr>
              <w:t>Corporate Vice President and Corporate Controller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26, 2014</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Jerry E. Corbin</w:t>
            </w:r>
          </w:p>
        </w:tc>
        <w:tc>
          <w:tcPr>
            <w:tcW w:w="4280" w:type="dxa"/>
            <w:vAlign w:val="bottom"/>
            <w:gridSpan w:val="3"/>
          </w:tcPr>
          <w:p>
            <w:pPr>
              <w:jc w:val="center"/>
              <w:ind w:left="111"/>
              <w:spacing w:after="0"/>
              <w:rPr>
                <w:sz w:val="20"/>
                <w:szCs w:val="20"/>
                <w:color w:val="auto"/>
              </w:rPr>
            </w:pPr>
            <w:r>
              <w:rPr>
                <w:rFonts w:ascii="Arial" w:cs="Arial" w:eastAsia="Arial" w:hAnsi="Arial"/>
                <w:sz w:val="18"/>
                <w:szCs w:val="18"/>
                <w:color w:val="auto"/>
                <w:w w:val="94"/>
              </w:rPr>
              <w:t>(Principal Accounting Officer)</w:t>
            </w: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0"/>
              </w:rPr>
              <w:t>/s/ Stuart M. Essig, Ph.D.</w:t>
            </w:r>
          </w:p>
        </w:tc>
        <w:tc>
          <w:tcPr>
            <w:tcW w:w="4280" w:type="dxa"/>
            <w:vAlign w:val="bottom"/>
            <w:gridSpan w:val="3"/>
          </w:tcPr>
          <w:p>
            <w:pPr>
              <w:jc w:val="center"/>
              <w:ind w:left="111"/>
              <w:spacing w:after="0"/>
              <w:rPr>
                <w:sz w:val="20"/>
                <w:szCs w:val="20"/>
                <w:color w:val="auto"/>
              </w:rPr>
            </w:pPr>
            <w:r>
              <w:rPr>
                <w:rFonts w:ascii="Arial" w:cs="Arial" w:eastAsia="Arial" w:hAnsi="Arial"/>
                <w:sz w:val="18"/>
                <w:szCs w:val="18"/>
                <w:color w:val="auto"/>
                <w:w w:val="90"/>
              </w:rPr>
              <w:t>Chairman of the Board</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26, 2014</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Stuart M. Essig, Ph.D.</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/s/ Keith Bradley, Ph.D.</w:t>
            </w:r>
          </w:p>
        </w:tc>
        <w:tc>
          <w:tcPr>
            <w:tcW w:w="428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26, 2014</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2"/>
              </w:rPr>
              <w:t>Keith Bradley, Ph.D.</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38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/s/ Richard E. Caruso, Ph.D.</w:t>
            </w:r>
          </w:p>
        </w:tc>
        <w:tc>
          <w:tcPr>
            <w:tcW w:w="428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26, 2014</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0"/>
              </w:rPr>
              <w:t>Richard E. Caruso, Ph.D.</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/s/ Barbara B. Hill</w:t>
            </w:r>
          </w:p>
        </w:tc>
        <w:tc>
          <w:tcPr>
            <w:tcW w:w="428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26, 2014</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4"/>
              </w:rPr>
              <w:t>Barbara B. Hill</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/s/ Lloyd W. Howell, Jr.</w:t>
            </w:r>
          </w:p>
        </w:tc>
        <w:tc>
          <w:tcPr>
            <w:tcW w:w="428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26, 2014</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4"/>
              </w:rPr>
              <w:t>Lloyd W. Howell, Jr.</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/s/ Donald E. Morel, Jr.,Ph.D.</w:t>
            </w:r>
          </w:p>
        </w:tc>
        <w:tc>
          <w:tcPr>
            <w:tcW w:w="428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26, 2014</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2"/>
              </w:rPr>
              <w:t>Donald E. Morel, Jr., Ph.D.</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/s/ Raymond G. Murphy</w:t>
            </w:r>
          </w:p>
        </w:tc>
        <w:tc>
          <w:tcPr>
            <w:tcW w:w="428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26, 2014</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2"/>
              </w:rPr>
              <w:t>Raymond G. Murphy</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88"/>
              </w:rPr>
              <w:t>/s/ Christian S. Schade</w:t>
            </w:r>
          </w:p>
        </w:tc>
        <w:tc>
          <w:tcPr>
            <w:tcW w:w="428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26, 2014</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89"/>
              </w:rPr>
              <w:t>Christian S. Schade</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0"/>
              </w:rPr>
              <w:t>/s/ James M. Sullivan</w:t>
            </w:r>
          </w:p>
        </w:tc>
        <w:tc>
          <w:tcPr>
            <w:tcW w:w="428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26, 2014</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Arial" w:cs="Arial" w:eastAsia="Arial" w:hAnsi="Arial"/>
                <w:sz w:val="18"/>
                <w:szCs w:val="18"/>
                <w:color w:val="auto"/>
                <w:w w:val="91"/>
              </w:rPr>
              <w:t>James M. Sullivan</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44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00"/>
          </w:cols>
          <w:pgMar w:left="240" w:top="449" w:right="259" w:bottom="1440" w:gutter="0" w:footer="0" w:header="0"/>
          <w:type w:val="continuous"/>
        </w:sectPr>
      </w:pPr>
    </w:p>
    <w:bookmarkStart w:id="61" w:name="page62"/>
    <w:bookmarkEnd w:id="61"/>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Integra LifeSciences Holdings Corporation:</w:t>
      </w:r>
    </w:p>
    <w:p>
      <w:pPr>
        <w:spacing w:after="0" w:line="200" w:lineRule="exact"/>
        <w:rPr>
          <w:sz w:val="20"/>
          <w:szCs w:val="20"/>
          <w:color w:val="auto"/>
        </w:rPr>
      </w:pPr>
    </w:p>
    <w:p>
      <w:pPr>
        <w:spacing w:after="0" w:line="34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our opinion, the consolidated balance sheets and the related consolidated statements of operations, comprehensive income, changes in stockholders' equity and cash flows present fairly, in all material respects, the financial position of Integra LifeSciences Holdings Corporation and its subsidiaries at December 31, 2013 and 2012 and the results of their operations and their cash flows for each of the three years in the period ended December 31, 2013 in conformity with accounting principles generally accepted in the United States of America. In addition, in our opinion, the financial statement Schedule II - Valuation and Qualifying Accounts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2013,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(1992)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3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2014</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w:t>
      </w:r>
    </w:p>
    <w:p>
      <w:pPr>
        <w:sectPr>
          <w:pgSz w:w="11900" w:h="16838" w:orient="portrait"/>
          <w:cols w:equalWidth="0" w:num="1">
            <w:col w:w="11420"/>
          </w:cols>
          <w:pgMar w:left="240" w:top="66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2"/>
              </w:rPr>
              <w:t>Years Ended December 31,</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r>
      <w:tr>
        <w:trPr>
          <w:trHeight w:val="250"/>
        </w:trPr>
        <w:tc>
          <w:tcPr>
            <w:tcW w:w="6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9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1"/>
              </w:rPr>
              <w:t>(In thousands, except per share amounts)</w:t>
            </w:r>
          </w:p>
        </w:tc>
        <w:tc>
          <w:tcPr>
            <w:tcW w:w="1060" w:type="dxa"/>
            <w:vAlign w:val="bottom"/>
          </w:tcPr>
          <w:p>
            <w:pPr>
              <w:spacing w:after="0"/>
              <w:rPr>
                <w:sz w:val="21"/>
                <w:szCs w:val="21"/>
                <w:color w:val="auto"/>
              </w:rPr>
            </w:pPr>
          </w:p>
        </w:tc>
      </w:tr>
      <w:tr>
        <w:trPr>
          <w:trHeight w:val="27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 net</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836,214</w:t>
            </w:r>
          </w:p>
        </w:tc>
        <w:tc>
          <w:tcPr>
            <w:tcW w:w="5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830,871</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780,078</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334,085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314,427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299,150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52,088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51,012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51,451</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394,250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373,114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358,132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Intangible asset amortization</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12,697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18,536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16,433</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w:t>
            </w: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46,738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40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839,858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757,089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725,166</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73,782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54,912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465</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(19,788)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(27,640)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757</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(24,790)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28,494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(7,813)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10,825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505</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(16,977)</w:t>
            </w:r>
          </w:p>
        </w:tc>
        <w:tc>
          <w:tcPr>
            <w:tcW w:w="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41,204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27,989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6400" w:type="dxa"/>
            <w:vAlign w:val="bottom"/>
          </w:tcPr>
          <w:p>
            <w:pPr>
              <w:ind w:left="360"/>
              <w:spacing w:after="0"/>
              <w:rPr>
                <w:sz w:val="20"/>
                <w:szCs w:val="20"/>
                <w:color w:val="auto"/>
              </w:rPr>
            </w:pPr>
            <w:r>
              <w:rPr>
                <w:rFonts w:ascii="Arial" w:cs="Arial" w:eastAsia="Arial" w:hAnsi="Arial"/>
                <w:sz w:val="18"/>
                <w:szCs w:val="18"/>
                <w:color w:val="auto"/>
              </w:rPr>
              <w:t>Basic net income (loss) per common share</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(0.60)</w:t>
            </w:r>
          </w:p>
        </w:tc>
        <w:tc>
          <w:tcPr>
            <w:tcW w:w="5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0.97</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net income (loss) per common share</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5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(See Note 11):</w:t>
            </w: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28,416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28,952</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Diluted</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28,416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28,516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29,495</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w:t>
      </w:r>
    </w:p>
    <w:p>
      <w:pPr>
        <w:sectPr>
          <w:pgSz w:w="11900" w:h="16838" w:orient="portrait"/>
          <w:cols w:equalWidth="0" w:num="1">
            <w:col w:w="11420"/>
          </w:cols>
          <w:pgMar w:left="240" w:top="364"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center"/>
              <w:ind w:left="873"/>
              <w:spacing w:after="0"/>
              <w:rPr>
                <w:sz w:val="20"/>
                <w:szCs w:val="20"/>
                <w:color w:val="auto"/>
              </w:rPr>
            </w:pPr>
            <w:r>
              <w:rPr>
                <w:rFonts w:ascii="Arial" w:cs="Arial" w:eastAsia="Arial" w:hAnsi="Arial"/>
                <w:sz w:val="14"/>
                <w:szCs w:val="14"/>
                <w:b w:val="1"/>
                <w:bCs w:val="1"/>
                <w:color w:val="auto"/>
                <w:w w:val="92"/>
              </w:rPr>
              <w:t>Years Ended December 31,</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72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2011</w:t>
            </w:r>
          </w:p>
        </w:tc>
      </w:tr>
      <w:tr>
        <w:trPr>
          <w:trHeight w:val="250"/>
        </w:trPr>
        <w:tc>
          <w:tcPr>
            <w:tcW w:w="7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41,204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27,989</w:t>
            </w: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tax:</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Change in foreign currency translation adjustments</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5,874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5,224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(5,624)</w:t>
            </w:r>
          </w:p>
        </w:tc>
      </w:tr>
      <w:tr>
        <w:trPr>
          <w:trHeight w:val="237"/>
        </w:trPr>
        <w:tc>
          <w:tcPr>
            <w:tcW w:w="7200" w:type="dxa"/>
            <w:vAlign w:val="bottom"/>
          </w:tcPr>
          <w:p>
            <w:pPr>
              <w:jc w:val="right"/>
              <w:ind w:right="4150"/>
              <w:spacing w:after="0"/>
              <w:rPr>
                <w:sz w:val="20"/>
                <w:szCs w:val="20"/>
                <w:color w:val="auto"/>
              </w:rPr>
            </w:pPr>
            <w:r>
              <w:rPr>
                <w:rFonts w:ascii="Arial" w:cs="Arial" w:eastAsia="Arial" w:hAnsi="Arial"/>
                <w:sz w:val="18"/>
                <w:szCs w:val="18"/>
                <w:color w:val="auto"/>
              </w:rPr>
              <w:t>Unrealized gain (loss) on derivatives</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Unrealized derivative gains (losses) arising during period</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(6,306)</w:t>
            </w:r>
          </w:p>
        </w:tc>
      </w:tr>
      <w:tr>
        <w:trPr>
          <w:trHeight w:val="243"/>
        </w:trPr>
        <w:tc>
          <w:tcPr>
            <w:tcW w:w="7200" w:type="dxa"/>
            <w:vAlign w:val="bottom"/>
          </w:tcPr>
          <w:p>
            <w:pPr>
              <w:ind w:left="540"/>
              <w:spacing w:after="0"/>
              <w:rPr>
                <w:sz w:val="20"/>
                <w:szCs w:val="20"/>
                <w:color w:val="auto"/>
              </w:rPr>
            </w:pPr>
            <w:r>
              <w:rPr>
                <w:rFonts w:ascii="Arial" w:cs="Arial" w:eastAsia="Arial" w:hAnsi="Arial"/>
                <w:sz w:val="18"/>
                <w:szCs w:val="18"/>
                <w:color w:val="auto"/>
              </w:rPr>
              <w:t>Less: Reclassification adjustments for gains (losses) included in net income (loss)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(2,269)</w:t>
            </w: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jc w:val="right"/>
              <w:ind w:right="4150"/>
              <w:spacing w:after="0"/>
              <w:rPr>
                <w:sz w:val="20"/>
                <w:szCs w:val="20"/>
                <w:color w:val="auto"/>
              </w:rPr>
            </w:pPr>
            <w:r>
              <w:rPr>
                <w:rFonts w:ascii="Arial" w:cs="Arial" w:eastAsia="Arial" w:hAnsi="Arial"/>
                <w:sz w:val="18"/>
                <w:szCs w:val="18"/>
                <w:color w:val="auto"/>
              </w:rPr>
              <w:t>Unrealized gain (loss) on derivatives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(4,037)</w:t>
            </w:r>
          </w:p>
        </w:tc>
      </w:tr>
      <w:tr>
        <w:trPr>
          <w:trHeight w:val="318"/>
        </w:trPr>
        <w:tc>
          <w:tcPr>
            <w:tcW w:w="72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70"/>
        </w:trPr>
        <w:tc>
          <w:tcPr>
            <w:tcW w:w="72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Defined benefit pension plan - net gain (loss) arising during period</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861</w:t>
            </w:r>
          </w:p>
        </w:tc>
      </w:tr>
      <w:tr>
        <w:trPr>
          <w:trHeight w:val="264"/>
        </w:trPr>
        <w:tc>
          <w:tcPr>
            <w:tcW w:w="72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50"/>
        </w:trPr>
        <w:tc>
          <w:tcPr>
            <w:tcW w:w="7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other comprehensive income (loss), before tax</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(8,800)</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Income tax (expense) benefit related to items in other comprehensive income (loss)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1,502</w:t>
            </w: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5,724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(7,298)</w:t>
            </w:r>
          </w:p>
        </w:tc>
      </w:tr>
      <w:tr>
        <w:trPr>
          <w:trHeight w:val="318"/>
        </w:trPr>
        <w:tc>
          <w:tcPr>
            <w:tcW w:w="72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64"/>
        </w:trPr>
        <w:tc>
          <w:tcPr>
            <w:tcW w:w="7200" w:type="dxa"/>
            <w:vAlign w:val="bottom"/>
            <w:tcBorders>
              <w:bottom w:val="single" w:sz="8" w:color="CCEEFF"/>
            </w:tcBorders>
            <w:shd w:val="clear" w:color="auto" w:fill="CCEEFF"/>
          </w:tcPr>
          <w:p>
            <w:pPr>
              <w:jc w:val="right"/>
              <w:ind w:right="4150"/>
              <w:spacing w:after="0"/>
              <w:rPr>
                <w:sz w:val="20"/>
                <w:szCs w:val="20"/>
                <w:color w:val="auto"/>
              </w:rPr>
            </w:pPr>
            <w:r>
              <w:rPr>
                <w:rFonts w:ascii="Arial" w:cs="Arial" w:eastAsia="Arial" w:hAnsi="Arial"/>
                <w:sz w:val="18"/>
                <w:szCs w:val="18"/>
                <w:color w:val="auto"/>
                <w:w w:val="91"/>
              </w:rPr>
              <w:t>Comprehensive income (loss), net of tax</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45,500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20,691</w:t>
            </w:r>
          </w:p>
        </w:tc>
      </w:tr>
      <w:tr>
        <w:trPr>
          <w:trHeight w:val="20"/>
        </w:trPr>
        <w:tc>
          <w:tcPr>
            <w:tcW w:w="7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w:t>
      </w:r>
    </w:p>
    <w:p>
      <w:pPr>
        <w:sectPr>
          <w:pgSz w:w="11900" w:h="16838" w:orient="portrait"/>
          <w:cols w:equalWidth="0" w:num="1">
            <w:col w:w="11420"/>
          </w:cols>
          <w:pgMar w:left="240" w:top="364"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1300" w:type="dxa"/>
            <w:vAlign w:val="bottom"/>
          </w:tcPr>
          <w:p>
            <w:pPr>
              <w:jc w:val="right"/>
              <w:ind w:right="371"/>
              <w:spacing w:after="0"/>
              <w:rPr>
                <w:sz w:val="20"/>
                <w:szCs w:val="20"/>
                <w:color w:val="auto"/>
              </w:rPr>
            </w:pPr>
            <w:r>
              <w:rPr>
                <w:rFonts w:ascii="Arial" w:cs="Arial" w:eastAsia="Arial" w:hAnsi="Arial"/>
                <w:sz w:val="14"/>
                <w:szCs w:val="14"/>
                <w:b w:val="1"/>
                <w:bCs w:val="1"/>
                <w:color w:val="auto"/>
                <w:w w:val="90"/>
              </w:rPr>
              <w:t>December 31,</w:t>
            </w:r>
          </w:p>
        </w:tc>
      </w:tr>
      <w:tr>
        <w:trPr>
          <w:trHeight w:val="192"/>
        </w:trPr>
        <w:tc>
          <w:tcPr>
            <w:tcW w:w="7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2012</w:t>
            </w:r>
          </w:p>
        </w:tc>
      </w:tr>
      <w:tr>
        <w:trPr>
          <w:trHeight w:val="250"/>
        </w:trPr>
        <w:tc>
          <w:tcPr>
            <w:tcW w:w="7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36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120,614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96,938</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Trade accounts receivable, net of allowances of $6,194 and $7,221</w:t>
            </w: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118,145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114,916</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 net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213,431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171,806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46,300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39,100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26,752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30,291</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525,242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453,051</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200,310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177,898</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197,163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212,267</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249,764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294,067</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15,412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15,957</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8,338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10,359</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1,196,229</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1,163,599</w:t>
            </w:r>
          </w:p>
        </w:tc>
      </w:tr>
      <w:tr>
        <w:trPr>
          <w:trHeight w:val="237"/>
        </w:trPr>
        <w:tc>
          <w:tcPr>
            <w:tcW w:w="790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trade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50,752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36,742</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4,197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3,505</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34,914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36,354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31,768</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119,382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106,929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Long-term borrowings under senior credit facility</w:t>
            </w: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186,875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321,875</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convertible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205,182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197,672</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5,393</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12,527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13,955</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526,049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645,824</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no par value; 15,000 authorized shares; none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w w:val="91"/>
              </w:rPr>
              <w:t>Common stock; $0.01 par value; 60,000 authorized shares; 41,042 and 36,852 issued at December 31,</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2013 and 2012, respectively</w:t>
            </w:r>
          </w:p>
        </w:tc>
        <w:tc>
          <w:tcPr>
            <w:tcW w:w="26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369</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750,918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587,301</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Treasury stock, at cost; 8,903 shares at December 31, 2013 and 2012, respectively</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(367,121)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(367,121)</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(4,797)</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285,046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302,023</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670,180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517,775</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1,196,229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1,163,599</w:t>
            </w: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w:t>
      </w:r>
    </w:p>
    <w:p>
      <w:pPr>
        <w:sectPr>
          <w:pgSz w:w="11900" w:h="16838" w:orient="portrait"/>
          <w:cols w:equalWidth="0" w:num="1">
            <w:col w:w="11420"/>
          </w:cols>
          <w:pgMar w:left="240" w:top="364"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6"/>
          <w:szCs w:val="16"/>
          <w:b w:val="1"/>
          <w:bCs w:val="1"/>
          <w:color w:val="auto"/>
        </w:rPr>
        <w:t>INTEGRA LIFESCIENCES HOLDINGS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(16,977)</w:t>
            </w: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41,204</w:t>
            </w:r>
          </w:p>
        </w:tc>
        <w:tc>
          <w:tcPr>
            <w:tcW w:w="10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27,989</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320" w:type="dxa"/>
            <w:vAlign w:val="bottom"/>
            <w:gridSpan w:val="2"/>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47,010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52,611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50,172</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Non-cash impairment charges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47,078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380"/>
              <w:spacing w:after="0"/>
              <w:rPr>
                <w:sz w:val="20"/>
                <w:szCs w:val="20"/>
                <w:color w:val="auto"/>
              </w:rPr>
            </w:pPr>
            <w:r>
              <w:rPr>
                <w:rFonts w:ascii="Arial" w:cs="Arial" w:eastAsia="Arial" w:hAnsi="Arial"/>
                <w:sz w:val="14"/>
                <w:szCs w:val="14"/>
                <w:color w:val="auto"/>
              </w:rPr>
              <w:t>Deferred income tax provision (benefit)</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(10,829)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1,537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1,156</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Share-based compensation</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10,393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9,051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26,805</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380"/>
              <w:spacing w:after="0"/>
              <w:rPr>
                <w:sz w:val="20"/>
                <w:szCs w:val="20"/>
                <w:color w:val="auto"/>
              </w:rPr>
            </w:pPr>
            <w:r>
              <w:rPr>
                <w:rFonts w:ascii="Arial" w:cs="Arial" w:eastAsia="Arial" w:hAnsi="Arial"/>
                <w:sz w:val="14"/>
                <w:szCs w:val="14"/>
                <w:color w:val="auto"/>
              </w:rPr>
              <w:t>Amortization of debt issuance costs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2,298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2,725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3,387</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Non-cash interest expense</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6,463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8,520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10,591</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380"/>
              <w:spacing w:after="0"/>
              <w:rPr>
                <w:sz w:val="20"/>
                <w:szCs w:val="20"/>
                <w:color w:val="auto"/>
              </w:rPr>
            </w:pPr>
            <w:r>
              <w:rPr>
                <w:rFonts w:ascii="Arial" w:cs="Arial" w:eastAsia="Arial" w:hAnsi="Arial"/>
                <w:sz w:val="14"/>
                <w:szCs w:val="14"/>
                <w:color w:val="auto"/>
              </w:rPr>
              <w:t>Payment of accreted interest</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(30,617)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Loss on disposal of property and equipment</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1,965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1,312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380"/>
              <w:spacing w:after="0"/>
              <w:rPr>
                <w:sz w:val="20"/>
                <w:szCs w:val="20"/>
                <w:color w:val="auto"/>
              </w:rPr>
            </w:pPr>
            <w:r>
              <w:rPr>
                <w:rFonts w:ascii="Arial" w:cs="Arial" w:eastAsia="Arial" w:hAnsi="Arial"/>
                <w:sz w:val="14"/>
                <w:szCs w:val="14"/>
                <w:color w:val="auto"/>
              </w:rPr>
              <w:t>Excess tax benefits from stock-based compensation arrangements</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(3,634)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(848)</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net</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40"/>
              <w:spacing w:after="0"/>
              <w:rPr>
                <w:sz w:val="20"/>
                <w:szCs w:val="20"/>
                <w:color w:val="auto"/>
              </w:rPr>
            </w:pPr>
            <w:r>
              <w:rPr>
                <w:rFonts w:ascii="Arial" w:cs="Arial" w:eastAsia="Arial" w:hAnsi="Arial"/>
                <w:sz w:val="14"/>
                <w:szCs w:val="14"/>
                <w:color w:val="auto"/>
              </w:rPr>
              <w:t>Changes in assets and liabilities, net of business acquisitions: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Accounts receivable</w:t>
            </w: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(2,892)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3,783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(1,878)</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500"/>
              <w:spacing w:after="0"/>
              <w:rPr>
                <w:sz w:val="20"/>
                <w:szCs w:val="20"/>
                <w:color w:val="auto"/>
              </w:rPr>
            </w:pPr>
            <w:r>
              <w:rPr>
                <w:rFonts w:ascii="Arial" w:cs="Arial" w:eastAsia="Arial" w:hAnsi="Arial"/>
                <w:sz w:val="14"/>
                <w:szCs w:val="14"/>
                <w:color w:val="auto"/>
              </w:rPr>
              <w:t>Inventories</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(42,017)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(711)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1,702</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4,929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(3,067)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500"/>
              <w:spacing w:after="0"/>
              <w:rPr>
                <w:sz w:val="20"/>
                <w:szCs w:val="20"/>
                <w:color w:val="auto"/>
              </w:rPr>
            </w:pPr>
            <w:r>
              <w:rPr>
                <w:rFonts w:ascii="Arial" w:cs="Arial" w:eastAsia="Arial" w:hAnsi="Arial"/>
                <w:sz w:val="14"/>
                <w:szCs w:val="14"/>
                <w:color w:val="auto"/>
              </w:rPr>
              <w:t>Other non-current assets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441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Accounts payable, accrued expenses and other current liabilities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9,945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(21,071)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(11,842)</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500"/>
              <w:spacing w:after="0"/>
              <w:rPr>
                <w:sz w:val="20"/>
                <w:szCs w:val="20"/>
                <w:color w:val="auto"/>
              </w:rPr>
            </w:pPr>
            <w:r>
              <w:rPr>
                <w:rFonts w:ascii="Arial" w:cs="Arial" w:eastAsia="Arial" w:hAnsi="Arial"/>
                <w:sz w:val="14"/>
                <w:szCs w:val="14"/>
                <w:color w:val="auto"/>
              </w:rPr>
              <w:t>Deferred revenue</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697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(1,051)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non-current liabilities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(4,966)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(3,154)</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740" w:type="dxa"/>
            <w:vAlign w:val="bottom"/>
          </w:tcPr>
          <w:p>
            <w:pPr>
              <w:ind w:left="72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Pr>
          <w:p>
            <w:pPr>
              <w:spacing w:after="0"/>
              <w:rPr>
                <w:sz w:val="14"/>
                <w:szCs w:val="14"/>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53,268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59,100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104,328</w:t>
            </w:r>
          </w:p>
        </w:tc>
        <w:tc>
          <w:tcPr>
            <w:tcW w:w="0" w:type="dxa"/>
            <w:vAlign w:val="bottom"/>
          </w:tcPr>
          <w:p>
            <w:pPr>
              <w:spacing w:after="0"/>
              <w:rPr>
                <w:sz w:val="1"/>
                <w:szCs w:val="1"/>
                <w:color w:val="auto"/>
              </w:rPr>
            </w:pPr>
          </w:p>
        </w:tc>
      </w:tr>
      <w:tr>
        <w:trPr>
          <w:trHeight w:val="74"/>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INVESTING ACTIVITIES: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7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180"/>
              <w:spacing w:after="0"/>
              <w:rPr>
                <w:sz w:val="20"/>
                <w:szCs w:val="20"/>
                <w:color w:val="auto"/>
              </w:rPr>
            </w:pPr>
            <w:r>
              <w:rPr>
                <w:rFonts w:ascii="Arial" w:cs="Arial" w:eastAsia="Arial" w:hAnsi="Arial"/>
                <w:sz w:val="14"/>
                <w:szCs w:val="14"/>
                <w:color w:val="auto"/>
              </w:rPr>
              <w:t>Cash used in business acquisitions, net of cash acquired</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(2,980)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(7,278)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(151,951)</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property and equipment</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(47,851)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(69,031)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(38,425)</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180"/>
              <w:spacing w:after="0"/>
              <w:rPr>
                <w:sz w:val="20"/>
                <w:szCs w:val="20"/>
                <w:color w:val="auto"/>
              </w:rPr>
            </w:pPr>
            <w:r>
              <w:rPr>
                <w:rFonts w:ascii="Arial" w:cs="Arial" w:eastAsia="Arial" w:hAnsi="Arial"/>
                <w:sz w:val="14"/>
                <w:szCs w:val="14"/>
                <w:color w:val="auto"/>
              </w:rPr>
              <w:t>Sales of property and equipment</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535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short-term investments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(67,907)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180"/>
              <w:spacing w:after="0"/>
              <w:rPr>
                <w:sz w:val="20"/>
                <w:szCs w:val="20"/>
                <w:color w:val="auto"/>
              </w:rPr>
            </w:pPr>
            <w:r>
              <w:rPr>
                <w:rFonts w:ascii="Arial" w:cs="Arial" w:eastAsia="Arial" w:hAnsi="Arial"/>
                <w:sz w:val="14"/>
                <w:szCs w:val="14"/>
                <w:color w:val="auto"/>
              </w:rPr>
              <w:t>Maturities of short-term investments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64,940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(50,296)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(79,276)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(190,376)</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74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6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Borrowings under senior credit facility</w:t>
            </w: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30,000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155,000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145,000</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180"/>
              <w:spacing w:after="0"/>
              <w:rPr>
                <w:sz w:val="20"/>
                <w:szCs w:val="20"/>
                <w:color w:val="auto"/>
              </w:rPr>
            </w:pPr>
            <w:r>
              <w:rPr>
                <w:rFonts w:ascii="Arial" w:cs="Arial" w:eastAsia="Arial" w:hAnsi="Arial"/>
                <w:sz w:val="14"/>
                <w:szCs w:val="14"/>
                <w:color w:val="auto"/>
              </w:rPr>
              <w:t>Repayments under senior credit facility</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(165,000)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(12,812)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(213,437)</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liability component of convertible notes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186,830</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180"/>
              <w:spacing w:after="0"/>
              <w:rPr>
                <w:sz w:val="20"/>
                <w:szCs w:val="20"/>
                <w:color w:val="auto"/>
              </w:rPr>
            </w:pPr>
            <w:r>
              <w:rPr>
                <w:rFonts w:ascii="Arial" w:cs="Arial" w:eastAsia="Arial" w:hAnsi="Arial"/>
                <w:sz w:val="14"/>
                <w:szCs w:val="14"/>
                <w:color w:val="auto"/>
              </w:rPr>
              <w:t>Proceeds from equity component of convertible notes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43,170</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 of stock purchase warrants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28,451</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180"/>
              <w:spacing w:after="0"/>
              <w:rPr>
                <w:sz w:val="20"/>
                <w:szCs w:val="20"/>
                <w:color w:val="auto"/>
              </w:rPr>
            </w:pPr>
            <w:r>
              <w:rPr>
                <w:rFonts w:ascii="Arial" w:cs="Arial" w:eastAsia="Arial" w:hAnsi="Arial"/>
                <w:sz w:val="14"/>
                <w:szCs w:val="14"/>
                <w:color w:val="auto"/>
              </w:rPr>
              <w:t>Purchase of option hedge on convertible notes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(42,895)</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the issuance of common stock, net of issuance costs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152,458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180"/>
              <w:spacing w:after="0"/>
              <w:rPr>
                <w:sz w:val="20"/>
                <w:szCs w:val="20"/>
                <w:color w:val="auto"/>
              </w:rPr>
            </w:pPr>
            <w:r>
              <w:rPr>
                <w:rFonts w:ascii="Arial" w:cs="Arial" w:eastAsia="Arial" w:hAnsi="Arial"/>
                <w:sz w:val="14"/>
                <w:szCs w:val="14"/>
                <w:color w:val="auto"/>
              </w:rPr>
              <w:t>Payment of liability component of convertible notes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(134,383)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Debt issuance costs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(8,064)</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180"/>
              <w:spacing w:after="0"/>
              <w:rPr>
                <w:sz w:val="20"/>
                <w:szCs w:val="20"/>
                <w:color w:val="auto"/>
              </w:rPr>
            </w:pPr>
            <w:r>
              <w:rPr>
                <w:rFonts w:ascii="Arial" w:cs="Arial" w:eastAsia="Arial" w:hAnsi="Arial"/>
                <w:sz w:val="14"/>
                <w:szCs w:val="14"/>
                <w:color w:val="auto"/>
              </w:rPr>
              <w:t>Purchases of treasury stock</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(83,463)</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exercised stock options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2,344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696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3,697</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180"/>
              <w:spacing w:after="0"/>
              <w:rPr>
                <w:sz w:val="20"/>
                <w:szCs w:val="20"/>
                <w:color w:val="auto"/>
              </w:rPr>
            </w:pPr>
            <w:r>
              <w:rPr>
                <w:rFonts w:ascii="Arial" w:cs="Arial" w:eastAsia="Arial" w:hAnsi="Arial"/>
                <w:sz w:val="14"/>
                <w:szCs w:val="14"/>
                <w:color w:val="auto"/>
              </w:rPr>
              <w:t>Excess tax benefits from stock-based compensation arrangements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3,634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848</w:t>
            </w:r>
          </w:p>
        </w:tc>
        <w:tc>
          <w:tcPr>
            <w:tcW w:w="0" w:type="dxa"/>
            <w:vAlign w:val="bottom"/>
          </w:tcPr>
          <w:p>
            <w:pPr>
              <w:spacing w:after="0"/>
              <w:rPr>
                <w:sz w:val="1"/>
                <w:szCs w:val="1"/>
                <w:color w:val="auto"/>
              </w:rPr>
            </w:pPr>
          </w:p>
        </w:tc>
      </w:tr>
      <w:tr>
        <w:trPr>
          <w:trHeight w:val="74"/>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cash provided by financing activities</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19,019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11,750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60,137</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740" w:type="dxa"/>
            <w:vAlign w:val="bottom"/>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360" w:type="dxa"/>
            <w:vAlign w:val="bottom"/>
          </w:tcPr>
          <w:p>
            <w:pPr>
              <w:spacing w:after="0"/>
              <w:rPr>
                <w:sz w:val="14"/>
                <w:szCs w:val="14"/>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1,685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4,556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(2,044)</w:t>
            </w:r>
          </w:p>
        </w:tc>
        <w:tc>
          <w:tcPr>
            <w:tcW w:w="0" w:type="dxa"/>
            <w:vAlign w:val="bottom"/>
          </w:tcPr>
          <w:p>
            <w:pPr>
              <w:spacing w:after="0"/>
              <w:rPr>
                <w:sz w:val="1"/>
                <w:szCs w:val="1"/>
                <w:color w:val="auto"/>
              </w:rPr>
            </w:pPr>
          </w:p>
        </w:tc>
      </w:tr>
      <w:tr>
        <w:trPr>
          <w:trHeight w:val="74"/>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23,676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(3,870)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(27,955)</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96,938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100,808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128,763</w:t>
            </w:r>
          </w:p>
        </w:tc>
        <w:tc>
          <w:tcPr>
            <w:tcW w:w="0" w:type="dxa"/>
            <w:vAlign w:val="bottom"/>
          </w:tcPr>
          <w:p>
            <w:pPr>
              <w:spacing w:after="0"/>
              <w:rPr>
                <w:sz w:val="1"/>
                <w:szCs w:val="1"/>
                <w:color w:val="auto"/>
              </w:rPr>
            </w:pPr>
          </w:p>
        </w:tc>
      </w:tr>
      <w:tr>
        <w:trPr>
          <w:trHeight w:val="74"/>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120,614</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96,938</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100,808</w:t>
            </w:r>
          </w:p>
        </w:tc>
        <w:tc>
          <w:tcPr>
            <w:tcW w:w="0" w:type="dxa"/>
            <w:vAlign w:val="bottom"/>
          </w:tcPr>
          <w:p>
            <w:pPr>
              <w:spacing w:after="0"/>
              <w:rPr>
                <w:sz w:val="1"/>
                <w:szCs w:val="1"/>
                <w:color w:val="auto"/>
              </w:rPr>
            </w:pPr>
          </w:p>
        </w:tc>
      </w:tr>
      <w:tr>
        <w:trPr>
          <w:trHeight w:val="60"/>
        </w:trPr>
        <w:tc>
          <w:tcPr>
            <w:tcW w:w="674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320" w:type="dxa"/>
            <w:vAlign w:val="bottom"/>
            <w:gridSpan w:val="2"/>
            <w:vMerge w:val="continue"/>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w:t>
      </w:r>
    </w:p>
    <w:p>
      <w:pPr>
        <w:sectPr>
          <w:pgSz w:w="11900" w:h="16838" w:orient="portrait"/>
          <w:cols w:equalWidth="0" w:num="1">
            <w:col w:w="11420"/>
          </w:cols>
          <w:pgMar w:left="240" w:top="369" w:right="239" w:bottom="11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164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1760" w:type="dxa"/>
            <w:vAlign w:val="bottom"/>
            <w:gridSpan w:val="4"/>
          </w:tcPr>
          <w:p>
            <w:pPr>
              <w:jc w:val="right"/>
              <w:ind w:right="386"/>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Additional</w:t>
            </w:r>
          </w:p>
        </w:tc>
        <w:tc>
          <w:tcPr>
            <w:tcW w:w="13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0"/>
              </w:rPr>
              <w:t>Accumulated Other</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37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2"/>
                <w:szCs w:val="2"/>
                <w:color w:val="auto"/>
              </w:rPr>
            </w:pPr>
          </w:p>
        </w:tc>
        <w:tc>
          <w:tcPr>
            <w:tcW w:w="120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2"/>
                <w:szCs w:val="2"/>
                <w:color w:val="auto"/>
              </w:rPr>
            </w:pPr>
          </w:p>
        </w:tc>
        <w:tc>
          <w:tcPr>
            <w:tcW w:w="840" w:type="dxa"/>
            <w:vAlign w:val="bottom"/>
            <w:gridSpan w:val="2"/>
            <w:vMerge w:val="restart"/>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3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780" w:type="dxa"/>
            <w:vAlign w:val="bottom"/>
          </w:tcPr>
          <w:p>
            <w:pPr>
              <w:spacing w:after="0"/>
              <w:rPr>
                <w:sz w:val="15"/>
                <w:szCs w:val="15"/>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Shares</w:t>
            </w:r>
          </w:p>
        </w:tc>
        <w:tc>
          <w:tcPr>
            <w:tcW w:w="8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Shares</w:t>
            </w: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6"/>
              </w:rPr>
              <w:t>Income (Loss)</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3"/>
                <w:szCs w:val="13"/>
                <w:b w:val="1"/>
                <w:bCs w:val="1"/>
                <w:color w:val="auto"/>
                <w:w w:val="85"/>
              </w:rPr>
              <w:t>Total Equity</w:t>
            </w:r>
          </w:p>
        </w:tc>
        <w:tc>
          <w:tcPr>
            <w:tcW w:w="0" w:type="dxa"/>
            <w:vAlign w:val="bottom"/>
          </w:tcPr>
          <w:p>
            <w:pPr>
              <w:spacing w:after="0"/>
              <w:rPr>
                <w:sz w:val="1"/>
                <w:szCs w:val="1"/>
                <w:color w:val="auto"/>
              </w:rPr>
            </w:pPr>
          </w:p>
        </w:tc>
      </w:tr>
      <w:tr>
        <w:trPr>
          <w:trHeight w:val="241"/>
        </w:trPr>
        <w:tc>
          <w:tcPr>
            <w:tcW w:w="3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4"/>
          </w:tcPr>
          <w:p>
            <w:pPr>
              <w:ind w:left="40"/>
              <w:spacing w:after="0"/>
              <w:rPr>
                <w:sz w:val="20"/>
                <w:szCs w:val="20"/>
                <w:color w:val="auto"/>
              </w:rPr>
            </w:pPr>
            <w:r>
              <w:rPr>
                <w:rFonts w:ascii="Arial" w:cs="Arial" w:eastAsia="Arial" w:hAnsi="Arial"/>
                <w:sz w:val="13"/>
                <w:szCs w:val="13"/>
                <w:b w:val="1"/>
                <w:bCs w:val="1"/>
                <w:color w:val="auto"/>
              </w:rPr>
              <w:t>(In thousands)</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3780" w:type="dxa"/>
            <w:vAlign w:val="bottom"/>
          </w:tcPr>
          <w:p>
            <w:pPr>
              <w:ind w:left="40"/>
              <w:spacing w:after="0"/>
              <w:rPr>
                <w:sz w:val="20"/>
                <w:szCs w:val="20"/>
                <w:color w:val="auto"/>
              </w:rPr>
            </w:pPr>
            <w:r>
              <w:rPr>
                <w:rFonts w:ascii="Arial" w:cs="Arial" w:eastAsia="Arial" w:hAnsi="Arial"/>
                <w:sz w:val="14"/>
                <w:szCs w:val="14"/>
                <w:color w:val="auto"/>
              </w:rPr>
              <w:t>Balance, December 31, 2010</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35,527</w:t>
            </w:r>
          </w:p>
        </w:tc>
        <w:tc>
          <w:tcPr>
            <w:tcW w:w="12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7"/>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(6,994)</w:t>
            </w:r>
          </w:p>
        </w:tc>
        <w:tc>
          <w:tcPr>
            <w:tcW w:w="12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
              <w:spacing w:after="0"/>
              <w:rPr>
                <w:sz w:val="20"/>
                <w:szCs w:val="20"/>
                <w:color w:val="auto"/>
              </w:rPr>
            </w:pPr>
            <w:r>
              <w:rPr>
                <w:rFonts w:ascii="Arial" w:cs="Arial" w:eastAsia="Arial" w:hAnsi="Arial"/>
                <w:sz w:val="14"/>
                <w:szCs w:val="14"/>
                <w:color w:val="auto"/>
              </w:rPr>
              <w:t>(283,658)</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552,231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(1,795)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7"/>
              <w:spacing w:after="0"/>
              <w:rPr>
                <w:sz w:val="20"/>
                <w:szCs w:val="20"/>
                <w:color w:val="auto"/>
              </w:rPr>
            </w:pPr>
            <w:r>
              <w:rPr>
                <w:rFonts w:ascii="Arial" w:cs="Arial" w:eastAsia="Arial" w:hAnsi="Arial"/>
                <w:sz w:val="14"/>
                <w:szCs w:val="14"/>
                <w:color w:val="auto"/>
              </w:rPr>
              <w:t>232,830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499,963</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27,989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27,989</w:t>
            </w:r>
          </w:p>
        </w:tc>
        <w:tc>
          <w:tcPr>
            <w:tcW w:w="0" w:type="dxa"/>
            <w:vAlign w:val="bottom"/>
          </w:tcPr>
          <w:p>
            <w:pPr>
              <w:spacing w:after="0"/>
              <w:rPr>
                <w:sz w:val="1"/>
                <w:szCs w:val="1"/>
                <w:color w:val="auto"/>
              </w:rPr>
            </w:pP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4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(7,298)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(7,298)</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equity component on convertible notes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43,170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43,170</w:t>
            </w:r>
          </w:p>
        </w:tc>
        <w:tc>
          <w:tcPr>
            <w:tcW w:w="0" w:type="dxa"/>
            <w:vAlign w:val="bottom"/>
          </w:tcPr>
          <w:p>
            <w:pPr>
              <w:spacing w:after="0"/>
              <w:rPr>
                <w:sz w:val="1"/>
                <w:szCs w:val="1"/>
                <w:color w:val="auto"/>
              </w:rPr>
            </w:pP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color w:val="auto"/>
              </w:rPr>
              <w:t>Proceeds from sale of stock purchase warrants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4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28,451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28,451</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option hedge on convertible notes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(42,895)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(42,895)</w:t>
            </w:r>
          </w:p>
        </w:tc>
        <w:tc>
          <w:tcPr>
            <w:tcW w:w="0" w:type="dxa"/>
            <w:vAlign w:val="bottom"/>
          </w:tcPr>
          <w:p>
            <w:pPr>
              <w:spacing w:after="0"/>
              <w:rPr>
                <w:sz w:val="1"/>
                <w:szCs w:val="1"/>
                <w:color w:val="auto"/>
              </w:rPr>
            </w:pP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color w:val="auto"/>
              </w:rPr>
              <w:t>Equity portion of convertible notes issuance costs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4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(1,334)</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through employee benefit plans</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4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27,679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27,679</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Repurchase of common stock</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(83,463)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(83,463)</w:t>
            </w: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December 31, 2011</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35,734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357</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(367,121)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607,676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260,819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492,638</w:t>
            </w:r>
          </w:p>
        </w:tc>
        <w:tc>
          <w:tcPr>
            <w:tcW w:w="0" w:type="dxa"/>
            <w:vAlign w:val="bottom"/>
          </w:tcPr>
          <w:p>
            <w:pPr>
              <w:spacing w:after="0"/>
              <w:rPr>
                <w:sz w:val="1"/>
                <w:szCs w:val="1"/>
                <w:color w:val="auto"/>
              </w:rPr>
            </w:pP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4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7"/>
              <w:spacing w:after="0"/>
              <w:rPr>
                <w:sz w:val="20"/>
                <w:szCs w:val="20"/>
                <w:color w:val="auto"/>
              </w:rPr>
            </w:pPr>
            <w:r>
              <w:rPr>
                <w:rFonts w:ascii="Arial" w:cs="Arial" w:eastAsia="Arial" w:hAnsi="Arial"/>
                <w:sz w:val="14"/>
                <w:szCs w:val="14"/>
                <w:color w:val="auto"/>
              </w:rPr>
              <w:t>41,204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41,204</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4,296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4,296</w:t>
            </w:r>
          </w:p>
        </w:tc>
        <w:tc>
          <w:tcPr>
            <w:tcW w:w="0" w:type="dxa"/>
            <w:vAlign w:val="bottom"/>
          </w:tcPr>
          <w:p>
            <w:pPr>
              <w:spacing w:after="0"/>
              <w:rPr>
                <w:sz w:val="1"/>
                <w:szCs w:val="1"/>
                <w:color w:val="auto"/>
              </w:rPr>
            </w:pP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color w:val="auto"/>
              </w:rPr>
              <w:t>Issuance of common stock through employee benefit plans</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jc w:val="right"/>
              <w:ind w:right="47"/>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4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(20,625)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(20,614)</w:t>
            </w: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December 31, 2012</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36,852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369</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(367,121)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587,301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302,023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517,775</w:t>
            </w:r>
          </w:p>
        </w:tc>
        <w:tc>
          <w:tcPr>
            <w:tcW w:w="0" w:type="dxa"/>
            <w:vAlign w:val="bottom"/>
          </w:tcPr>
          <w:p>
            <w:pPr>
              <w:spacing w:after="0"/>
              <w:rPr>
                <w:sz w:val="1"/>
                <w:szCs w:val="1"/>
                <w:color w:val="auto"/>
              </w:rPr>
            </w:pP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4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(16,977)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(16,977)</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5,724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5,724</w:t>
            </w:r>
          </w:p>
        </w:tc>
        <w:tc>
          <w:tcPr>
            <w:tcW w:w="0" w:type="dxa"/>
            <w:vAlign w:val="bottom"/>
          </w:tcPr>
          <w:p>
            <w:pPr>
              <w:spacing w:after="0"/>
              <w:rPr>
                <w:sz w:val="1"/>
                <w:szCs w:val="1"/>
                <w:color w:val="auto"/>
              </w:rPr>
            </w:pP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color w:val="auto"/>
              </w:rPr>
              <w:t>Issuance of common stock</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4,025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jc w:val="right"/>
              <w:ind w:right="47"/>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4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152,418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152,458</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through employee benefit plans</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1,065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1,066</w:t>
            </w:r>
          </w:p>
        </w:tc>
        <w:tc>
          <w:tcPr>
            <w:tcW w:w="0" w:type="dxa"/>
            <w:vAlign w:val="bottom"/>
          </w:tcPr>
          <w:p>
            <w:pPr>
              <w:spacing w:after="0"/>
              <w:rPr>
                <w:sz w:val="1"/>
                <w:szCs w:val="1"/>
                <w:color w:val="auto"/>
              </w:rPr>
            </w:pP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740" w:type="dxa"/>
            <w:vAlign w:val="bottom"/>
          </w:tcPr>
          <w:p>
            <w:pPr>
              <w:jc w:val="right"/>
              <w:ind w:right="4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10,134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10,134</w:t>
            </w:r>
          </w:p>
        </w:tc>
        <w:tc>
          <w:tcPr>
            <w:tcW w:w="0" w:type="dxa"/>
            <w:vAlign w:val="bottom"/>
          </w:tcPr>
          <w:p>
            <w:pPr>
              <w:spacing w:after="0"/>
              <w:rPr>
                <w:sz w:val="1"/>
                <w:szCs w:val="1"/>
                <w:color w:val="auto"/>
              </w:rPr>
            </w:pPr>
          </w:p>
        </w:tc>
      </w:tr>
      <w:tr>
        <w:trPr>
          <w:trHeight w:val="270"/>
        </w:trPr>
        <w:tc>
          <w:tcPr>
            <w:tcW w:w="378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4"/>
                <w:szCs w:val="14"/>
                <w:color w:val="auto"/>
              </w:rPr>
              <w:t>Balance, December 31, 2013</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41,042</w:t>
            </w:r>
          </w:p>
        </w:tc>
        <w:tc>
          <w:tcPr>
            <w:tcW w:w="12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7"/>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(8,903)</w:t>
            </w:r>
          </w:p>
        </w:tc>
        <w:tc>
          <w:tcPr>
            <w:tcW w:w="12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
              <w:spacing w:after="0"/>
              <w:rPr>
                <w:sz w:val="20"/>
                <w:szCs w:val="20"/>
                <w:color w:val="auto"/>
              </w:rPr>
            </w:pPr>
            <w:r>
              <w:rPr>
                <w:rFonts w:ascii="Arial" w:cs="Arial" w:eastAsia="Arial" w:hAnsi="Arial"/>
                <w:sz w:val="14"/>
                <w:szCs w:val="14"/>
                <w:color w:val="auto"/>
              </w:rPr>
              <w:t>(367,121)</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750,918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
              <w:spacing w:after="0"/>
              <w:rPr>
                <w:sz w:val="20"/>
                <w:szCs w:val="20"/>
                <w:color w:val="auto"/>
              </w:rPr>
            </w:pPr>
            <w:r>
              <w:rPr>
                <w:rFonts w:ascii="Arial" w:cs="Arial" w:eastAsia="Arial" w:hAnsi="Arial"/>
                <w:sz w:val="14"/>
                <w:szCs w:val="14"/>
                <w:color w:val="auto"/>
              </w:rPr>
              <w:t>927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7"/>
              <w:spacing w:after="0"/>
              <w:rPr>
                <w:sz w:val="20"/>
                <w:szCs w:val="20"/>
                <w:color w:val="auto"/>
              </w:rPr>
            </w:pPr>
            <w:r>
              <w:rPr>
                <w:rFonts w:ascii="Arial" w:cs="Arial" w:eastAsia="Arial" w:hAnsi="Arial"/>
                <w:sz w:val="14"/>
                <w:szCs w:val="14"/>
                <w:color w:val="auto"/>
              </w:rPr>
              <w:t>285,046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670,180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w:t>
      </w:r>
    </w:p>
    <w:p>
      <w:pPr>
        <w:sectPr>
          <w:pgSz w:w="11900" w:h="16838" w:orient="portrait"/>
          <w:cols w:equalWidth="0" w:num="1">
            <w:col w:w="11420"/>
          </w:cols>
          <w:pgMar w:left="240" w:top="364" w:right="239" w:bottom="1440" w:gutter="0" w:footer="0" w:header="0"/>
        </w:sectPr>
      </w:pPr>
    </w:p>
    <w:bookmarkStart w:id="67" w:name="page68"/>
    <w:bookmarkEnd w:id="67"/>
    <w:p>
      <w:pPr>
        <w:ind w:left="340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Integra LifeSciences Holdings Corporation (the “Company”) was incorporated in Delaware in 1989. The Company, a world leader in medical devices, is dedicated to limiting uncertainty for surgeons through the development, manufacturing, and marketing of cost-effective surgical implants and medical instruments. Its products are used primarily in neurosurgery, extremity reconstruction, orthopedics and general surgery.</w:t>
      </w:r>
    </w:p>
    <w:p>
      <w:pPr>
        <w:spacing w:after="0" w:line="127" w:lineRule="exact"/>
        <w:rPr>
          <w:sz w:val="20"/>
          <w:szCs w:val="20"/>
          <w:color w:val="auto"/>
        </w:rPr>
      </w:pPr>
    </w:p>
    <w:p>
      <w:pPr>
        <w:ind w:right="2700"/>
        <w:spacing w:after="0" w:line="438" w:lineRule="auto"/>
        <w:rPr>
          <w:sz w:val="20"/>
          <w:szCs w:val="20"/>
          <w:color w:val="auto"/>
        </w:rPr>
      </w:pPr>
      <w:r>
        <w:rPr>
          <w:rFonts w:ascii="Arial" w:cs="Arial" w:eastAsia="Arial" w:hAnsi="Arial"/>
          <w:sz w:val="18"/>
          <w:szCs w:val="18"/>
          <w:color w:val="auto"/>
        </w:rPr>
        <w:t xml:space="preserve">The Company sells its products directly through various sales forces and through a variety of other distribution channels. </w:t>
      </w: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financial statements and the accompanying notes are prepared in accordance with accounting principles generally accepted in the United States of America and conform to Regulation S-X under the Securities Exchange Act of 1934, as amended.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of which are wholly owned. All significant intercompany accounts and transactions are eliminated in consolidation. See Note 3, “Acquisitions and Pro Forma Results", for details of new subsidiaries included in the consolidation.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consolidated financial statements in conformity with generally accepted accounting principles requires management to make estimates and assumptions that affect the reported amounts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and in-process research and development ("IPR&amp;D"), amortization periods for acquired intangible assets, discount rates and estimated projected cash flows used to value and test impairments of long-lived assets and goodwill, estimates of projected cash flows, depreciation and amortization periods for long-lived assets, computation of taxes, valuation allowances recorded against deferred tax assets, the valuation of stock-based compensation, valuation of pension assets and liabilities, valuation of derivative instruments, valuation of the equity component of convertible debt instruments, and valuation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 OF PERIOD ADJUSTMENTS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fourth quarter of 2013, income tax benefit was increased by $1.0 million for the cumulative effect of immaterial errors related to the Company's reserve for uncertain tax positions that related to prior periods. Of the $1.0 million increase, $0.9 million was to correct an error that was recorded in the deferred tax accounts in 2011, and the remainder of the error had an insignificant impact across several years. Based upon our evaluation of relevant factors related to this matter, we concluded that the uncorrected adjustments in our previously issued consolidated financial statements for any of the periods affected are immaterial and that the impact of recording the cumulative correction in the fourth quarter of 2013 is not material to our earnings for the full year ending December 31, 2013.</w:t>
      </w:r>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fourth quarter of 2012, interest expense was reduced by $3.3 million for the cumulative correction of immaterial errors in capitalized interest on our construction in progress balances related to prior periods. The $3.3 million decrease in interest expense reflects (a) $1.5 million of interest expense that should have been capitalized in previous quarters in 2012, and (b) $1.4 million and $0.4 million of interest expense that should have been capitalized in the years ended December 31, 2011 and 2010, respectively. The 2012 amount above includes $2.1 million, $1.4 million, and $0.4 million related to the first three quarters of 2012 and to the years ended December 31, 2011 and 2010, respectively. Based upon our evaluation of relevant factors related to this matter, we concluded that the uncorrected adjustments in our previously issued consolidated financial statements for any of the periods affected are immaterial and that the impact of recording the cumulative correction in the fourth quarter of 2012 is not material to our earnings for the full year ending December 31, 2012.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from the prior years' financial statements have been reclassified in order to conform to the current year's presentation.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w:t>
      </w:r>
    </w:p>
    <w:p>
      <w:pPr>
        <w:sectPr>
          <w:pgSz w:w="11900" w:h="16838" w:orient="portrait"/>
          <w:cols w:equalWidth="0" w:num="1">
            <w:col w:w="11420"/>
          </w:cols>
          <w:pgMar w:left="240" w:top="364"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all short-term, highly liquid investments purchased with original maturities of three months or less to be cash equivalents.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ALLOWANCES FOR DOUBTFUL ACCOUNTS RECEIVABLE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Trade accounts receivable are recorded at the invoiced amount and do not bear interest. The Company grants credit to customers in the normal course of business, but generally does not require collateral or any other security to support its receivables.</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evaluates the collectability of accounts receivable based on a combination of factors. In circumstances where a specific customer is unable to meet its financial obligations to the Company, a provision to the allowances for doubtful accounts is recorded against amounts due to reduce the net recognized receivable to the amount that is reasonably expected to be collected. For all other customers, a provision to the allowances for doubtful accounts is recorded based on factors including the length of time the receivables are past due, the current business environment and the Company's historical experience. Provisions to the allowances for doubtful accounts are recorded to selling, general and administrative expenses. Account balances are charged off against the allowance when it is probable that the receivable will not be recovered.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consisting of purchased materials, direct labor and manufacturing overhead, are stated at the lower of cost, the value determined by the first-in, first-out method, or market. Inventories consisted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3"/>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2012</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6"/>
                <w:szCs w:val="16"/>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130,298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102,401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48,229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40,067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34,904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29,338</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inventories, net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213,431</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171,806</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each balance sheet date, the Company evaluates inventories for excess quantities, obsolescence or shelf life expiration. This evaluation includes analysis of historical sales levels by product, projections of future demand, the risk of technological or competitive obsolescence for products, general market conditions, a review of the shelf life expiration dates for products, as well as the feasibility of reworking or using excess or obsolete products or components in the production or assembly of other products that are not obsolete or for which there are not excess quantities in inventory. To the extent that management determines there are excess or obsolete inventory or quantities with a shelf life that is too near its expiration for the Company to reasonably expect that it can sell those products prior to their expiration, the Company adjusts the carrying value to estimated net realizable value.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capitalizes inventory costs associated with certain products prior to regulatory approval, based on management's judgment of probable economic benefit. The Company could be required to expense previously capitalized costs related to pre-approval inventory upon a change in such judgment, due to, among other potential factors, a denial or delay of approval by necessary regulatory bodies or a decision by management to discontinue the related development program. No such amounts were capitalized at December 31, 2013 or 2012.</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Beginning in 2013, the Company pays a tax deductible manufacturer's excise tax imposed on the first sale of certain medical devices in the United States. The Company capitalizes the excise tax in its inventory and subsequently records it in cost of goods sold as these products are sold to third party customers. The finished goods inventory includes $6.5 million of capitalized medical device excise tax at December 31, 2013.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Property, plant and equipment are stated at historical cost less accumulated depreciation and any impairment charges. The Company provides for depreciation using the straight-line method over the estimated useful lives of the assets. Leasehold improvements are amortized over the lesser of the lease term or the useful life. The cost of major additions and improvements is capitalized, while maintenance and repair costs that do not improve or extend the lives of the respective assets are charged to operations as incurred. The cost of computer software developed or obtained for internal use is accounted for in accordance with the Accounting Standards Codification 350-40, </w:t>
      </w:r>
      <w:r>
        <w:rPr>
          <w:rFonts w:ascii="Arial" w:cs="Arial" w:eastAsia="Arial" w:hAnsi="Arial"/>
          <w:sz w:val="18"/>
          <w:szCs w:val="18"/>
          <w:i w:val="1"/>
          <w:iCs w:val="1"/>
          <w:color w:val="auto"/>
        </w:rPr>
        <w:t>Internal-Use Software.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- 8</w:t>
      </w:r>
    </w:p>
    <w:p>
      <w:pPr>
        <w:sectPr>
          <w:pgSz w:w="11900" w:h="16838" w:orient="portrait"/>
          <w:cols w:equalWidth="0" w:num="1">
            <w:col w:w="11420"/>
          </w:cols>
          <w:pgMar w:left="240" w:top="12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balances and corresponding lives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67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Useful Lives</w:t>
            </w:r>
          </w:p>
        </w:tc>
      </w:tr>
      <w:tr>
        <w:trPr>
          <w:trHeight w:val="270"/>
        </w:trPr>
        <w:tc>
          <w:tcPr>
            <w:tcW w:w="6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Land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3,022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2,768</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building improvements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7,908</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 years</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42,900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46,240</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1-20 years</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production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86,192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85,721</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 years</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Surgical instrument kits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30,352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26,231</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 years</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Information systems and hardware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51,171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42,145</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years</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16,363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15,692</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1-15 years</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112,130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90,243</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357,507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316,948</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(157,197)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(139,050)</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200,310</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177,898</w:t>
            </w: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associated with property, plant and equipment was $27.6 million, $27.5 million and $25.5 million for the years ended December 31, 2013, 2012 and 2011, respectively.</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leases certain computer equipment under capital lease agreements. At December 31, 2013 the gross carrying value and accumulated depreciation of such leases amounted to $1.6 million and $0.1 million, respectively, and the cost is included as a component of Furniture, fixtures, office equipment and information systems. The Company had no capital leases at December 31, 2012.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interest cost on capital projects, including facilities build-out and internal use software, is capitalized and included in the cost of the project. Capitalization commences with the first expenditure for the project and continues until the project is substantially complete and ready for its intended use. When no debt is incurred specifically for a project, interest is capitalized on project expenditures using the weighted average cost of the Company's outstanding borrowings. For the years ended December 31, 2013 and 2012, respectively, the Company capitalized $3.2 million and $3.9 million of interest expense into property, plant and equipment.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excess of the cost over the fair value of net assets of acquired businesses is recorded as goodwill. Goodwill is not subject to amortization, but is reviewed for impairment at the reporting unit level annually, or more frequently if impairment indicators arise. The Company's assessment of the recoverability of goodwill is based upon a comparison of the carrying value of goodwill with its estimated fair value. The Company revised its operating segments and reporting segments in connection with the change in the Company’s Chief Executive Officer (who serves as the Company’s chief operating decision maker) effective January 3, 2012. As a result, the Company reassigned the goodwill to these new reportable segments based on the relative fair value of the Company’s reporting units as of January 1, 2012.</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goodwill was tested annually for impairment as of June 30 of each fiscal year. During the quarter ended June 30, 2012, the Company adopted a new accounting principle whereby the annual impairment review of goodwill is performed as of July 31 of each year. The change in the annual goodwill impairment testing date was made to better align the annual goodwill impairment test with the timing of the Company’s annual strategic planning process. In line with this change, the Company performed an assessment of the goodwill in each of its reporting units during the first quarter of 2012. This change in accounting principle did not delay, accelerate or avoid an impairment charge. Accordingly, the Company believes that the change described above was preferable under the circumstances.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31, 2013, the Company performed the annual goodwill impairment test which resulted in a non-cash goodwill impairment charge of $46.7 million for its U.S. Spine reporting unit, which is a part of the U.S. Spine and Other reportable segment.</w:t>
      </w:r>
    </w:p>
    <w:p>
      <w:pPr>
        <w:spacing w:after="0" w:line="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previously disclosed, the Company has monitored its U.S. Spine business and disclosed that it was at risk for impairment. During the course of the annual strategic planning process performed during the third quarter, the Company determined that both the actual and expected income and cash flows for the U.S. Spine reporting unit were projected to be substantially lower than forecasts, and the U.S. spine market recovery may take longer than originally forecasted, including the current expectation of future significant negative pricing pressures. Factors that contributed to the impairment of the U.S. Spine reporting unit include broader market issues as well as company-specific issues. Company-specific issues have included turnover of some distributors, significant delays in new product introductions and other operational issues that negatively impacted and decreased projected revenues by a material amount. As a result, the Company lowered its expectations of recovery in the U.S. market and its related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- 9</w:t>
      </w:r>
    </w:p>
    <w:p>
      <w:pPr>
        <w:sectPr>
          <w:pgSz w:w="11900" w:h="16838" w:orient="portrait"/>
          <w:cols w:equalWidth="0" w:num="1">
            <w:col w:w="11420"/>
          </w:cols>
          <w:pgMar w:left="240" w:top="12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impact on the U.S. Spine reporting unit. This revised outlook resulted in a reduction of the U.S. Spine forecasts of the sales, operating income and cash flows expected in 2014 and beyond and consequently, resulted in an impairment charge.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derive the fair value of the reporting units, as required in step one of the impairment test, the Company used the income approach, specifically the discounted cash flow ("DCF") method, which incorporates significant estimates and assumptions made by management which, by their nature, are characterized by uncertainty. Inputs used to fair value the Company's reporting units are considered inputs of the fair value hierarchy. For Level 3 measurements, significant increases or decreases in long-term growth rates or discount rates in isolation or in combination could result in a significantly lower or higher fair value measurement. The key assumptions impacting the valuation included:</w:t>
      </w:r>
    </w:p>
    <w:p>
      <w:pPr>
        <w:spacing w:after="0" w:line="188" w:lineRule="exact"/>
        <w:rPr>
          <w:sz w:val="20"/>
          <w:szCs w:val="20"/>
          <w:color w:val="auto"/>
        </w:rPr>
      </w:pPr>
    </w:p>
    <w:p>
      <w:pPr>
        <w:ind w:left="660" w:right="20" w:hanging="328"/>
        <w:spacing w:after="0" w:line="25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Company's financial projections for its reporting units, which are based on management's assessment of regional and macroeconomic variables, industry trends and market opportunities, and the Company's strategic objectives and future growth plans.</w:t>
      </w:r>
    </w:p>
    <w:p>
      <w:pPr>
        <w:spacing w:after="0" w:line="1"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projected terminal value for each reporting unit, which represents the present value of projected cash flows beyond the last period in the discounted cash flow analysis. The terminal value reflects the Company's assumptions related to long-term growth rates and profitability, which are based on several factors, including local and macroeconomic variables, market opportunities, and future growth plans.</w:t>
      </w:r>
    </w:p>
    <w:p>
      <w:pPr>
        <w:jc w:val="both"/>
        <w:ind w:left="660" w:hanging="328"/>
        <w:spacing w:after="0" w:line="25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discount rate used to measure the present value of the projected future cash flows is set using a weighted-average cost of capital method that considers market and industry data as well as the Company's specific risk factors that are likely to be considered by a market participant. The weighted-average cost of capital is the Company's estimate of the overall after-tax rate of return required by equity and debt holders of a business enterprise.</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the results of step one of the impairment test, the Company determined that the carrying value of the U.S. Spine reporting unit exceeded its respective fair value, and accordingly, the Company proceeded to step two of the impairment test.</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second step, the Company assigned the reporting unit's fair value to all of its assets and liabilities, including any unrecognized intangible assets, in a hypothetical analysis that calculates the implied fair value of goodwill in the same manner as if the reporting unit were being acquired in a business combination. If the implied fair value of the reporting unit's goodwill is less than the carrying value, the difference is recorded as an impairment charge. This allocation process was performed only for the purposes of measuring the goodwill impairment and not to adjust the carrying values of the recognized tangible assets and liabilities. Step two of the impairment test was initiated in the third quarter of 2013, but due to the time necessary to complete the analysis, was not completed at that time. The Company recorded its estimate of the goodwill impairment charge of $46.7 million in the third quarter of 2013, which represented the remaining goodwill balance in the U.S. Spine reporting unit. During the fourth quarter of 2013, the Company finalized the step two analysis relating to its impairment assessment of the goodwill and there were no changes to the impairment charge initially recorded. Approximately $16.2 million of the goodwill impairment charge was deductible for tax purposes.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in 2013 and 2012 were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U.S.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U.S.</w:t>
            </w:r>
          </w:p>
        </w:tc>
        <w:tc>
          <w:tcPr>
            <w:tcW w:w="20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U.S.</w:t>
            </w:r>
          </w:p>
        </w:tc>
        <w:tc>
          <w:tcPr>
            <w:tcW w:w="18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7"/>
              </w:rPr>
              <w:t>U.S.</w:t>
            </w:r>
          </w:p>
        </w:tc>
        <w:tc>
          <w:tcPr>
            <w:tcW w:w="420" w:type="dxa"/>
            <w:vAlign w:val="bottom"/>
          </w:tcPr>
          <w:p>
            <w:pPr>
              <w:spacing w:after="0"/>
              <w:rPr>
                <w:sz w:val="12"/>
                <w:szCs w:val="12"/>
                <w:color w:val="auto"/>
              </w:rPr>
            </w:pPr>
          </w:p>
        </w:tc>
        <w:tc>
          <w:tcPr>
            <w:tcW w:w="9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Spine</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Pr>
          <w:p>
            <w:pPr>
              <w:spacing w:after="0"/>
              <w:rPr>
                <w:sz w:val="12"/>
                <w:szCs w:val="12"/>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Neurosurgery</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Instruments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Extremities</w:t>
            </w: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gross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94,312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57,514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60,353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56,219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294,067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December 31, 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94,312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57,514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60,353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56,219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294,067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Tarsus Medical, Inc. acquisition</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(46,738)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95,165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58,033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61,079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9,587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25,900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249,764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Identifiable intangible assets are initially recorded at fair market value at the time of acquisition generally using an income or cost approach. The Company capitalizes costs incurred to renew or extend the term of recognized intangible assets and amortizes those costs over their expected useful lives.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- 10</w:t>
      </w:r>
    </w:p>
    <w:p>
      <w:pPr>
        <w:sectPr>
          <w:pgSz w:w="11900" w:h="16838" w:orient="portrait"/>
          <w:cols w:equalWidth="0" w:num="1">
            <w:col w:w="11420"/>
          </w:cols>
          <w:pgMar w:left="240" w:top="12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Pr>
          <w:p>
            <w:pPr>
              <w:spacing w:after="0"/>
              <w:rPr>
                <w:sz w:val="16"/>
                <w:szCs w:val="16"/>
                <w:color w:val="auto"/>
              </w:rPr>
            </w:pPr>
          </w:p>
        </w:tc>
        <w:tc>
          <w:tcPr>
            <w:tcW w:w="116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8"/>
              </w:rPr>
              <w:t>December 31, 2013</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20" w:type="dxa"/>
            <w:vAlign w:val="bottom"/>
          </w:tcPr>
          <w:p>
            <w:pPr>
              <w:jc w:val="center"/>
              <w:ind w:left="16"/>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1"/>
              </w:rPr>
              <w:t>December 31, 2012</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14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3"/>
                <w:szCs w:val="13"/>
                <w:color w:val="auto"/>
              </w:rPr>
            </w:pPr>
          </w:p>
        </w:tc>
        <w:tc>
          <w:tcPr>
            <w:tcW w:w="8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Net</w:t>
            </w:r>
          </w:p>
        </w:tc>
        <w:tc>
          <w:tcPr>
            <w:tcW w:w="1240" w:type="dxa"/>
            <w:vAlign w:val="bottom"/>
            <w:gridSpan w:val="2"/>
          </w:tcPr>
          <w:p>
            <w:pPr>
              <w:jc w:val="center"/>
              <w:ind w:right="20"/>
              <w:spacing w:after="0" w:line="153"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3"/>
                <w:szCs w:val="13"/>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80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4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Life</w:t>
            </w:r>
          </w:p>
        </w:tc>
        <w:tc>
          <w:tcPr>
            <w:tcW w:w="9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Life</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20" w:type="dxa"/>
            <w:vAlign w:val="bottom"/>
            <w:gridSpan w:val="3"/>
          </w:tcPr>
          <w:p>
            <w:pPr>
              <w:ind w:left="1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Completed technology</w:t>
            </w: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 years  $</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81,238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35,895</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 years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75,692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(38,402)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37,290</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w w:val="96"/>
              </w:rPr>
              <w:t>Customer relationships</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12 years</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146,627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(79,624)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67,003</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 years</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147,690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(70,005)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77,685</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Trademarks/brand</w:t>
            </w: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names</w:t>
            </w:r>
          </w:p>
        </w:tc>
        <w:tc>
          <w:tcPr>
            <w:tcW w:w="14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 years</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33,703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18,055</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 years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18,773</w:t>
            </w:r>
          </w:p>
        </w:tc>
        <w:tc>
          <w:tcPr>
            <w:tcW w:w="0" w:type="dxa"/>
            <w:vAlign w:val="bottom"/>
          </w:tcPr>
          <w:p>
            <w:pPr>
              <w:spacing w:after="0"/>
              <w:rPr>
                <w:sz w:val="1"/>
                <w:szCs w:val="1"/>
                <w:color w:val="auto"/>
              </w:rPr>
            </w:pPr>
          </w:p>
        </w:tc>
      </w:tr>
      <w:tr>
        <w:trPr>
          <w:trHeight w:val="229"/>
        </w:trPr>
        <w:tc>
          <w:tcPr>
            <w:tcW w:w="1840" w:type="dxa"/>
            <w:vAlign w:val="bottom"/>
          </w:tcPr>
          <w:p>
            <w:pPr>
              <w:ind w:left="40"/>
              <w:spacing w:after="0"/>
              <w:rPr>
                <w:sz w:val="20"/>
                <w:szCs w:val="20"/>
                <w:color w:val="auto"/>
              </w:rPr>
            </w:pPr>
            <w:r>
              <w:rPr>
                <w:rFonts w:ascii="Arial" w:cs="Arial" w:eastAsia="Arial" w:hAnsi="Arial"/>
                <w:sz w:val="18"/>
                <w:szCs w:val="18"/>
                <w:color w:val="auto"/>
              </w:rPr>
              <w:t>Trademarks/brand</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tcPr>
          <w:p>
            <w:pPr>
              <w:ind w:left="40"/>
              <w:spacing w:after="0"/>
              <w:rPr>
                <w:sz w:val="20"/>
                <w:szCs w:val="20"/>
                <w:color w:val="auto"/>
              </w:rPr>
            </w:pPr>
            <w:r>
              <w:rPr>
                <w:rFonts w:ascii="Arial" w:cs="Arial" w:eastAsia="Arial" w:hAnsi="Arial"/>
                <w:sz w:val="18"/>
                <w:szCs w:val="18"/>
                <w:color w:val="auto"/>
              </w:rPr>
              <w:t>names</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Indefinite</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48,484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48,484</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Indefinite</w:t>
            </w:r>
          </w:p>
        </w:tc>
        <w:tc>
          <w:tcPr>
            <w:tcW w:w="2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48,484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48,484</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4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 years</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25,416</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 years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26,904</w:t>
            </w:r>
          </w:p>
        </w:tc>
        <w:tc>
          <w:tcPr>
            <w:tcW w:w="0" w:type="dxa"/>
            <w:vAlign w:val="bottom"/>
          </w:tcPr>
          <w:p>
            <w:pPr>
              <w:spacing w:after="0"/>
              <w:rPr>
                <w:sz w:val="1"/>
                <w:szCs w:val="1"/>
                <w:color w:val="auto"/>
              </w:rPr>
            </w:pPr>
          </w:p>
        </w:tc>
      </w:tr>
      <w:tr>
        <w:trPr>
          <w:trHeight w:val="270"/>
        </w:trPr>
        <w:tc>
          <w:tcPr>
            <w:tcW w:w="18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160" w:type="dxa"/>
            <w:vAlign w:val="bottom"/>
            <w:tcBorders>
              <w:bottom w:val="single" w:sz="8" w:color="CCEEFF"/>
            </w:tcBorders>
          </w:tcPr>
          <w:p>
            <w:pPr>
              <w:jc w:val="right"/>
              <w:ind w:right="55"/>
              <w:spacing w:after="0"/>
              <w:rPr>
                <w:sz w:val="20"/>
                <w:szCs w:val="20"/>
                <w:color w:val="auto"/>
              </w:rPr>
            </w:pPr>
            <w:r>
              <w:rPr>
                <w:rFonts w:ascii="Arial" w:cs="Arial" w:eastAsia="Arial" w:hAnsi="Arial"/>
                <w:sz w:val="18"/>
                <w:szCs w:val="18"/>
                <w:color w:val="auto"/>
              </w:rPr>
              <w:t>5 years</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4,251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2,310</w:t>
            </w:r>
          </w:p>
        </w:tc>
        <w:tc>
          <w:tcPr>
            <w:tcW w:w="12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4 years</w:t>
            </w: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4,519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3,131</w:t>
            </w:r>
          </w:p>
        </w:tc>
        <w:tc>
          <w:tcPr>
            <w:tcW w:w="0" w:type="dxa"/>
            <w:vAlign w:val="bottom"/>
          </w:tcPr>
          <w:p>
            <w:pPr>
              <w:spacing w:after="0"/>
              <w:rPr>
                <w:sz w:val="1"/>
                <w:szCs w:val="1"/>
                <w:color w:val="auto"/>
              </w:rPr>
            </w:pPr>
          </w:p>
        </w:tc>
      </w:tr>
      <w:tr>
        <w:trPr>
          <w:trHeight w:val="269"/>
        </w:trPr>
        <w:tc>
          <w:tcPr>
            <w:tcW w:w="18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349,024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197,163</w:t>
            </w: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344,913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(132,646)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212,267</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(1)  At December 31, 2013 and 2012, all other included IPR&amp;D of $1.4 million and $1.7 million, respectively, which was indefinite-lived.</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performs its assessment of the recoverability of indefinite-lived intangible assets annually during the second quarter, or more frequently as impairment indicators arise, and it is based upon a comparison of the carrying value of such assets to their estimated fair values. The Company performed its most recent annual assessment during the second quarter of 2013, which resulted in no additional impairments.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2013, the Company recorded impairment charges of $0.4 million in research and development expense related to IPR&amp;D projects that have been discontinued in its U.S Extremities segment.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2012, the Company recorded impairment charges of $0.1 million in cost of goods sold of its U.S. Neurosurgery segment related to technology assets whose related products were being discontinued.</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2011, the Company recorded impairment charges to finite-lived intangible assets of $2.1 million related to technology assets whose related products were discontinued and $0.2 million related to a trade name that it no longer used because of the rebranding strategy. The Company recorded the charges as a component of cost of goods sold and amortization expense, respectively. The Company also identified one indefinite-lived trade name asset that it no longer used as a result of its rebranding strategy, which resulted in an impairment of $0.9 million. This charge was recorded as a component of amortization expense.</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Amortization expense for the years ended December 31, 2013, 2012 and 2011 was $19.4 million, $25.1 million and $24.6 million, respectively. Annual amortization expense (including amounts reported in cost of product revenues, but excluding any possible future amortization associated with 1) acquired IPR&amp;D, and 2) intangible assets that may be capitalized as a result of our Confluent Surgical acquisition in January 2014 (see Note 16)), is expected to approximate $18.4 million in 2014, $16.5 million in 2015, $14.3 million in 2016, $12.5 million in 2017 and $12.1 million in 2018. Amortization of product technology based intangible assets totaled $6.7 million, $6.6 million and $8.2 million for the years ended December 31, 2013, 2012 and 2011, respectively, and is presented by the Company within cost of goods sold.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Long-lived assets held and used by the Company, including property, plant and equipment and intangible assets, are reviewed for impairment whenever events or changes in circumstances indicate that the carrying amount of an asset may not be recoverable. For purposes of evaluating the recoverability of long-lived assets to be held and used, a recoverability test is performed using projected undiscounted net cash flows applicable to the long-lived assets. If an impairment exists, the amount of such impairment is calculated based on the estimated fair value of the asset. Impairments to long-lived assets to be disposed of are recorded based upon the difference between the carrying value and the fair value of the applicable assets.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 FOUNDATION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may periodically make contributions to the Integra Foundation, Inc. The Integra Foundation was incorporated in 2002 exclusively for charitable, educational, and scientific purposes and qualifies under IRC 501(c)(3) as an exempt private foundation. Under its charter, the Integra Foundation engages in activities that promote health, the diagnosis and treatment of disease, and the development of medical science through grants, contributions and other appropriate means. The Integra Foundation is a separate legal entity and is not a subsidiary of the Company; therefore, its results are not included in these consolidated financial</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- 11</w:t>
      </w:r>
    </w:p>
    <w:p>
      <w:pPr>
        <w:sectPr>
          <w:pgSz w:w="11900" w:h="16838" w:orient="portrait"/>
          <w:cols w:equalWidth="0" w:num="1">
            <w:col w:w="11420"/>
          </w:cols>
          <w:pgMar w:left="240" w:top="12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statements. The Company contributed $0.6 million, $1.0 million and $0.3 million to the Integra Foundation during the years ended December 31, 2013, 2012 and 2011, respectively. These contributions were recorded in selling, general, and administrative expense.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develops, manufactures, and sells medical devices globally, and its earnings and cash flows are exposed to market risk from changes in interest rates and currency exchange rates. The Company addresses these risks through a risk management program that includes the use of derivative financial instruments, and operates the program pursuant to documented corporate risk management policies. All derivative financial instruments are recognized in the financial statements at fair value in accordance with the authoritative guidance. Under the guidance, for those instruments that are designated and qualify as hedging instruments, the hedging instrument must be designated as a fair value hedge, cash flow hedge, or a hedge of a net investment in a foreign operation, based on the exposure being hedged. The accounting for changes in the fair value of a derivative instrument depends on whether it has been designated and qualifies as part of a hedging relationship and, further, on the type of hedging relationship. The Company's derivative instruments do not subject its earnings or cash flows to material risk, and gains and losses on these derivatives generally offset losses and gains on the item being hedged. The Company has not entered into derivative transactions for speculative purposes and from time to time, the Company may enter into derivatives that are not designated as hedging instruments in order to protect itself from currency volatility due to intercompany balances.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derivative instruments are recognized at their fair values as either assets or liabilities on the balance sheet. The Company determines the fair value of its derivative instruments, using the framework prescribed by the authoritative guidance, by considering the estimated amount the Company would receive to sell or transfer these instruments at the reporting date and by taking into account: expected forward interest rates, currency exchange rates, the creditworthiness of the counterparty for assets, and its creditworthiness for liabilities. In certain instances, the Company utilizes a discounted cash flow model to measure fair value. Generally, the Company uses inputs that include quoted prices for similar assets or liabilities in active markets, other observable inputs for the asset or liability and inputs derived principally from, or corroborated by, observable market data by correlation or other means. The Company has classified all of its derivative assets and liabilities within Level 2 of the fair value hierarchy because observable inputs are available for substantially the full term of its derivative instruments. The Company classifies derivatives that meet the definition of hedges in the same category as the item being hedged for cash flow presentation purposes.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 assets and liabilities of foreign subsidiaries which have a functional currency other than the U.S. dollar are translated at the rate of exchange at year-end, while elements of the income statement are translated at the average exchange rates in effect during the year. The net effect of these translation adjustments is shown as a component of accumulated other comprehensive income (loss). These currency translation adjustments are not currently adjusted for income taxes as they relate to permanent investments in non-U.S. subsidiaries. Foreign currency transaction gains and losses are reported in other income (expense), net.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Income taxes are accounted for by using the asset and liability method. Deferred tax assets and liabilities are recognized for the estimated future tax consequences attributable to differences between the financial statement carrying amounts of existing assets and liabilities and their respective tax basis. A valuation allowance is provided when it is more likely than not that some portion or all of the deferred tax assets will not be realized. The effect on deferred tax assets and liabilities of a change in tax rates is recognized in income in the period when the change is enacted.</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recognizes a tax benefit from an uncertain tax position only if it is more likely than not to be sustained upon examination based on the technical merits of the position. Reserves are established for positions that don't meet this recognition threshold. The reserve is measured as the largest amount of benefit determined on a cumulative probability basis that the Company believes is more likely than not to be realized upon ultimate settlement of the position. These reserves are classified as long-term liabilities in the consolidated balance sheets of the Company. The Company also records interest and penalties accrued in relation to uncertain tax benefits as a component of income tax expense.</w:t>
      </w:r>
    </w:p>
    <w:p>
      <w:pPr>
        <w:spacing w:after="0" w:line="11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While the Company believes it has identified all reasonably identifiable exposures and the reserve it has established for identifiable exposures is appropriate under the circumstances, it is possible that additional exposures exist and that exposures may be settled at amounts different than the amounts reserved. It is also possible that changes in facts and circumstances could cause the Company to either materially increase or reduce the carrying amount of its tax reserve.</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policy has been to leave its unremitted foreign earnings invested indefinitely outside the United States, and it intends to continue this policy. As such, taxes have not been provided on any of the remaining accumulated foreign unremitted earnings. Where it has become apparent that some or all of the undistributed earnings will be remitted in the foreseeable future, tax consequences are considered.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revenues, net, include product sales, product royalties and other revenues, such as fees received under research, licensing, distribution arrangements, research grants, and technology-related royalties.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- 12</w:t>
      </w:r>
    </w:p>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is recognized when persuasive evidence of an arrangement exists, delivery has occurred; title and risk of loss have passed to the customer, there is a fixed or determinable sales price, and collectability of that sales price is reasonably assured. For product sales, the Company's stated terms are primarily FOB shipping point and with most customers, title and risk of loss pass to the customer at that time. With certain United States customers, the Company retains risk of loss until the customers receive the product, and in those situations, the Company recognizes revenue upon receipt by the customer. A portion of the Company's product revenue is generated from consigned inventory maintained at hospitals and distributors, and also from inventory physically held by field sales representatives. For these types of products sales, the Company retains title until receiving appropriate notification that the product has been used or implanted, at which time revenue is recognized.</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revenue transaction is evidenced by either a contract with the customer or a valid purchase order and an invoice which includes all relevant terms of sale. There are generally no significant customer acceptance or other conditions that prevent the Company from recognizing revenue in accordance with its delivery terms. In certain cases, where the Company has performance obligations that are significant to the functionality of the product, the Company recognizes revenue upon fulfillment of its obligation.</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invoices issued to customers contain the Company's price for each product or service. The Company performs a review of each specific customer's credit worthiness and ability to pay prior to accepting them as a customer. Further, the Company performs periodic reviews of its customers' status prospectively.</w:t>
      </w:r>
    </w:p>
    <w:p>
      <w:pPr>
        <w:spacing w:after="0" w:line="12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records a provision for estimated returns and allowances on revenues in the same period as the related revenues are recorded. These estimates are based on historical sales returns and discounts and other known factors. The provisions are recorded as a reduction to revenues.</w:t>
      </w:r>
    </w:p>
    <w:p>
      <w:pPr>
        <w:spacing w:after="0" w:line="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return policy, as set forth in its product catalogs and sales invoices, requires the Company to review and authorize the return of product in advance. Upon authorization, a credit will be issued for goods returned within a set amount of days from shipment, which is generally ninety days.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royalties are estimated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revenues and estimated royalty revenues are adjusted in the period in which they become known, which is typically the following quarter. Historically, such adjustments have not been significant.</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operating revenues may include fees received under research, licensing, and distribution arrangements, technology-related royalties and research grants. Non-refundable fees received under research, licensing and distribution arrangements or for the licensing of technology are recognized as revenue when received if the Company has no continuing obligations to the other party. For those arrangements where the Company has continuing performance obligations, revenue is recognized using the lesser of the amount of non-refundable cash received or the result achieved using the proportional performance method of accounting based upon the estimated cost to complete these obligations. Research grant revenue is recognized when the related expenses are incurred.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FEES AND COSTS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Amounts billed to customers for shipping and handling are included in revenues. The related shipping and freight charges incurred by the Company are included in cost of goods sold. Distribution and handling costs of $14.1 million, $13.6 million and $11.5 million were recorded in selling, general and administrative expense during the years ended December 31, 2013, 2012 and 2011,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of the Company's medical devices, including monitoring systems and neurosurgical systems, are reusable and are designed to operate over long periods of time. These products are sold with warranties which may extend for up to two years from date of purchase. The Company accrues estimated product warranty costs at the time of sale based on historical experience. Any additional amounts are recorded when such costs are probable and can be reasonably estimated. Accrued warranty expense of $0.3 million and $0.4 million is recorded in the consolidated balance sheet at December 31, 2013 and 2012, respectively.</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 and development costs, including salaries, depreciation, consultant and other external fees, and facility costs directly attributable to research and development activities, are expensed in the period in which they are incurred.</w:t>
      </w:r>
    </w:p>
    <w:p>
      <w:pPr>
        <w:spacing w:after="0" w:line="1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IPR&amp;D recorded in connection with acquisitions represent the value assigned to acquired assets to be used in research and development activities and for which there is no alternative use. Value is generally assigned to these assets based on the net present value of the projected cash flows expected to be generated by those assets.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During 2013 the Company capitalized $0.3 million of IPR&amp;D as a result of current-year acquisitions, and there was none capitalized in 2012.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- 13</w:t>
      </w:r>
    </w:p>
    <w:p>
      <w:pPr>
        <w:sectPr>
          <w:pgSz w:w="11900" w:h="16838" w:orient="portrait"/>
          <w:cols w:equalWidth="0" w:num="1">
            <w:col w:w="11420"/>
          </w:cols>
          <w:pgMar w:left="240" w:top="12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TERMINATION BENEFITS AND OTHER EXIT-RELATED COSTS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does not have a written severance plan, and it does not offer similar termination benefits to affected employees in all restructuring initiatives. Accordingly, in situations where minimum statutory termination benefits must be paid to the affected employees, the Company records employee severance costs associated with these restructuring activities in accordance with the authoritative guidance for non-retirement post-employment benefits. Charges associated with these activities are recorded when the payment of benefits is probable and can be reasonably estimated. In all other situations where the Company pays out termination benefits, including supplemental benefits paid in excess of statutory minimum amounts and benefits offered to affected employees based on management's discretion, the Company records these termination costs in accordance with the authoritative guidance for exit or disposal costs.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timing of the recognition of charges for employee severance costs other than minimum statutory benefits depends on whether the affected employees are required to render service beyond their legal notification period in order to receive the benefits. If affected employees are required to render service beyond their legal notification period, charges are recognized ratably over the future service period. Otherwise, charges are recognized when management has approved a specific plan and employee communication requirements have been met.</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leased facilities and equipment that have been abandoned, the Company records estimated lease losses based on the fair value of the lease liability, as measured by the present value of future lease payments subsequent to abandonment, less the present value of any estimated sublease income on the cease-use date. For owned facilities and equipment that will be disposed of, the Company records impairment losses based on fair value less costs to sell. The Company also reviews the remaining useful life of long-lived assets following a decision to exit a facility and may accelerate depreciation or amortization of these assets, as appropriate.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applies the authoritative guidance for stock-based compensation. This guidance requires companies to recognize the expense related to the fair value of their stock-based compensation awards. Stock-based compensation expense for stock option awards granted after January 1, 2006 was based on the fair value on the grant date using the binomial distribution model. The Company recognized compensation expense for stock option awards, restricted stock awards, performance stock awards and contract stock awards on a ratable basis over the requisite service period of the award. The long form method was used in the determination of the windfall tax benefit in accordance with the guidance.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Defined benefit pension plans cover certain employees and retirees in the U.K. and former employees in Germany. Various factors are considered in determining the pension liability, including the number of employees expected to be paid their salary levels and years of service, the expected return on plan assets, the discount rate used to determine the benefit obligations, the timing of benefit payments and other actuarial assumptions. If the actual results and events for the pension plans differ from current assumptions, the benefit obligation may be over or under valued.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Retirement benefit plan assumptions are reassessed on an annual basis or more frequently if changes in circumstances indicate a re-evaluation of assumptions are required. The key benefit plan assumptions are the discount rate and expected rate of return on plan assets. The discount rate is based on average rates on bonds that matched the expected cash outflows of the benefit plans. The expected rate of return is based on historical and expected returns on the various categories of plan assets.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Pension contributions are expected to be consistent over the next few years since the Germany and U.K. plans are frozen. Contributions to the plans during the years ended December 31, 2013, 2012 and 2011 were $0.8 million, $0.8 million and $1.1 million,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cash and cash equivalents, which are held at major financial institutions, investment-grade marketable debt securities and trade receivables.</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products are sold on an uncollateralized basis and on credit terms based upon a credit risk assessment of each customer. A portion of the Company's trade receivables to customers outside the United States includes sales to foreign distributors, who then sell to government owned or supported healthcare systems. The ongoing economic conditions in certain European countries, especially Greece, Ireland, Italy, Portugal and Spain remain uncertain. Accounts receivable from customers in these countries was approximately $6.1 million at December 31, 2013, of which $0.7 million was reserved. At December 31, 2012, the accounts receivable from customers in these countries was $4.3 million, of which $0.4 million was reserved.</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None of the Company's customers accounted for 10% or more of the consolidated net sales during the years ended December 31, 2013, 2012 and 2011.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- 14</w:t>
      </w:r>
    </w:p>
    <w:p>
      <w:pPr>
        <w:sectPr>
          <w:pgSz w:w="11900" w:h="16838" w:orient="portrait"/>
          <w:cols w:equalWidth="0" w:num="1">
            <w:col w:w="11420"/>
          </w:cols>
          <w:pgMar w:left="240" w:top="12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STANDARDS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February 5, 2013, the Financial Accounting Standards Board (FASB) issued Accounting Standards Update (ASU) No. 2013-02, </w:t>
      </w:r>
      <w:r>
        <w:rPr>
          <w:rFonts w:ascii="Arial" w:cs="Arial" w:eastAsia="Arial" w:hAnsi="Arial"/>
          <w:sz w:val="17"/>
          <w:szCs w:val="17"/>
          <w:i w:val="1"/>
          <w:iCs w:val="1"/>
          <w:color w:val="auto"/>
        </w:rPr>
        <w:t>Reporting of Amounts</w:t>
      </w:r>
      <w:r>
        <w:rPr>
          <w:rFonts w:ascii="Arial" w:cs="Arial" w:eastAsia="Arial" w:hAnsi="Arial"/>
          <w:sz w:val="17"/>
          <w:szCs w:val="17"/>
          <w:color w:val="auto"/>
        </w:rPr>
        <w:t xml:space="preserve"> </w:t>
      </w:r>
      <w:r>
        <w:rPr>
          <w:rFonts w:ascii="Arial" w:cs="Arial" w:eastAsia="Arial" w:hAnsi="Arial"/>
          <w:sz w:val="17"/>
          <w:szCs w:val="17"/>
          <w:i w:val="1"/>
          <w:iCs w:val="1"/>
          <w:color w:val="auto"/>
        </w:rPr>
        <w:t>Reclassified Out of Accumulated Other Comprehensive Income</w:t>
      </w:r>
      <w:r>
        <w:rPr>
          <w:rFonts w:ascii="Arial" w:cs="Arial" w:eastAsia="Arial" w:hAnsi="Arial"/>
          <w:sz w:val="17"/>
          <w:szCs w:val="17"/>
          <w:color w:val="auto"/>
        </w:rPr>
        <w:t>. The objective of this standard is to improve the reporting of reclassifications out of</w:t>
      </w:r>
      <w:r>
        <w:rPr>
          <w:rFonts w:ascii="Arial" w:cs="Arial" w:eastAsia="Arial" w:hAnsi="Arial"/>
          <w:sz w:val="17"/>
          <w:szCs w:val="17"/>
          <w:i w:val="1"/>
          <w:iCs w:val="1"/>
          <w:color w:val="auto"/>
        </w:rPr>
        <w:t xml:space="preserve"> </w:t>
      </w:r>
      <w:r>
        <w:rPr>
          <w:rFonts w:ascii="Arial" w:cs="Arial" w:eastAsia="Arial" w:hAnsi="Arial"/>
          <w:sz w:val="17"/>
          <w:szCs w:val="17"/>
          <w:color w:val="auto"/>
        </w:rPr>
        <w:t>accumulated other comprehensive income. The amendment requires an entity to report the effect of significant reclassifications out of accumulated other comprehensive income on the respective line items in net income if the amount being reclassified is required under U.S. generally accepted accounting principles (GAAP) to be reclassified in its entirety to net income. For other amounts that are not required under U.S. GAAP to be reclassified in their entirety to net income in the same reporting period, an entity is required to cross-reference other disclosures required under U.S. GAAP that provide additional detail about those amounts. This would be the case when a portion of the amount reclassified out of accumulated other comprehensive income is reclassified to a balance sheet account (for example, inventory) instead of directly to income or expense in the same reporting period. This ASU is effective for fiscal years and interim periods within those years beginning after December 15, 2012 for public entities and its adoption did not have a material impact on the Company's financial statements.</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July 17, 2013, the FASB issued ASU No. 2013-10, </w:t>
      </w:r>
      <w:r>
        <w:rPr>
          <w:rFonts w:ascii="Arial" w:cs="Arial" w:eastAsia="Arial" w:hAnsi="Arial"/>
          <w:sz w:val="17"/>
          <w:szCs w:val="17"/>
          <w:i w:val="1"/>
          <w:iCs w:val="1"/>
          <w:color w:val="auto"/>
        </w:rPr>
        <w:t>Inclusion of the Fed Funds Effective Swap Rate (or Overnight Index Swap Rate) as a Benchmark</w:t>
      </w:r>
      <w:r>
        <w:rPr>
          <w:rFonts w:ascii="Arial" w:cs="Arial" w:eastAsia="Arial" w:hAnsi="Arial"/>
          <w:sz w:val="17"/>
          <w:szCs w:val="17"/>
          <w:color w:val="auto"/>
        </w:rPr>
        <w:t xml:space="preserve"> </w:t>
      </w:r>
      <w:r>
        <w:rPr>
          <w:rFonts w:ascii="Arial" w:cs="Arial" w:eastAsia="Arial" w:hAnsi="Arial"/>
          <w:sz w:val="17"/>
          <w:szCs w:val="17"/>
          <w:i w:val="1"/>
          <w:iCs w:val="1"/>
          <w:color w:val="auto"/>
        </w:rPr>
        <w:t>Interest Rate for Hedge Accounting Purposes</w:t>
      </w:r>
      <w:r>
        <w:rPr>
          <w:rFonts w:ascii="Arial" w:cs="Arial" w:eastAsia="Arial" w:hAnsi="Arial"/>
          <w:sz w:val="17"/>
          <w:szCs w:val="17"/>
          <w:color w:val="auto"/>
        </w:rPr>
        <w:t>. The revised standard allows entities to now use the Fed Funds Effective Swap Rate (which is the Overnight</w:t>
      </w:r>
      <w:r>
        <w:rPr>
          <w:rFonts w:ascii="Arial" w:cs="Arial" w:eastAsia="Arial" w:hAnsi="Arial"/>
          <w:sz w:val="17"/>
          <w:szCs w:val="17"/>
          <w:i w:val="1"/>
          <w:iCs w:val="1"/>
          <w:color w:val="auto"/>
        </w:rPr>
        <w:t xml:space="preserve"> </w:t>
      </w:r>
      <w:r>
        <w:rPr>
          <w:rFonts w:ascii="Arial" w:cs="Arial" w:eastAsia="Arial" w:hAnsi="Arial"/>
          <w:sz w:val="17"/>
          <w:szCs w:val="17"/>
          <w:color w:val="auto"/>
        </w:rPr>
        <w:t>Index Swap Rate, or OIS rate, in the U.S.) as a benchmark interest rate for hedge accounting purposes under U.S. GAAP. Previously, only U.S. Treasury and London Interbank Offered Rate (LIBOR) rates could be used as benchmark interest rates in hedge accounting. In issuing the new guidance, which became effective July 17, 2013, the FASB responded to an increase in demand for hedging exposures to the OIS rate, driven partly by regulations that require collateralization and central clearing of over-the-counter derivatives. The guidance allows entities to develop new hedging strategies but does not resolve ineffectiveness issues that arise in existing LIBOR hedges when the OIS rate is used to discount future cash flows. The standard adoption did not have a material impact on the Company's financial statements.</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July 18, 2013, the FASB issued ASU No. 2013-11, </w:t>
      </w:r>
      <w:r>
        <w:rPr>
          <w:rFonts w:ascii="Arial" w:cs="Arial" w:eastAsia="Arial" w:hAnsi="Arial"/>
          <w:sz w:val="17"/>
          <w:szCs w:val="17"/>
          <w:i w:val="1"/>
          <w:iCs w:val="1"/>
          <w:color w:val="auto"/>
        </w:rPr>
        <w:t>Presentation of an Unrecognized Tax Benefit When a Net Operating Loss Carryforward, a Similar Tax</w:t>
      </w:r>
      <w:r>
        <w:rPr>
          <w:rFonts w:ascii="Arial" w:cs="Arial" w:eastAsia="Arial" w:hAnsi="Arial"/>
          <w:sz w:val="17"/>
          <w:szCs w:val="17"/>
          <w:color w:val="auto"/>
        </w:rPr>
        <w:t xml:space="preserve"> </w:t>
      </w:r>
      <w:r>
        <w:rPr>
          <w:rFonts w:ascii="Arial" w:cs="Arial" w:eastAsia="Arial" w:hAnsi="Arial"/>
          <w:sz w:val="17"/>
          <w:szCs w:val="17"/>
          <w:i w:val="1"/>
          <w:iCs w:val="1"/>
          <w:color w:val="auto"/>
        </w:rPr>
        <w:t>Loss, or a Tax Credit Carryforward Exists</w:t>
      </w:r>
      <w:r>
        <w:rPr>
          <w:rFonts w:ascii="Arial" w:cs="Arial" w:eastAsia="Arial" w:hAnsi="Arial"/>
          <w:sz w:val="17"/>
          <w:szCs w:val="17"/>
          <w:color w:val="auto"/>
        </w:rPr>
        <w:t>. This updated guidance requires an unrecognized tax benefit to be presented in the financial statements as a</w:t>
      </w:r>
      <w:r>
        <w:rPr>
          <w:rFonts w:ascii="Arial" w:cs="Arial" w:eastAsia="Arial" w:hAnsi="Arial"/>
          <w:sz w:val="17"/>
          <w:szCs w:val="17"/>
          <w:i w:val="1"/>
          <w:iCs w:val="1"/>
          <w:color w:val="auto"/>
        </w:rPr>
        <w:t xml:space="preserve"> </w:t>
      </w:r>
      <w:r>
        <w:rPr>
          <w:rFonts w:ascii="Arial" w:cs="Arial" w:eastAsia="Arial" w:hAnsi="Arial"/>
          <w:sz w:val="17"/>
          <w:szCs w:val="17"/>
          <w:color w:val="auto"/>
        </w:rPr>
        <w:t>reduction to a deferred tax asset for a net operating loss carryforward, similar tax loss, or a tax credit carryforward. To the extent the tax benefit is not available at the reporting date under the governing tax law or if the entity does not intend to use the deferred tax asset for such purpose, the unrecognized tax benefit should be presented as a liability and not combined with deferred tax assets. This ASU is effective for fiscal years and interim periods within those years beginning after December 15, 2013 for public entities. Early adoption is permitted. The amendments are to be applied to all unrecognized tax benefits that exist as of the effective date and may be applied retrospectively to each prior reporting period presented. The standard adoption will not have a material impact on the Company's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payment of accreted interest associated with the settlement of the 2012 Convertible Notes, cash paid for interest during the years ended December 31, 2013, 2012 and 2011 was $9.5 million (net of $3.2 million that was capitalized into construction in progress), $12.0 million (net of $2.1 million that was capitalized into construction in progress) and $13.2 million,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Cash paid for income taxes for the years ended December 31, 2013, 2012 and 2011 was $7.6 million, $12.7 million and $14.5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purchases included in liabilities at December 31, 2013, 2012 and 2011 were $8.6 million, $9.5 million and $6.4 million,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2013 the Company entered into a capital lease for equipment in the amount of $1.6 million.</w:t>
      </w:r>
    </w:p>
    <w:p>
      <w:pPr>
        <w:spacing w:after="0" w:line="86" w:lineRule="exact"/>
        <w:rPr>
          <w:sz w:val="20"/>
          <w:szCs w:val="20"/>
          <w:color w:val="auto"/>
        </w:rPr>
      </w:pPr>
    </w:p>
    <w:p>
      <w:pPr>
        <w:ind w:right="7480" w:firstLine="8"/>
        <w:spacing w:after="0" w:line="346" w:lineRule="auto"/>
        <w:tabs>
          <w:tab w:leader="none" w:pos="17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AND PRO FORMA RESULTS </w:t>
      </w:r>
      <w:r>
        <w:rPr>
          <w:rFonts w:ascii="Arial" w:cs="Arial" w:eastAsia="Arial" w:hAnsi="Arial"/>
          <w:sz w:val="18"/>
          <w:szCs w:val="18"/>
          <w:i w:val="1"/>
          <w:iCs w:val="1"/>
          <w:u w:val="single" w:color="auto"/>
          <w:color w:val="auto"/>
        </w:rPr>
        <w:t>Tarsus Medical Inc.</w:t>
      </w:r>
    </w:p>
    <w:p>
      <w:pPr>
        <w:spacing w:after="0" w:line="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January 24, 2013, the Company acquired all outstanding preferred and common stock of Tarsus Medical, Inc. ("Tarsus") for a total of $4.7 million consisting of $3.1 million in cash (including working capital adjustments of $0.2 million) and contingent consideration with an estimated acquisition date fair value of approximately $1.6 million. The potential maximum undiscounted contingent consideration consists of a first milestone payment of up to $1.5 million and a second payment of up to $11.5 million. These payments are based on reaching certain sales thresholds of acquired products. Tarsus is a podiatry device company addressing clinical needs associated with diseases and injuries of the foot and ankle.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- 15</w:t>
      </w:r>
    </w:p>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final allocation of the purchase price based on fair value of the assets acquired and liabilities assumed: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jc w:val="center"/>
              <w:ind w:right="94"/>
              <w:spacing w:after="0"/>
              <w:rPr>
                <w:sz w:val="20"/>
                <w:szCs w:val="20"/>
                <w:color w:val="auto"/>
              </w:rPr>
            </w:pPr>
            <w:r>
              <w:rPr>
                <w:rFonts w:ascii="Arial" w:cs="Arial" w:eastAsia="Arial" w:hAnsi="Arial"/>
                <w:sz w:val="14"/>
                <w:szCs w:val="14"/>
                <w:b w:val="1"/>
                <w:bCs w:val="1"/>
                <w:color w:val="auto"/>
                <w:w w:val="92"/>
              </w:rPr>
              <w:t>Final Purchase Price</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92"/>
        </w:trPr>
        <w:tc>
          <w:tcPr>
            <w:tcW w:w="7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1"/>
              </w:rPr>
              <w:t>Allocation</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50"/>
        </w:trPr>
        <w:tc>
          <w:tcPr>
            <w:tcW w:w="7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center"/>
              <w:ind w:right="94"/>
              <w:spacing w:after="0"/>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6"/>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21"/>
                <w:szCs w:val="21"/>
                <w:color w:val="auto"/>
              </w:rPr>
            </w:pP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3"/>
              </w:rPr>
              <w:t>Wtd. Avg. Life:</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380"/>
              <w:spacing w:after="0"/>
              <w:rPr>
                <w:sz w:val="20"/>
                <w:szCs w:val="20"/>
                <w:color w:val="auto"/>
              </w:rPr>
            </w:pPr>
            <w:r>
              <w:rPr>
                <w:rFonts w:ascii="Arial" w:cs="Arial" w:eastAsia="Arial" w:hAnsi="Arial"/>
                <w:sz w:val="18"/>
                <w:szCs w:val="18"/>
                <w:color w:val="auto"/>
              </w:rPr>
              <w:t>Technology</w:t>
            </w:r>
          </w:p>
        </w:tc>
        <w:tc>
          <w:tcPr>
            <w:tcW w:w="200" w:type="dxa"/>
            <w:vAlign w:val="bottom"/>
          </w:tcPr>
          <w:p>
            <w:pPr>
              <w:spacing w:after="0"/>
              <w:rPr>
                <w:sz w:val="21"/>
                <w:szCs w:val="21"/>
                <w:color w:val="auto"/>
              </w:rPr>
            </w:pP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5,040</w:t>
            </w:r>
          </w:p>
        </w:tc>
        <w:tc>
          <w:tcPr>
            <w:tcW w:w="180" w:type="dxa"/>
            <w:vAlign w:val="bottom"/>
          </w:tcPr>
          <w:p>
            <w:pPr>
              <w:spacing w:after="0"/>
              <w:rPr>
                <w:sz w:val="21"/>
                <w:szCs w:val="21"/>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10 - 14 years</w:t>
            </w: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In-process 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340</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Indefinite</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Deferred tax asset - long term</w:t>
            </w:r>
          </w:p>
        </w:tc>
        <w:tc>
          <w:tcPr>
            <w:tcW w:w="200" w:type="dxa"/>
            <w:vAlign w:val="bottom"/>
          </w:tcPr>
          <w:p>
            <w:pPr>
              <w:spacing w:after="0"/>
              <w:rPr>
                <w:sz w:val="21"/>
                <w:szCs w:val="21"/>
                <w:color w:val="auto"/>
              </w:rPr>
            </w:pP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1,334</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Total assets acquired</w:t>
            </w: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6,928</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
        </w:trPr>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200" w:type="dxa"/>
            <w:vAlign w:val="bottom"/>
          </w:tcPr>
          <w:p>
            <w:pPr>
              <w:spacing w:after="0"/>
              <w:rPr>
                <w:sz w:val="21"/>
                <w:szCs w:val="21"/>
                <w:color w:val="auto"/>
              </w:rPr>
            </w:pP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2,152</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r>
      <w:tr>
        <w:trPr>
          <w:trHeight w:val="269"/>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4,665</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Management determined the preliminary fair value of net assets acquired during the first quarter of 2013 and finalized the working capital adjustment in the second quarter of 2013. The Company accounts for the contingent consideration by recording its fair value as a liability on the date of the acquisition and re-measuring the fair value at each reporting date until the contingency is resolved. Changes in fair value of the contingent consideration are recognized in earnings. Accordingly, on January 24, 2013 the Company recorded $1.6 million representing the initial fair value estimate of the contingent consideration that will be earned through December 31, 2015. The fair value of this liability is based on future sales projections of the Tarsus Medical product under various potential scenarios and weighting the probability of these outcomes for the period ended December 31, 2015. At the date of the acquisition, the first milestone cash flow projection was discounted using a rate of 4.3% based on an estimated after tax cost of debt; the second milestone cash flow projection was discounted using a weighted average cost of capital of 16.5%. These fair value measurements were based on significant inputs not observed in the market and thus represented a Level 3 measurement.</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2013 the carrying value of the second milestone was reduced to zero as management determined that the probability was remote that the underlying sales threshold needed to warrant a payment would be achieved. Additionally, the carrying value of the first milestone was increased to reflect the change in the time value of money during the period. A reconciliation of the opening balances to the closing balances of these Level 3 measurements are as follows (dollars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Location in Statement of Operations</w:t>
            </w:r>
          </w:p>
        </w:tc>
      </w:tr>
      <w:tr>
        <w:trPr>
          <w:trHeight w:val="27"/>
        </w:trPr>
        <w:tc>
          <w:tcPr>
            <w:tcW w:w="57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 2013</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5160" w:type="dxa"/>
            <w:vAlign w:val="bottom"/>
            <w:tcBorders>
              <w:bottom w:val="single" w:sz="8" w:color="CCEEFF"/>
            </w:tcBorders>
            <w:gridSpan w:val="3"/>
            <w:shd w:val="clear" w:color="auto" w:fill="CCEEFF"/>
          </w:tcPr>
          <w:p>
            <w:pPr>
              <w:jc w:val="right"/>
              <w:ind w:right="4230"/>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Contingent consideration from Tarsus acquisition</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21"/>
                <w:szCs w:val="21"/>
                <w:color w:val="auto"/>
              </w:rPr>
            </w:pPr>
          </w:p>
        </w:tc>
        <w:tc>
          <w:tcPr>
            <w:tcW w:w="410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decrease in fair value of contingent consideration liability</w:t>
            </w:r>
          </w:p>
        </w:tc>
        <w:tc>
          <w:tcPr>
            <w:tcW w:w="540" w:type="dxa"/>
            <w:vAlign w:val="bottom"/>
            <w:tcBorders>
              <w:bottom w:val="single" w:sz="8" w:color="CCEEFF"/>
            </w:tcBorders>
            <w:shd w:val="clear" w:color="auto" w:fill="CCEEFF"/>
          </w:tcPr>
          <w:p>
            <w:pPr>
              <w:spacing w:after="0"/>
              <w:rPr>
                <w:sz w:val="23"/>
                <w:szCs w:val="23"/>
                <w:color w:val="auto"/>
              </w:rPr>
            </w:pPr>
          </w:p>
        </w:tc>
        <w:tc>
          <w:tcPr>
            <w:tcW w:w="51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(373)  Selling, general and administrative</w:t>
            </w:r>
          </w:p>
        </w:tc>
      </w:tr>
      <w:tr>
        <w:trPr>
          <w:trHeight w:val="257"/>
        </w:trPr>
        <w:tc>
          <w:tcPr>
            <w:tcW w:w="5720" w:type="dxa"/>
            <w:vAlign w:val="bottom"/>
          </w:tcPr>
          <w:p>
            <w:pPr>
              <w:ind w:left="40"/>
              <w:spacing w:after="0"/>
              <w:rPr>
                <w:sz w:val="20"/>
                <w:szCs w:val="20"/>
                <w:color w:val="auto"/>
              </w:rPr>
            </w:pPr>
            <w:r>
              <w:rPr>
                <w:rFonts w:ascii="Arial" w:cs="Arial" w:eastAsia="Arial" w:hAnsi="Arial"/>
                <w:sz w:val="18"/>
                <w:szCs w:val="18"/>
                <w:color w:val="auto"/>
              </w:rPr>
              <w:t>Fair value at December 31, 2013</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20"/>
        </w:trPr>
        <w:tc>
          <w:tcPr>
            <w:tcW w:w="57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goodwill recorded in connection with this acquisition is based on (i) expected cost savings, operating synergies and other benefits expected to result from the combined operations, (ii) the value of the going-concern element of Tarsus’ existing business (that is, the higher rate of return on the assembled net assets versus if the Company had acquired all of the net assets separately), and (iii) intangible assets that do not qualify for separate recognition such as Tarsus’ assembled workforce. The goodwill acquired will not be deductible for tax purposes.</w:t>
      </w:r>
    </w:p>
    <w:p>
      <w:pPr>
        <w:spacing w:after="0" w:line="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impact of the Tarsus acquisition is not material to the consolidated operating results of the Company; therefore, the pro-forma impact of the acquisition has not been presented.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Ascension Orthopedics, Inc.</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23, 2011, the Company acquired Ascension Orthopedics, Inc. (“Ascension”) for $66.0 million, which includes amounts paid for working capital adjustments of $0.2 million less amounts received from escrow of $0.7 million. Ascension, based in Austin, Texas, develops and distributes a range of implants for the shoulder, elbow, wrist, hand, foot and ankle.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- 16</w:t>
      </w:r>
    </w:p>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final allocation of the purchase price based on fair value of the assets acquired and liabilities assumed: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jc w:val="center"/>
              <w:ind w:right="154"/>
              <w:spacing w:after="0"/>
              <w:rPr>
                <w:sz w:val="20"/>
                <w:szCs w:val="20"/>
                <w:color w:val="auto"/>
              </w:rPr>
            </w:pPr>
            <w:r>
              <w:rPr>
                <w:rFonts w:ascii="Arial" w:cs="Arial" w:eastAsia="Arial" w:hAnsi="Arial"/>
                <w:sz w:val="14"/>
                <w:szCs w:val="14"/>
                <w:b w:val="1"/>
                <w:bCs w:val="1"/>
                <w:color w:val="auto"/>
                <w:w w:val="97"/>
              </w:rPr>
              <w:t>Final</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49"/>
        </w:trPr>
        <w:tc>
          <w:tcPr>
            <w:tcW w:w="7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2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92"/>
        </w:trPr>
        <w:tc>
          <w:tcPr>
            <w:tcW w:w="7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1"/>
              </w:rPr>
              <w:t>Allocation</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50"/>
        </w:trPr>
        <w:tc>
          <w:tcPr>
            <w:tcW w:w="7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center"/>
              <w:ind w:right="154"/>
              <w:spacing w:after="0"/>
              <w:rPr>
                <w:sz w:val="20"/>
                <w:szCs w:val="20"/>
                <w:color w:val="auto"/>
              </w:rPr>
            </w:pPr>
            <w:r>
              <w:rPr>
                <w:rFonts w:ascii="Arial" w:cs="Arial" w:eastAsia="Arial" w:hAnsi="Arial"/>
                <w:sz w:val="14"/>
                <w:szCs w:val="14"/>
                <w:b w:val="1"/>
                <w:bCs w:val="1"/>
                <w:color w:val="auto"/>
                <w:w w:val="91"/>
              </w:rPr>
              <w:t>(Dollars in thousands)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627</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12,760</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2,917</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2,398</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4,649</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26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 — long term</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12,543</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203"/>
        </w:trPr>
        <w:tc>
          <w:tcPr>
            <w:tcW w:w="7540" w:type="dxa"/>
            <w:vAlign w:val="bottom"/>
          </w:tcPr>
          <w:p>
            <w:pPr>
              <w:ind w:left="40"/>
              <w:spacing w:after="0" w:line="202" w:lineRule="exact"/>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w w:val="95"/>
              </w:rPr>
              <w:t>Wtd. Avg. Life:</w:t>
            </w:r>
          </w:p>
        </w:tc>
      </w:tr>
      <w:tr>
        <w:trPr>
          <w:trHeight w:val="48"/>
        </w:trPr>
        <w:tc>
          <w:tcPr>
            <w:tcW w:w="7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Technology</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7,885</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6"/>
              </w:rPr>
              <w:t>10 years</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5,750</w:t>
            </w:r>
          </w:p>
        </w:tc>
        <w:tc>
          <w:tcPr>
            <w:tcW w:w="34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12 years</w:t>
            </w: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1,739</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Indefinite</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Supplier relationship</w:t>
            </w:r>
          </w:p>
        </w:tc>
        <w:tc>
          <w:tcPr>
            <w:tcW w:w="26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4,510</w:t>
            </w:r>
          </w:p>
        </w:tc>
        <w:tc>
          <w:tcPr>
            <w:tcW w:w="34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10 years</w:t>
            </w: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name</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560</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7"/>
              </w:rPr>
              <w:t>1 year</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15,460</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 acquired</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71,868</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Accounts payable and other liabilities</w:t>
            </w:r>
          </w:p>
        </w:tc>
        <w:tc>
          <w:tcPr>
            <w:tcW w:w="26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5,827</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26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66,041</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determined the preliminary fair value of net assets acquired during the third quarter of 2011 and finalized the working capital adjustment in the second quarter of 2012. Measurement period adjustments included above reflected a decrease in the total fair value of inventory acquired and a decrease in the value of long-term deferred tax assets acquired which was recorded in the fourth quarter of 2011. The measurement period adjustments were made to reflect facts and circumstances existing as of the acquisition date, and did not result from intervening events subsequent to the acquisition date. These adjustments did not have a significant impact on the Company’s previously reported consolidated financial statements and, therefore, the Company has not retrospectively adjusted those financial statements.</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goodwill recorded in connection with this acquisition is based on (i) expected cost savings, operating synergies and other benefits expected to result from the combined operations, (ii) the value of the going-concern element of Ascension’s existing business (that is, the higher rate of return on the assembled net assets versus if the Company had acquired all of the net assets separately), and (iii) intangible assets that do not qualify for separate recognition such as Ascension’s assembled workforce. The goodwill acquired will not be deductible for tax purposes.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SeaSpine, Inc</w:t>
      </w:r>
      <w:r>
        <w:rPr>
          <w:rFonts w:ascii="Arial" w:cs="Arial" w:eastAsia="Arial" w:hAnsi="Arial"/>
          <w:sz w:val="18"/>
          <w:szCs w:val="18"/>
          <w:u w:val="single" w:color="auto"/>
          <w:color w:val="auto"/>
        </w:rPr>
        <w:t>.</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23, 2011, the Company acquired all of the outstanding common stock of SeaSpine, Inc. (“SeaSpine”) for $88.7 million, which includes amounts paid for working capital adjustments of $0.3 million and indemnification holdbacks totaling $7.4 million all of which was released to the seller prior to December 31, 2013. SeaSpine is based in Vista, California and designs, develops and manufactures spinal fixation products and synthetic bone substitute products.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- 17</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final allocation of the purchase price based on fair value of the assets acquired and liabilities assumed: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jc w:val="center"/>
              <w:ind w:right="134"/>
              <w:spacing w:after="0"/>
              <w:rPr>
                <w:sz w:val="20"/>
                <w:szCs w:val="20"/>
                <w:color w:val="auto"/>
              </w:rPr>
            </w:pPr>
            <w:r>
              <w:rPr>
                <w:rFonts w:ascii="Arial" w:cs="Arial" w:eastAsia="Arial" w:hAnsi="Arial"/>
                <w:sz w:val="14"/>
                <w:szCs w:val="14"/>
                <w:b w:val="1"/>
                <w:bCs w:val="1"/>
                <w:color w:val="auto"/>
                <w:w w:val="97"/>
              </w:rPr>
              <w:t>Final</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49"/>
        </w:trPr>
        <w:tc>
          <w:tcPr>
            <w:tcW w:w="7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92"/>
        </w:trPr>
        <w:tc>
          <w:tcPr>
            <w:tcW w:w="7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1"/>
              </w:rPr>
              <w:t>Allocation</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50"/>
        </w:trPr>
        <w:tc>
          <w:tcPr>
            <w:tcW w:w="7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center"/>
              <w:ind w:right="134"/>
              <w:spacing w:after="0"/>
              <w:rPr>
                <w:sz w:val="20"/>
                <w:szCs w:val="20"/>
                <w:color w:val="auto"/>
              </w:rPr>
            </w:pPr>
            <w:r>
              <w:rPr>
                <w:rFonts w:ascii="Arial" w:cs="Arial" w:eastAsia="Arial" w:hAnsi="Arial"/>
                <w:sz w:val="14"/>
                <w:szCs w:val="14"/>
                <w:b w:val="1"/>
                <w:bCs w:val="1"/>
                <w:color w:val="auto"/>
                <w:w w:val="91"/>
              </w:rPr>
              <w:t>(Dollars in thousands)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14,900</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7,608</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623</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9,177</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Deferred tax asset—long term</w:t>
            </w: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302</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77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Intangible assets:</w:t>
            </w:r>
          </w:p>
        </w:tc>
        <w:tc>
          <w:tcPr>
            <w:tcW w:w="2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center"/>
              <w:ind w:right="240"/>
              <w:spacing w:after="0" w:line="202" w:lineRule="exact"/>
              <w:rPr>
                <w:sz w:val="20"/>
                <w:szCs w:val="20"/>
                <w:color w:val="auto"/>
              </w:rPr>
            </w:pPr>
            <w:r>
              <w:rPr>
                <w:rFonts w:ascii="Arial" w:cs="Arial" w:eastAsia="Arial" w:hAnsi="Arial"/>
                <w:sz w:val="18"/>
                <w:szCs w:val="18"/>
                <w:color w:val="auto"/>
                <w:w w:val="95"/>
              </w:rPr>
              <w:t>Wtd. Avg. Life:</w:t>
            </w:r>
          </w:p>
        </w:tc>
      </w:tr>
      <w:tr>
        <w:trPr>
          <w:trHeight w:val="243"/>
        </w:trPr>
        <w:tc>
          <w:tcPr>
            <w:tcW w:w="7780" w:type="dxa"/>
            <w:vAlign w:val="bottom"/>
            <w:tcBorders>
              <w:top w:val="single" w:sz="8" w:color="CCEEFF"/>
            </w:tcBorders>
          </w:tcPr>
          <w:p>
            <w:pPr>
              <w:ind w:left="380"/>
              <w:spacing w:after="0"/>
              <w:rPr>
                <w:sz w:val="20"/>
                <w:szCs w:val="20"/>
                <w:color w:val="auto"/>
              </w:rPr>
            </w:pPr>
            <w:r>
              <w:rPr>
                <w:rFonts w:ascii="Arial" w:cs="Arial" w:eastAsia="Arial" w:hAnsi="Arial"/>
                <w:sz w:val="18"/>
                <w:szCs w:val="18"/>
                <w:color w:val="auto"/>
              </w:rPr>
              <w:t>Technology</w:t>
            </w:r>
          </w:p>
        </w:tc>
        <w:tc>
          <w:tcPr>
            <w:tcW w:w="200" w:type="dxa"/>
            <w:vAlign w:val="bottom"/>
            <w:tcBorders>
              <w:top w:val="single" w:sz="8" w:color="CCEEFF"/>
            </w:tcBorders>
          </w:tcPr>
          <w:p>
            <w:pPr>
              <w:spacing w:after="0"/>
              <w:rPr>
                <w:sz w:val="21"/>
                <w:szCs w:val="21"/>
                <w:color w:val="auto"/>
              </w:rPr>
            </w:pPr>
          </w:p>
        </w:tc>
        <w:tc>
          <w:tcPr>
            <w:tcW w:w="1740" w:type="dxa"/>
            <w:vAlign w:val="bottom"/>
            <w:tcBorders>
              <w:top w:val="single" w:sz="8" w:color="CCEEFF"/>
            </w:tcBorders>
          </w:tcPr>
          <w:p>
            <w:pPr>
              <w:jc w:val="right"/>
              <w:ind w:right="14"/>
              <w:spacing w:after="0"/>
              <w:rPr>
                <w:sz w:val="20"/>
                <w:szCs w:val="20"/>
                <w:color w:val="auto"/>
              </w:rPr>
            </w:pPr>
            <w:r>
              <w:rPr>
                <w:rFonts w:ascii="Arial" w:cs="Arial" w:eastAsia="Arial" w:hAnsi="Arial"/>
                <w:sz w:val="18"/>
                <w:szCs w:val="18"/>
                <w:color w:val="auto"/>
              </w:rPr>
              <w:t>3,000</w:t>
            </w:r>
          </w:p>
        </w:tc>
        <w:tc>
          <w:tcPr>
            <w:tcW w:w="340" w:type="dxa"/>
            <w:vAlign w:val="bottom"/>
            <w:tcBorders>
              <w:top w:val="single" w:sz="8" w:color="CCEEFF"/>
            </w:tcBorders>
          </w:tcPr>
          <w:p>
            <w:pPr>
              <w:spacing w:after="0"/>
              <w:rPr>
                <w:sz w:val="21"/>
                <w:szCs w:val="21"/>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8 years</w:t>
            </w:r>
          </w:p>
        </w:tc>
        <w:tc>
          <w:tcPr>
            <w:tcW w:w="240" w:type="dxa"/>
            <w:vAlign w:val="bottom"/>
            <w:tcBorders>
              <w:top w:val="single" w:sz="8" w:color="CCEEFF"/>
            </w:tcBorders>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41,200</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6"/>
              </w:rPr>
              <w:t>13 years</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Non-compete agreements</w:t>
            </w: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1,900</w:t>
            </w:r>
          </w:p>
        </w:tc>
        <w:tc>
          <w:tcPr>
            <w:tcW w:w="34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4 years</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name</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7"/>
              </w:rPr>
              <w:t>1 year</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14,572</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 acquired</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93,783</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Accounts payable and other liabilities</w:t>
            </w: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5,108</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88,675</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Management determined the preliminary fair value of net assets acquired during the second quarter of 2011 and finalized the working capital adjustment in the first quarter of 2012. Measurement period adjustments included above reflect a decrease in the total fair value of consideration to be transferred pursuant to the final working capital adjustment. These measurement period adjustments were made to reflect facts and circumstances existing as of the acquisition date, and did not result from intervening events subsequent to the acquisition date. This adjustment did not have a significant impact on the Company’s previously reported consolidated financial statements and, therefore, the Company has not retrospectively adjusted those financial statements.</w:t>
      </w:r>
    </w:p>
    <w:p>
      <w:pPr>
        <w:spacing w:after="0" w:line="10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goodwill recorded in connection with this acquisition is based on the benefits the Company expects to generate from SeaSpine’s future cash flows. For tax purposes, the Company is treating the acquisition as an asset acquisition; therefore, the goodwill will be deductible for tax purposes.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Results (unaudited)</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unaudited pro forma financial information summarizes the results of operations for the year ended December 31, 2011 as if the acquisitions completed by the Company during 2011 had been completed as of January 1, 2010. The pro forma results are based upon certain assumptions and estimates, and they give effect to actual operating results prior to the acquisitions and adjustments to reflect (i) increased interest expense, depreciation expense, intangible asset amortization and fair value inventory step-up, (ii) decreases in certain expenses that will not be recurring in the post-acquisition entity, and</w:t>
      </w:r>
    </w:p>
    <w:p>
      <w:pPr>
        <w:spacing w:after="0" w:line="2" w:lineRule="exact"/>
        <w:rPr>
          <w:sz w:val="20"/>
          <w:szCs w:val="20"/>
          <w:color w:val="auto"/>
        </w:rPr>
      </w:pPr>
    </w:p>
    <w:p>
      <w:pPr>
        <w:jc w:val="both"/>
        <w:ind w:firstLine="8"/>
        <w:spacing w:after="0" w:line="255" w:lineRule="auto"/>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income taxes at a rate consistent with the Company’s statutory rate. No effect has been given to other cost reductions or operating synergies. As a result, these pro forma results do not necessarily represent results that would have occurred if the acquisitions had taken place on the basis assumed above, nor are they indicative of the results of future combined operations.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60" w:type="dxa"/>
            <w:vAlign w:val="bottom"/>
          </w:tcPr>
          <w:p>
            <w:pPr>
              <w:jc w:val="center"/>
              <w:ind w:right="398"/>
              <w:spacing w:after="0"/>
              <w:rPr>
                <w:sz w:val="20"/>
                <w:szCs w:val="20"/>
                <w:color w:val="auto"/>
              </w:rPr>
            </w:pPr>
            <w:r>
              <w:rPr>
                <w:rFonts w:ascii="Arial" w:cs="Arial" w:eastAsia="Arial" w:hAnsi="Arial"/>
                <w:sz w:val="14"/>
                <w:szCs w:val="14"/>
                <w:b w:val="1"/>
                <w:bCs w:val="1"/>
                <w:color w:val="auto"/>
                <w:w w:val="96"/>
              </w:rPr>
              <w:t>Year Ended</w:t>
            </w:r>
          </w:p>
        </w:tc>
      </w:tr>
      <w:tr>
        <w:trPr>
          <w:trHeight w:val="165"/>
        </w:trPr>
        <w:tc>
          <w:tcPr>
            <w:tcW w:w="35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60" w:type="dxa"/>
            <w:vAlign w:val="bottom"/>
          </w:tcPr>
          <w:p>
            <w:pPr>
              <w:jc w:val="center"/>
              <w:ind w:right="418"/>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356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center"/>
              <w:ind w:right="378"/>
              <w:spacing w:after="0"/>
              <w:rPr>
                <w:sz w:val="20"/>
                <w:szCs w:val="20"/>
                <w:color w:val="auto"/>
              </w:rPr>
            </w:pPr>
            <w:r>
              <w:rPr>
                <w:rFonts w:ascii="Arial" w:cs="Arial" w:eastAsia="Arial" w:hAnsi="Arial"/>
                <w:sz w:val="14"/>
                <w:szCs w:val="14"/>
                <w:b w:val="1"/>
                <w:bCs w:val="1"/>
                <w:color w:val="auto"/>
                <w:w w:val="89"/>
              </w:rPr>
              <w:t>2011</w:t>
            </w:r>
          </w:p>
        </w:tc>
      </w:tr>
      <w:tr>
        <w:trPr>
          <w:trHeight w:val="196"/>
        </w:trPr>
        <w:tc>
          <w:tcPr>
            <w:tcW w:w="356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25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(In thousands except per share amounts)</w:t>
            </w:r>
          </w:p>
        </w:tc>
      </w:tr>
      <w:tr>
        <w:trPr>
          <w:trHeight w:val="256"/>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5800" w:type="dxa"/>
            <w:vAlign w:val="bottom"/>
            <w:tcBorders>
              <w:bottom w:val="single" w:sz="8" w:color="CCEEFF"/>
            </w:tcBorders>
            <w:gridSpan w:val="2"/>
            <w:shd w:val="clear" w:color="auto" w:fill="CCEEFF"/>
          </w:tcPr>
          <w:p>
            <w:pPr>
              <w:ind w:left="534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811,933</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5800" w:type="dxa"/>
            <w:vAlign w:val="bottom"/>
            <w:gridSpan w:val="2"/>
          </w:tcPr>
          <w:p>
            <w:pPr>
              <w:ind w:left="534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18"/>
              <w:spacing w:after="0"/>
              <w:rPr>
                <w:sz w:val="20"/>
                <w:szCs w:val="20"/>
                <w:color w:val="auto"/>
              </w:rPr>
            </w:pPr>
            <w:r>
              <w:rPr>
                <w:rFonts w:ascii="Arial" w:cs="Arial" w:eastAsia="Arial" w:hAnsi="Arial"/>
                <w:sz w:val="18"/>
                <w:szCs w:val="18"/>
                <w:color w:val="auto"/>
              </w:rPr>
              <w:t>23,236</w:t>
            </w:r>
          </w:p>
        </w:tc>
      </w:tr>
      <w:tr>
        <w:trPr>
          <w:trHeight w:val="27"/>
        </w:trPr>
        <w:tc>
          <w:tcPr>
            <w:tcW w:w="35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5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Basic</w:t>
            </w:r>
          </w:p>
        </w:tc>
        <w:tc>
          <w:tcPr>
            <w:tcW w:w="5800" w:type="dxa"/>
            <w:vAlign w:val="bottom"/>
            <w:gridSpan w:val="2"/>
          </w:tcPr>
          <w:p>
            <w:pPr>
              <w:ind w:left="534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18"/>
              <w:spacing w:after="0"/>
              <w:rPr>
                <w:sz w:val="20"/>
                <w:szCs w:val="20"/>
                <w:color w:val="auto"/>
              </w:rPr>
            </w:pPr>
            <w:r>
              <w:rPr>
                <w:rFonts w:ascii="Arial" w:cs="Arial" w:eastAsia="Arial" w:hAnsi="Arial"/>
                <w:sz w:val="18"/>
                <w:szCs w:val="18"/>
                <w:color w:val="auto"/>
              </w:rPr>
              <w:t>0.80</w:t>
            </w:r>
          </w:p>
        </w:tc>
      </w:tr>
      <w:tr>
        <w:trPr>
          <w:trHeight w:val="27"/>
        </w:trPr>
        <w:tc>
          <w:tcPr>
            <w:tcW w:w="35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5800" w:type="dxa"/>
            <w:vAlign w:val="bottom"/>
            <w:tcBorders>
              <w:bottom w:val="single" w:sz="8" w:color="CCEEFF"/>
            </w:tcBorders>
            <w:gridSpan w:val="2"/>
            <w:shd w:val="clear" w:color="auto" w:fill="CCEEFF"/>
          </w:tcPr>
          <w:p>
            <w:pPr>
              <w:ind w:left="534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0.79</w:t>
            </w:r>
          </w:p>
        </w:tc>
      </w:tr>
      <w:tr>
        <w:trPr>
          <w:trHeight w:val="459"/>
        </w:trPr>
        <w:tc>
          <w:tcPr>
            <w:tcW w:w="3560" w:type="dxa"/>
            <w:vAlign w:val="bottom"/>
          </w:tcPr>
          <w:p>
            <w:pPr>
              <w:spacing w:after="0"/>
              <w:rPr>
                <w:sz w:val="24"/>
                <w:szCs w:val="24"/>
                <w:color w:val="auto"/>
              </w:rPr>
            </w:pPr>
          </w:p>
        </w:tc>
        <w:tc>
          <w:tcPr>
            <w:tcW w:w="5800" w:type="dxa"/>
            <w:vAlign w:val="bottom"/>
            <w:gridSpan w:val="2"/>
          </w:tcPr>
          <w:p>
            <w:pPr>
              <w:ind w:left="1940"/>
              <w:spacing w:after="0"/>
              <w:rPr>
                <w:sz w:val="20"/>
                <w:szCs w:val="20"/>
                <w:color w:val="auto"/>
              </w:rPr>
            </w:pPr>
            <w:r>
              <w:rPr>
                <w:rFonts w:ascii="Arial" w:cs="Arial" w:eastAsia="Arial" w:hAnsi="Arial"/>
                <w:sz w:val="18"/>
                <w:szCs w:val="18"/>
                <w:color w:val="auto"/>
              </w:rPr>
              <w:t>F - 18</w:t>
            </w:r>
          </w:p>
        </w:tc>
        <w:tc>
          <w:tcPr>
            <w:tcW w:w="20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10, 2010, the Company entered into an amended and restated credit agreement with a syndicate of lending banks (the “Senior Credit Facility”), and subsequently amended the Senior Credit Facility on June 8, 2011, May 11, 2012, and June 21, 2013.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June 8, 2011 amendment:</w:t>
      </w:r>
    </w:p>
    <w:p>
      <w:pPr>
        <w:spacing w:after="0" w:line="171" w:lineRule="exact"/>
        <w:rPr>
          <w:sz w:val="20"/>
          <w:szCs w:val="20"/>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the revolving credit component from $450 million to $600 million and eliminated the $150 million term loan component that existed under the original amended and restated credit agreement;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allows the Company to further increase the size of the revolving credit component by an aggregate of $200 million with additional commitments;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provides the Company with decreased borrowing rates and annual commitment fees, and provides more favorable financial covenants;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extended the maturity date from August 10, 2015 to June 8, 2016.</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11, 2012, the Company entered into another amendment to the Senior Credit Facility (the “2012 Amendment”). The 2012 Amendment modified certain financial and negative covenants. The 2012 Amendment provides that the Company’s Maximum Consolidated Total Leverage Ratio (a measure of net debt to consolidated EBITDA, in each case as defined in the Senior Credit Facility, as amended) during any consecutive four quarter period should not be greater than 3.75 to 1.00 during any such period ending on December 31, 2013 (instead of March 31, 2012). In addition, when calculating consolidated EBITDA for any period, the 2012 Amendment permits the addition of certain costs and expenses in the calculation of consolidated net income for such period, to the extent deducted in the calculation of consolidated net income. The Company capitalized $0.4 million of incremental financing costs in connection with the 2012 Amendment.</w:t>
      </w:r>
    </w:p>
    <w:p>
      <w:pPr>
        <w:spacing w:after="0" w:line="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21, 2013, the Company entered into another amendment to the Senior Credit Facility (the “2013 Amendment”). The 2013 Amendment modified certain financial and negative covenants and increased the Company’s Maximum Consolidated Total Leverage Ratio (a measure of net debt to consolidated EBITDA, in each case as defined in the Senior Credit Facility, as amended) to 4.25 through June 30, 2014, with a step-down to 4.00 through March 31, 2015, and then with another step-down to 3.75 thereafter. In addition, when calculating consolidated EBITDA for any period, the 2013 Amendment permits the addition of certain costs and expenses in the calculation of consolidated net income for such period, to the extent deducted in the calculation of consolidated net income. The effect of the 2013 Amendment is to increase the ability of the Company to borrow under the Senior Credit Facility during the affected periods. The Company capitalized $1.1 million of incremental financing costs in connection with the 2013 Amendment, which will be amortized through the maturity date of the Senior Credit Facility.</w:t>
      </w:r>
    </w:p>
    <w:p>
      <w:pPr>
        <w:spacing w:after="0" w:line="20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Senior Credit Facility is collateralized by substantially all of the assets of the Company’s U.S. subsidiaries, excluding intangible assets. The Senior Credit Facility is subject to various financial and negative covenants and at December 31, 2013, the Company was in compliance with all such covenants.</w:t>
      </w:r>
    </w:p>
    <w:p>
      <w:pPr>
        <w:spacing w:after="0" w:line="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Borrowings under the Senior Credit Facility currently bear interest, at the Company’s option, at a rate equal to (i) the Eurodollar Rate (as defined in the Senior Credit Facility, which definition has not changed) in effect from time to time plus the applicable rate (ranging from 1.00% to 1.75%) or (ii) the highest of</w:t>
      </w:r>
    </w:p>
    <w:p>
      <w:pPr>
        <w:jc w:val="both"/>
        <w:ind w:firstLine="8"/>
        <w:spacing w:after="0" w:line="281" w:lineRule="auto"/>
        <w:tabs>
          <w:tab w:leader="none" w:pos="258"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weighted average overnight Federal funds rate, as published by the Federal Reserve Bank of New York, plus 0.5%, (y) the prime lending rate of Bank of America, N.A. or (z) the one-month Eurodollar Rate plus 1.0%. The applicable rates are based on the Company’s consolidated total leverage ratio (defined as the ratio of (a) consolidated funded indebtedness less cash in excess of $40 million that is not subject to any restriction of the use or investment thereof to</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consolidated EBITDA) at the time of the applicable borrowing.</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also pay an annual commitment fee (ranging from 0.15% to 0.30%, based on the Company’s consolidated total leverage ratio) on the daily amount by which the revolving credit facility exceeds the outstanding loans and letters of credit under the credit facility.</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December 31, 2013 and 2012, there was $186.9 million and $321.9 million outstanding, respectively, under the Senior Credit Facility at a weighted average interest rate of 2.0% and 1.8%, respectively. At December 31, 2013, there was approximately $413.1 million available for borrowing under the Senior Credit Facility. The fair value of outstanding borrowings under the Senior Credit Facility at December 31, 2013 was approximately $187.7 million. The fair value of the Senior Credit Facility was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- 19</w:t>
      </w:r>
    </w:p>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inputs that reflect unadjusted quoted prices for identical assets or liabilities. The Company considers the balance to be long term in nature based on its current intent and ability to repay the borrowing outside of the next twelve-month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Convertible Senior Notes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15, 2011, the Company issued $230.0 million aggregate principal amount of its 1.625% Convertible Senior Notes due 2016 (the “2016 Notes”). The 2016 Notes mature on December 15, 2016, and bear interest at a rate of 1.625% per annum payable semi-annually in arrears on December 15 and June 15 of each year. The portion of the debt proceeds that was classified as equity at the time of the offering was $43.2 million, an equivalent of that amount is being amortized to interest expense using the effective interest method through December 2016. The effective interest rate implicit in the liability component is 5.6%.</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2013, the carrying amount of the liability component was $205.2 million, the remaining unamortized discount was $24.8 million, and the principal amount outstanding was $230.0 million. At December 31, 2012, the carrying amount of the liability component was $197.7 million, the remaining unamortized discount was $32.3 million and the principal amount outstanding was $230.0 million.</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the 2016 Notes at December 31, 2013 was approximately $252.4 million. The fair value of the liability of the 2016 Notes was determined using a discounted cash flow model based on current market interest rates available to the Company. These inputs are corroborated by observable market data for similar liabilities and therefore classified within Level 2 of the fair-value hierarchy.</w:t>
      </w:r>
    </w:p>
    <w:p>
      <w:pPr>
        <w:spacing w:after="0" w:line="1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2016 Notes are senior, unsecured obligations of the Company, and are convertible into cash and, if applicable, shares of its common stock based on an initial conversion rate, subject to adjustment of 17.4092 shares per $1,000 principal amount of 2016 Notes (which represents an initial conversion price of approximately $57.44 per share). The Company will satisfy any conversion of the 2016 Notes with cash up to the principal amount of the 2016 Notes pursuant to the net share settlement mechanism set forth in the indenture and, with respect to any excess conversion value, with shares of the Company’s common stock. The 2016 Notes are convertible only in the following circumstances: (1) if the closing sale price of the Company’s common stock exceeds 150% of the conversion price during a period as defined in the indenture; (2) if the average trading price per $1,000 principal amount of the 2016 Notes is less than or equal to 98% of the average conversion value of the 2016 Notes during a period as defined in the indenture; (3) at any time on or after June 15, 2016; or (4) if specified corporate transactions occur. The issue price of the 2016 Notes was equal to their face amount, which is also the amount holders are entitled to receive at maturity if the 2016 Notes are not converted. As of December 31, 2013, none of these conditions existed with respect to the 2016 Notes and as a result, the 2016 Notes are classified as long term.</w:t>
      </w:r>
    </w:p>
    <w:p>
      <w:pPr>
        <w:spacing w:after="0" w:line="1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issuance of the 2016 Notes, the Company entered into call transactions and warrant transactions, primarily with affiliates of the initial purchasers of such notes (the “hedge participants”). The initial strike price of the call transaction is approximately $57.44 per share, subject to customary anti-dilution adjustments. The initial strike price of the warrant transaction is approximately $70.05 per share, subject to customary anti-dilution adjustments.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Senior Convertible Notes</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11, 2007, the Company issued $165.0 million aggregate principal amount of its 2012 Notes (the “2012 Notes”). The 2012 Notes bear interest at a rate of 2.375% per annum payable semi-annually in arrears on December 1 and June 1 of each year. In accordance with the accounting guidance for debt with conversion and other options, the Company accounted for the liability and equity components of the 2012 Notes separately. The portion of the debt proceeds that the Company had classified as equity at the time of the offering, and recognized as a debt discount, was determined based on the fair value of similar debt instruments that did not include a conversion feature and amounted to $30.6 million. The Company amortized the debt discount to interest expense using the effective interest method through June 2012. The effective interest rate implicit in the liability component was based on the Company’s estimated non-convertible borrowing rate at the date the 2012 Notes were issued and was 6.8%.</w:t>
      </w:r>
    </w:p>
    <w:p>
      <w:pPr>
        <w:spacing w:after="0" w:line="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issuance of the 2012 Notes, the Company entered into call transactions and warrant transactions, primarily with affiliates of the initial purchasers of such notes (the “hedge participants”). The total cost of the call transactions to the Company was approximately $30.4 million and the Company received approximately $12.2 million of proceeds from the warrant transactions. The call transactions involve the Company’s purchasing call options from the hedge participants, and the warrant transactions involve the Company’s selling call options to the hedge participants with a higher strike price than the purchased call options.</w:t>
      </w:r>
    </w:p>
    <w:p>
      <w:pPr>
        <w:spacing w:after="0" w:line="1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June 2012, the Company repaid the 2012 Notes at maturity with long-term borrowings from its Senior Credit Facility and cash on hand. The related bond hedge contracts terminated in components over the 100 trading day period commencing 90 days after the maturity of the 2012 Notes.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- 20</w:t>
      </w:r>
    </w:p>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Interest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interest expense components of the Company’s convertible notes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r>
      <w:tr>
        <w:trPr>
          <w:trHeight w:val="196"/>
        </w:trPr>
        <w:tc>
          <w:tcPr>
            <w:tcW w:w="6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 Notes:</w:t>
            </w:r>
          </w:p>
        </w:tc>
        <w:tc>
          <w:tcPr>
            <w:tcW w:w="9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the discount on the liability component (1)</w:t>
            </w: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6,463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5,993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3,740</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interest related to the contractual interest coupon (2)</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3,218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2,024</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tcBorders>
          </w:tcPr>
          <w:p>
            <w:pPr>
              <w:jc w:val="right"/>
              <w:ind w:right="75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9,681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9,147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5,764</w:t>
            </w:r>
          </w:p>
        </w:tc>
      </w:tr>
      <w:tr>
        <w:trPr>
          <w:trHeight w:val="67"/>
        </w:trPr>
        <w:tc>
          <w:tcPr>
            <w:tcW w:w="674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64"/>
        </w:trPr>
        <w:tc>
          <w:tcPr>
            <w:tcW w:w="67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2012 Notes: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the discount on the liability component (1)</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6,850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interest related to the contractual interest coupon (2)</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3,919</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10,769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56"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2013, the amortization of the discount on the liability component of the 2016 Note is presented net of capitalized interest of $1.0 million. In 2012, the amortization of the discount on the liability component of the 2016 and 2012 Notes are presented net of capitalized interest of $1.1 million and $0.5 million, respectively.</w:t>
      </w:r>
    </w:p>
    <w:p>
      <w:pPr>
        <w:jc w:val="both"/>
        <w:ind w:left="340" w:hanging="332"/>
        <w:spacing w:after="0" w:line="255"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2013, the cash interest related to the contractual interest coupon on the 2016 Note is presented net of capitalized interest of $0.5 million. In 2012, the cash interest related to the contractual interest coupon on the 2016 and 2012 Notes are presented net of capitalized interest of $0.6 million and $0.3 million,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Hedging</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interest rate risk relates to U.S. dollar denominated variable LIBOR interest rate borrowings. The Company uses an interest rate swap derivative instrument entered into on August 10, 2010 with an effective date of December 31, 2010 to manage its earnings and cash flow exposure to changes in interest rates by converting a portion of its floating-rate debt into fixed-rate debt beginning on December 31, 2010. This interest rate swap expires on August 10, 2015.</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designates this derivative instrument as a cash flow hedge. The Company records the effective portion of any change in the fair value of a derivative instrument designated as a cash flow hedge as unrealized gains or losses in accumulated other comprehensive income (“AOCI”), net of tax, until the hedged item affects earnings, at which point the effective portion of any gain or loss will be reclassified to earnings. If the hedged cash flow does not occur, or if it becomes probable that it will not occur, the Company will reclassify the amount of any gain or loss on the related cash flow hedge to interest expense at that time.</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expects that approximately $1.7 million of pre-tax losses recorded as net in AOCI related to the interest rate hedge could be reclassified to earnings within the next twelve months.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Hedging</w:t>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From time to time the Company enters into foreign currency hedge contracts intended to protect the U.S. dollar value of certain forecasted foreign currency denominated transactions. The Company records the effective portion of any change in the fair value of foreign currency cash flow hedges in AOCI, net of tax, until the hedged item affects earnings. Once the related hedged item affects earnings, the Company reclassifies the effective portion of any related unrealized gain or loss on the foreign currency cash flow hedge to earnings. If the hedged forecasted transaction does not occur, or if it becomes probable that it will not occur, the Company will reclassify the amount of any gain or loss on the related cash flow hedge to earnings at that time.</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success of the Company’s hedging program depends, in part, on forecasts of certain activity denominated in euros. The Company may experience unanticipated currency exchange gains or losses to the extent that there are differences between forecasted and actual activity during periods of currency volatility. In addition, changes in currency exchange rates related to any unhedged transactions may affect its earnings and cash flows.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- 21</w:t>
      </w:r>
    </w:p>
    <w:p>
      <w:pPr>
        <w:sectPr>
          <w:pgSz w:w="11900" w:h="16838" w:orient="portrait"/>
          <w:cols w:equalWidth="0" w:num="1">
            <w:col w:w="11420"/>
          </w:cols>
          <w:pgMar w:left="240" w:top="12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be low. Furthermore, none of the Company’s derivative transactions are subject to collateral or other security arrangements, and none contain provisions that depend upon the Company’s credit ratings from any credit rating agency.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classified all of its derivative instruments within Level 2 of the fair value hierarchy because observable inputs are available for substantially the full term of the derivative instruments. The fair value of the foreign currency forward exchange contracts related to inventory purchases is determined by comparing the forward rate as of the period end and the settlement rate specified in each contract. The fair value of the interest rate swap was developed using a market approach based on publicly available market yield curves and the terms of the swap. The Company performs ongoing assessments of counterparty credit risk.</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fair value, notional amounts presented in U.S. dollars, and presentation in the consolidated balance sheet for derivatives designated as hedging instruments as of December 31, 2013 and December 31, 2012:</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977"/>
              <w:spacing w:after="0"/>
              <w:rPr>
                <w:sz w:val="20"/>
                <w:szCs w:val="20"/>
                <w:color w:val="auto"/>
              </w:rPr>
            </w:pPr>
            <w:r>
              <w:rPr>
                <w:rFonts w:ascii="Arial" w:cs="Arial" w:eastAsia="Arial" w:hAnsi="Arial"/>
                <w:sz w:val="14"/>
                <w:szCs w:val="14"/>
                <w:b w:val="1"/>
                <w:bCs w:val="1"/>
                <w:color w:val="auto"/>
              </w:rPr>
              <w:t>Fair Value as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 xml:space="preserve">Location on Balance Sheet </w:t>
            </w:r>
            <w:r>
              <w:rPr>
                <w:rFonts w:ascii="Arial" w:cs="Arial" w:eastAsia="Arial" w:hAnsi="Arial"/>
                <w:sz w:val="8"/>
                <w:szCs w:val="8"/>
                <w:b w:val="1"/>
                <w:bCs w:val="1"/>
                <w:color w:val="auto"/>
              </w:rPr>
              <w:t>(1)</w:t>
            </w: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14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3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8"/>
        </w:trPr>
        <w:tc>
          <w:tcPr>
            <w:tcW w:w="824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right"/>
              <w:ind w:right="540"/>
              <w:spacing w:after="0" w:line="158"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ind w:right="517"/>
              <w:spacing w:after="0" w:line="158"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hedges —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24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Interest rate swap — Accrued expenses and other current liabilities </w:t>
            </w:r>
            <w:r>
              <w:rPr>
                <w:rFonts w:ascii="Arial" w:cs="Arial" w:eastAsia="Arial" w:hAnsi="Arial"/>
                <w:sz w:val="25"/>
                <w:szCs w:val="25"/>
                <w:color w:val="auto"/>
                <w:vertAlign w:val="superscript"/>
              </w:rPr>
              <w:t>(2)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40"/>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rate swap — Other liabilities </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2,238</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24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Derivatives designated as hedges —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40"/>
              <w:spacing w:after="0"/>
              <w:rPr>
                <w:sz w:val="20"/>
                <w:szCs w:val="20"/>
                <w:color w:val="auto"/>
              </w:rPr>
            </w:pPr>
            <w:r>
              <w:rPr>
                <w:rFonts w:ascii="Arial" w:cs="Arial" w:eastAsia="Arial" w:hAnsi="Arial"/>
                <w:sz w:val="18"/>
                <w:szCs w:val="18"/>
                <w:color w:val="auto"/>
              </w:rPr>
              <w:t>2,439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4,126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24"/>
          <w:szCs w:val="24"/>
          <w:color w:val="auto"/>
          <w:vertAlign w:val="superscript"/>
        </w:rPr>
      </w:pPr>
      <w:r>
        <w:rPr>
          <w:rFonts w:ascii="Arial" w:cs="Arial" w:eastAsia="Arial" w:hAnsi="Arial"/>
          <w:sz w:val="17"/>
          <w:szCs w:val="17"/>
          <w:color w:val="auto"/>
        </w:rPr>
        <w:t>The Company classifies derivative assets and liabilities as current based on the cash flows expected to be incurred within the following 12 months.</w:t>
      </w:r>
    </w:p>
    <w:p>
      <w:pPr>
        <w:spacing w:after="0" w:line="1" w:lineRule="exact"/>
        <w:rPr>
          <w:rFonts w:ascii="Arial" w:cs="Arial" w:eastAsia="Arial" w:hAnsi="Arial"/>
          <w:sz w:val="24"/>
          <w:szCs w:val="24"/>
          <w:color w:val="auto"/>
          <w:vertAlign w:val="superscript"/>
        </w:rPr>
      </w:pPr>
    </w:p>
    <w:p>
      <w:pPr>
        <w:ind w:left="340" w:hanging="332"/>
        <w:spacing w:after="0" w:line="208" w:lineRule="auto"/>
        <w:tabs>
          <w:tab w:leader="none" w:pos="34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At December 31, 2013 and December 31, 2012, the notional amount related to the Company’s sole interest rate swap was $112.5 million and $127.5 million, respectively. In the next 12 months, the Company expects to reduce the notional amount by $15.0 million.</w:t>
      </w:r>
    </w:p>
    <w:p>
      <w:pPr>
        <w:spacing w:after="0" w:line="2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consolidated statements of operations during the years ended December 31, 2013 and 2012:</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 of Gain (Loss)</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Balance in AOCI</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Gain (Loss)</w:t>
            </w: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40" w:type="dxa"/>
            <w:vAlign w:val="bottom"/>
            <w:vMerge w:val="restart"/>
          </w:tcPr>
          <w:p>
            <w:pPr>
              <w:jc w:val="right"/>
              <w:ind w:right="538"/>
              <w:spacing w:after="0"/>
              <w:rPr>
                <w:sz w:val="20"/>
                <w:szCs w:val="20"/>
                <w:color w:val="auto"/>
              </w:rPr>
            </w:pPr>
            <w:r>
              <w:rPr>
                <w:rFonts w:ascii="Arial" w:cs="Arial" w:eastAsia="Arial" w:hAnsi="Arial"/>
                <w:sz w:val="14"/>
                <w:szCs w:val="14"/>
                <w:b w:val="1"/>
                <w:bCs w:val="1"/>
                <w:color w:val="auto"/>
              </w:rPr>
              <w:t>Location in</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AOCI into</w:t>
            </w:r>
          </w:p>
        </w:tc>
        <w:tc>
          <w:tcPr>
            <w:tcW w:w="180" w:type="dxa"/>
            <w:vAlign w:val="bottom"/>
          </w:tcPr>
          <w:p>
            <w:pPr>
              <w:spacing w:after="0"/>
              <w:rPr>
                <w:sz w:val="12"/>
                <w:szCs w:val="12"/>
                <w:color w:val="auto"/>
              </w:rPr>
            </w:pPr>
          </w:p>
        </w:tc>
        <w:tc>
          <w:tcPr>
            <w:tcW w:w="13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7"/>
              </w:rPr>
              <w:t>Balance in AOCI</w:t>
            </w: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AOCI-</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Earnings-(Effective</w:t>
            </w: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040" w:type="dxa"/>
            <w:vAlign w:val="bottom"/>
          </w:tcPr>
          <w:p>
            <w:pPr>
              <w:jc w:val="right"/>
              <w:ind w:right="458"/>
              <w:spacing w:after="0" w:line="149" w:lineRule="exact"/>
              <w:rPr>
                <w:sz w:val="20"/>
                <w:szCs w:val="20"/>
                <w:color w:val="auto"/>
              </w:rPr>
            </w:pPr>
            <w:r>
              <w:rPr>
                <w:rFonts w:ascii="Arial" w:cs="Arial" w:eastAsia="Arial" w:hAnsi="Arial"/>
                <w:sz w:val="14"/>
                <w:szCs w:val="14"/>
                <w:b w:val="1"/>
                <w:bCs w:val="1"/>
                <w:color w:val="auto"/>
              </w:rPr>
              <w:t>Statements of</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Year</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(Effective Portion)</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Portion)</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End of Year</w:t>
            </w:r>
          </w:p>
        </w:tc>
        <w:tc>
          <w:tcPr>
            <w:tcW w:w="20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96"/>
        </w:trPr>
        <w:tc>
          <w:tcPr>
            <w:tcW w:w="2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30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2013</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Foreign currency forward contracts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8"/>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398"/>
              <w:spacing w:after="0"/>
              <w:rPr>
                <w:sz w:val="20"/>
                <w:szCs w:val="20"/>
                <w:color w:val="auto"/>
              </w:rPr>
            </w:pPr>
            <w:r>
              <w:rPr>
                <w:rFonts w:ascii="Arial" w:cs="Arial" w:eastAsia="Arial" w:hAnsi="Arial"/>
                <w:sz w:val="18"/>
                <w:szCs w:val="18"/>
                <w:color w:val="auto"/>
                <w:w w:val="97"/>
              </w:rPr>
              <w:t>Costs of goods sold</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20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w w:val="96"/>
              </w:rPr>
              <w:t>Interest (expense)</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9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04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9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Year Ended December 31, 2012</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Foreign currency forward contracts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w:t>
            </w:r>
          </w:p>
        </w:tc>
        <w:tc>
          <w:tcPr>
            <w:tcW w:w="2040" w:type="dxa"/>
            <w:vAlign w:val="bottom"/>
          </w:tcPr>
          <w:p>
            <w:pPr>
              <w:jc w:val="right"/>
              <w:ind w:right="398"/>
              <w:spacing w:after="0"/>
              <w:rPr>
                <w:sz w:val="20"/>
                <w:szCs w:val="20"/>
                <w:color w:val="auto"/>
              </w:rPr>
            </w:pPr>
            <w:r>
              <w:rPr>
                <w:rFonts w:ascii="Arial" w:cs="Arial" w:eastAsia="Arial" w:hAnsi="Arial"/>
                <w:sz w:val="18"/>
                <w:szCs w:val="18"/>
                <w:color w:val="auto"/>
                <w:w w:val="97"/>
              </w:rPr>
              <w:t>Costs of goods sold</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20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w w:val="96"/>
              </w:rPr>
              <w:t>Interest (expense)</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recognized no gains or losses resulting from ineffectiveness of cash flow hedges during the years ended December 31, 2013 and 2012. At December 31, 2012, there were foreign currency contracts outstanding not designated as hedges with the notional amount equivalent to $3.9 million.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- 22</w:t>
      </w:r>
    </w:p>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TREASURY STOCK</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23, 2012, the Company's Board of Directors terminated the October 2010 authorization and authorized the repurchase of up to $75.0 million of its outstanding common stock through December 2014 (the "2012 Authorization"). As of December 31, 2013, there remained $75.0 million available for repurchases under this authorization.</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authorizations above, on June 3, 2011, the Company’s Board of Directors separately authorized the Company to repurchase shares of common stock from the proceeds of the 2016 Notes in connection with that offering.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treasury stock repurchases during the years ended December 31, 2013 or December 31, 2012.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 all related to employees - recognized under the authoritative guidance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9,948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26,310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404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10,393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9,051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26,805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estimated tax benefit related to stock-based compensation expense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10,468</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Net effect on net income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6,375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5,519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16,337</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purpose of the Employee Stock Purchase Plan (the “ESPP”) is to provide eligible employees of the Company with the opportunity to acquire shares of common stock at periodic intervals by means of accumulated payroll deductions. Under the ESPP, a total of 1.5 million shares of common stock are reserved for issuance. These shares will be made available either from the Company’s authorized but unissued shares of common stock or from shares of common stock reacquired by the Company as treasury shares. At December 31, 2013, 1.0 million shares remain available for purchase under the ESPP. During the years ended December 31, 2013, 2012 and 2011, the Company issued 6,309 shares, 6,315 shares and 8,523 shares under the ESPP for $0.3 million, $0.2 million and $0.2 million, respectively.</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ESPP was amended in 2005 to reduce the discount available to participants to five percent and to fix the price against which such discount would be applied. Accordingly, the ESPP is a non-compensatory plan.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 PLANS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2013, the Company had stock options, restricted stock awards, performance stock awards, contract stock awards and restricted stock unit awards outstanding under three plans, the 2000 Equity Incentive Plan (the “2000 Plan”), the 2001 Equity Incentive Plan (the “2001 Plan”), and the 2003 Equity Incentive Plan (the “2003 Plan,” and collectively, (the “Plans”).</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2008 and May 2010, the stockholders of the Company approved amendments to the 2003 Plan to increase by 750,000 and 1,750,000, respectively, the number of shares of common stock that may be issued under the 2003 Plan. The Company has reserved 2,000,000 shares under each of the 2000 Plan and the 2001 Plan, and 6,500,000 shares under the 2003 Plan. The Plans permit the Company to grant incentive and non-qualified stock options, stock appreciation rights, restricted stock, contract stock, performance stock, or dividend equivalent rights to designated directors, officers, employees and associates of the Company.</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Stock options issued under the Plans become exercisable over specified periods, generally within four years from the date of grant for officers, directors and employees, and generally expire six years from the grant date for employees and from six to ten years for directors and certain executive officers. Restricted stock issued under the Plans vests over specified periods, generally three years after the date of grant.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values stock option grants using the binomial distribution model. Management believes that the binomial distribution model is preferable to the Black-Scholes model because the binomial distribution model is a more flexible model that considers the impact of non-transferability, and vesting provisions in the valuation of employee stock options.</w:t>
      </w:r>
    </w:p>
    <w:p>
      <w:pPr>
        <w:spacing w:after="0" w:line="12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determining the value of stock options granted, the Company considered that it has never paid cash dividends and does not currently intend to pay cash dividends, and thus has assumed a 0% dividend yield. Expected volatilities are based on the historical volatility of the Company’s stock price with forward-looking assumptions. The expected life of stock options is estimated based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- 23</w:t>
      </w:r>
    </w:p>
    <w:p>
      <w:pPr>
        <w:sectPr>
          <w:pgSz w:w="11900" w:h="16838" w:orient="portrait"/>
          <w:cols w:equalWidth="0" w:num="1">
            <w:col w:w="11420"/>
          </w:cols>
          <w:pgMar w:left="240" w:top="12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historical data on exercise of stock options, post-vesting forfeitures and other factors to estimate the expected term of the stock options granted. The risk-free interest rates are derived from the U.S. Treasury yield curve in effect on the date of grant for instruments with a remaining term similar to the expected life of the options. In addition, the Company applies an expected forfeiture rate when amortizing stock-based compensation expenses. The estimate of the forfeiture rates is based primarily upon historical experience of employee turnover. As individual grant awards become fully vested, stock-based compensation expense is adjusted to recognize actual forfeitures.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weighted-average assumptions were used in the calculation of fair value: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414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CCEEFF"/>
            </w:tcBorders>
            <w:gridSpan w:val="2"/>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ind w:right="114"/>
              <w:spacing w:after="0"/>
              <w:rPr>
                <w:sz w:val="20"/>
                <w:szCs w:val="20"/>
                <w:color w:val="auto"/>
              </w:rPr>
            </w:pPr>
            <w:r>
              <w:rPr>
                <w:rFonts w:ascii="Arial" w:cs="Arial" w:eastAsia="Arial" w:hAnsi="Arial"/>
                <w:sz w:val="18"/>
                <w:szCs w:val="18"/>
                <w:color w:val="auto"/>
                <w:w w:val="92"/>
              </w:rPr>
              <w:t>0%</w:t>
            </w:r>
          </w:p>
        </w:tc>
        <w:tc>
          <w:tcPr>
            <w:tcW w:w="1600" w:type="dxa"/>
            <w:vAlign w:val="bottom"/>
            <w:tcBorders>
              <w:bottom w:val="single" w:sz="8" w:color="CCEEFF"/>
            </w:tcBorders>
            <w:gridSpan w:val="3"/>
            <w:shd w:val="clear" w:color="auto" w:fill="CCEEFF"/>
          </w:tcPr>
          <w:p>
            <w:pPr>
              <w:jc w:val="center"/>
              <w:ind w:left="34"/>
              <w:spacing w:after="0"/>
              <w:rPr>
                <w:sz w:val="20"/>
                <w:szCs w:val="20"/>
                <w:color w:val="auto"/>
              </w:rPr>
            </w:pPr>
            <w:r>
              <w:rPr>
                <w:rFonts w:ascii="Arial" w:cs="Arial" w:eastAsia="Arial" w:hAnsi="Arial"/>
                <w:sz w:val="18"/>
                <w:szCs w:val="18"/>
                <w:color w:val="auto"/>
                <w:w w:val="92"/>
              </w:rPr>
              <w:t>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right="57"/>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Expected volatility</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center"/>
              <w:ind w:right="94"/>
              <w:spacing w:after="0"/>
              <w:rPr>
                <w:sz w:val="20"/>
                <w:szCs w:val="20"/>
                <w:color w:val="auto"/>
              </w:rPr>
            </w:pPr>
            <w:r>
              <w:rPr>
                <w:rFonts w:ascii="Arial" w:cs="Arial" w:eastAsia="Arial" w:hAnsi="Arial"/>
                <w:sz w:val="18"/>
                <w:szCs w:val="18"/>
                <w:color w:val="auto"/>
                <w:w w:val="94"/>
              </w:rPr>
              <w:t>31%</w:t>
            </w:r>
          </w:p>
        </w:tc>
        <w:tc>
          <w:tcPr>
            <w:tcW w:w="1600" w:type="dxa"/>
            <w:vAlign w:val="bottom"/>
            <w:gridSpan w:val="3"/>
          </w:tcPr>
          <w:p>
            <w:pPr>
              <w:jc w:val="center"/>
              <w:ind w:left="34"/>
              <w:spacing w:after="0"/>
              <w:rPr>
                <w:sz w:val="20"/>
                <w:szCs w:val="20"/>
                <w:color w:val="auto"/>
              </w:rPr>
            </w:pPr>
            <w:r>
              <w:rPr>
                <w:rFonts w:ascii="Arial" w:cs="Arial" w:eastAsia="Arial" w:hAnsi="Arial"/>
                <w:sz w:val="18"/>
                <w:szCs w:val="18"/>
                <w:color w:val="auto"/>
                <w:w w:val="88"/>
              </w:rPr>
              <w:t>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center"/>
              <w:ind w:right="57"/>
              <w:spacing w:after="0"/>
              <w:rPr>
                <w:sz w:val="20"/>
                <w:szCs w:val="20"/>
                <w:color w:val="auto"/>
              </w:rPr>
            </w:pPr>
            <w:r>
              <w:rPr>
                <w:rFonts w:ascii="Arial" w:cs="Arial" w:eastAsia="Arial" w:hAnsi="Arial"/>
                <w:sz w:val="18"/>
                <w:szCs w:val="18"/>
                <w:color w:val="auto"/>
                <w:w w:val="88"/>
              </w:rPr>
              <w:t>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Risk free interest rate</w:t>
            </w: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ind w:right="94"/>
              <w:spacing w:after="0"/>
              <w:rPr>
                <w:sz w:val="20"/>
                <w:szCs w:val="20"/>
                <w:color w:val="auto"/>
              </w:rPr>
            </w:pPr>
            <w:r>
              <w:rPr>
                <w:rFonts w:ascii="Arial" w:cs="Arial" w:eastAsia="Arial" w:hAnsi="Arial"/>
                <w:sz w:val="18"/>
                <w:szCs w:val="18"/>
                <w:color w:val="auto"/>
                <w:w w:val="90"/>
              </w:rPr>
              <w:t>1.52%</w:t>
            </w:r>
          </w:p>
        </w:tc>
        <w:tc>
          <w:tcPr>
            <w:tcW w:w="1600" w:type="dxa"/>
            <w:vAlign w:val="bottom"/>
            <w:tcBorders>
              <w:bottom w:val="single" w:sz="8" w:color="CCEEFF"/>
            </w:tcBorders>
            <w:gridSpan w:val="3"/>
            <w:shd w:val="clear" w:color="auto" w:fill="CCEEFF"/>
          </w:tcPr>
          <w:p>
            <w:pPr>
              <w:jc w:val="center"/>
              <w:ind w:left="14"/>
              <w:spacing w:after="0"/>
              <w:rPr>
                <w:sz w:val="20"/>
                <w:szCs w:val="20"/>
                <w:color w:val="auto"/>
              </w:rPr>
            </w:pPr>
            <w:r>
              <w:rPr>
                <w:rFonts w:ascii="Arial" w:cs="Arial" w:eastAsia="Arial" w:hAnsi="Arial"/>
                <w:sz w:val="18"/>
                <w:szCs w:val="18"/>
                <w:color w:val="auto"/>
                <w:w w:val="90"/>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right="37"/>
              <w:spacing w:after="0"/>
              <w:rPr>
                <w:sz w:val="20"/>
                <w:szCs w:val="20"/>
                <w:color w:val="auto"/>
              </w:rPr>
            </w:pPr>
            <w:r>
              <w:rPr>
                <w:rFonts w:ascii="Arial" w:cs="Arial" w:eastAsia="Arial" w:hAnsi="Arial"/>
                <w:sz w:val="18"/>
                <w:szCs w:val="18"/>
                <w:color w:val="auto"/>
                <w:w w:val="90"/>
              </w:rPr>
              <w:t>2.47%</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Expected life of option from grant date</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14"/>
              <w:spacing w:after="0"/>
              <w:rPr>
                <w:sz w:val="20"/>
                <w:szCs w:val="20"/>
                <w:color w:val="auto"/>
              </w:rPr>
            </w:pPr>
            <w:r>
              <w:rPr>
                <w:rFonts w:ascii="Arial" w:cs="Arial" w:eastAsia="Arial" w:hAnsi="Arial"/>
                <w:sz w:val="18"/>
                <w:szCs w:val="18"/>
                <w:color w:val="auto"/>
              </w:rPr>
              <w:t>8 years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8 years</w:t>
            </w:r>
          </w:p>
        </w:tc>
        <w:tc>
          <w:tcPr>
            <w:tcW w:w="140" w:type="dxa"/>
            <w:vAlign w:val="bottom"/>
          </w:tcPr>
          <w:p>
            <w:pPr>
              <w:spacing w:after="0"/>
              <w:rPr>
                <w:sz w:val="21"/>
                <w:szCs w:val="21"/>
                <w:color w:val="auto"/>
              </w:rPr>
            </w:pPr>
          </w:p>
        </w:tc>
        <w:tc>
          <w:tcPr>
            <w:tcW w:w="1340" w:type="dxa"/>
            <w:vAlign w:val="bottom"/>
          </w:tcPr>
          <w:p>
            <w:pPr>
              <w:jc w:val="center"/>
              <w:ind w:right="57"/>
              <w:spacing w:after="0"/>
              <w:rPr>
                <w:sz w:val="20"/>
                <w:szCs w:val="20"/>
                <w:color w:val="auto"/>
              </w:rPr>
            </w:pPr>
            <w:r>
              <w:rPr>
                <w:rFonts w:ascii="Arial" w:cs="Arial" w:eastAsia="Arial" w:hAnsi="Arial"/>
                <w:sz w:val="18"/>
                <w:szCs w:val="18"/>
                <w:color w:val="auto"/>
                <w:w w:val="88"/>
              </w:rPr>
              <w:t>8 years</w:t>
            </w:r>
          </w:p>
        </w:tc>
        <w:tc>
          <w:tcPr>
            <w:tcW w:w="0" w:type="dxa"/>
            <w:vAlign w:val="bottom"/>
          </w:tcPr>
          <w:p>
            <w:pPr>
              <w:spacing w:after="0"/>
              <w:rPr>
                <w:sz w:val="1"/>
                <w:szCs w:val="1"/>
                <w:color w:val="auto"/>
              </w:rPr>
            </w:pPr>
          </w:p>
        </w:tc>
      </w:tr>
      <w:tr>
        <w:trPr>
          <w:trHeight w:val="324"/>
        </w:trPr>
        <w:tc>
          <w:tcPr>
            <w:tcW w:w="5160" w:type="dxa"/>
            <w:vAlign w:val="bottom"/>
            <w:gridSpan w:val="3"/>
          </w:tcPr>
          <w:p>
            <w:pPr>
              <w:spacing w:after="0"/>
              <w:rPr>
                <w:sz w:val="20"/>
                <w:szCs w:val="20"/>
                <w:color w:val="auto"/>
              </w:rPr>
            </w:pPr>
            <w:r>
              <w:rPr>
                <w:rFonts w:ascii="Arial" w:cs="Arial" w:eastAsia="Arial" w:hAnsi="Arial"/>
                <w:sz w:val="18"/>
                <w:szCs w:val="18"/>
                <w:color w:val="auto"/>
                <w:w w:val="94"/>
              </w:rPr>
              <w:t>The following table summarizes the Company’s stock option activity:</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4"/>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3"/>
              </w:rPr>
              <w:t>Weighted Average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24"/>
                <w:szCs w:val="24"/>
                <w:color w:val="auto"/>
              </w:rPr>
            </w:pPr>
          </w:p>
        </w:tc>
        <w:tc>
          <w:tcPr>
            <w:tcW w:w="134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 Term in</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Exercise Price</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w w:val="88"/>
              </w:rPr>
              <w:t>Stock Options</w:t>
            </w:r>
          </w:p>
        </w:tc>
        <w:tc>
          <w:tcPr>
            <w:tcW w:w="414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1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December 31, 2012</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Forfeited or Expired</w:t>
            </w:r>
          </w:p>
        </w:tc>
        <w:tc>
          <w:tcPr>
            <w:tcW w:w="150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1,639</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3.2 years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16,755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Vested or expected to vest at December 31, 2013</w:t>
            </w: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1,639</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37.64</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gridSpan w:val="2"/>
          </w:tcPr>
          <w:p>
            <w:pPr>
              <w:ind w:left="800"/>
              <w:spacing w:after="0"/>
              <w:rPr>
                <w:sz w:val="20"/>
                <w:szCs w:val="20"/>
                <w:color w:val="auto"/>
              </w:rPr>
            </w:pPr>
            <w:r>
              <w:rPr>
                <w:rFonts w:ascii="Arial" w:cs="Arial" w:eastAsia="Arial" w:hAnsi="Arial"/>
                <w:sz w:val="18"/>
                <w:szCs w:val="18"/>
                <w:color w:val="auto"/>
              </w:rPr>
              <w:t>3.2 years</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16,755</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Exercisable at December 31, 2013</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1,521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2.9 years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15,058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intrinsic value of options exercised for the years ended December 31, 2013 and 2012 were negligible, and were $1.4 million, for the year ended December 31, 2011. The weighted average grant date fair value of options granted during the years ended December 31, 2013, 2012 and 2011 was $13.86, $12.18 and $19.18, respectively. Cash received from option exercises was $2.3 million, $0.7 million and $3.7 million, for the years ended December 31, 2013, 2012 and 2011, respectively.</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2013, there was approximately $1.3 million of total unrecognized compensation costs related to unvested stock options. These costs are expected to be recognized over a weighted-average period of approximately one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of Restricted Stock, Performance Stock and Contract Stock</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awards of restricted stock, performance stock and contract stock for the year ended December 31, 2013:</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Restricted Stock Awards</w:t>
            </w:r>
          </w:p>
        </w:tc>
        <w:tc>
          <w:tcPr>
            <w:tcW w:w="100" w:type="dxa"/>
            <w:vAlign w:val="bottom"/>
          </w:tcPr>
          <w:p>
            <w:pPr>
              <w:spacing w:after="0"/>
              <w:rPr>
                <w:sz w:val="16"/>
                <w:szCs w:val="16"/>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Performance Stock and Contract Stock Awards</w:t>
            </w:r>
          </w:p>
        </w:tc>
        <w:tc>
          <w:tcPr>
            <w:tcW w:w="0" w:type="dxa"/>
            <w:vAlign w:val="bottom"/>
          </w:tcPr>
          <w:p>
            <w:pPr>
              <w:spacing w:after="0"/>
              <w:rPr>
                <w:sz w:val="1"/>
                <w:szCs w:val="1"/>
                <w:color w:val="auto"/>
              </w:rPr>
            </w:pPr>
          </w:p>
        </w:tc>
      </w:tr>
      <w:tr>
        <w:trPr>
          <w:trHeight w:val="571"/>
        </w:trPr>
        <w:tc>
          <w:tcPr>
            <w:tcW w:w="5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95"/>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Grant Date Fair Value</w:t>
            </w:r>
          </w:p>
        </w:tc>
        <w:tc>
          <w:tcPr>
            <w:tcW w:w="148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4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8"/>
              </w:rPr>
              <w:t>Grant Date Fair Value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 Share</w:t>
            </w: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355"/>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500" w:type="dxa"/>
            <w:vAlign w:val="bottom"/>
            <w:tcBorders>
              <w:top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December 31, 2012</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37.80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199</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38.65</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39.25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Cancellations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38.59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Released</w:t>
            </w:r>
          </w:p>
        </w:tc>
        <w:tc>
          <w:tcPr>
            <w:tcW w:w="150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39.43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December 31, 2013</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321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37.29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264</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- 24</w:t>
      </w:r>
    </w:p>
    <w:p>
      <w:pPr>
        <w:sectPr>
          <w:pgSz w:w="11900" w:h="16838" w:orient="portrait"/>
          <w:cols w:equalWidth="0" w:num="1">
            <w:col w:w="11420"/>
          </w:cols>
          <w:pgMar w:left="240" w:top="121" w:right="239" w:bottom="144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recognized $9.2 million, $7.7 million and $24.5 million in expense related to such awards during the years ended December 31, 2013, 2012 and 2011, respectively. The total fair market value of shares vested in 2013, 2012 and 2011 was $6.5 million, $6.7 million and $29.7 million, respectively.</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Performance stock awards have performance features associated with them. Performance stock, restricted stock and contract stock awards generally have requisite service periods of three years. The fair value of these awards is being expensed on a straight-line basis over the vesting period. As of December 31, 2013, there was approximately $11.1 million of total unrecognized compensation costs related to unvested awards. These costs are expected to be recognized over a weighted-average period of approximately two years.</w:t>
      </w:r>
    </w:p>
    <w:p>
      <w:pPr>
        <w:spacing w:after="0" w:line="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June 7, 2012, the Company's former CEO terminated his employment with the Company and ceased to serve as Executive Chairman of the Board of Directors and as an officer or employee of the Company and its subsidiaries and affiliates. The Company's former CEO continues to serve as Chairman of the Board of Directors and as a non-employee member of the Board. In the fourth quarter of 2012, the Company distributed to him in the form of shares of its common stock 1.67 million deferred stock units (“SUs”), less shares withheld for taxes, as a result of the termination of his employment.</w:t>
      </w:r>
    </w:p>
    <w:p>
      <w:pPr>
        <w:spacing w:after="0" w:line="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2013, there are approximately 0.2 million additional vested Restricted Units held by various employees for which the related shares have not yet been issued. Included in this amount are 34,868 units granted in October 2010 in connection with the Company’s hiring of its Chief Executive Officer for which the Company immediately expensed $1.5 million as these shares were fully vested at the date of grant.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2013, there were approximately 2.0 million shares available for grant under the Plans.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RETIREMENT BENEFIT PLANS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maintains defined benefit pension plans that cover employees in its manufacturing plants located in Andover, United Kingdom (the “UK Plan”) and Tuttlingen, Germany (the “Germany Plan”). The Company closed the Tuttlingen, Germany plant in December 2005. The Company did not terminate the Germany Plan, and the Company remains obligated for the accrued pension benefits related to this plan. The plans cover certain current and former employees.</w:t>
      </w:r>
    </w:p>
    <w:p>
      <w:pPr>
        <w:spacing w:after="0" w:line="13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Effective March 31, 2011, the Company froze the benefits due to the participants of the UK Plan in their entirety; this curtailment resulted in a $0.3 million reduction in the projected benefit obligations which the Company recorded on that date. The Company recorded the entire curtailment gain as an offset to the unrecognized net actuarial loss in accumulated other comprehensive income; therefore, this gain had no impact on the consolidated statements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Net periodic benefit costs for the Company’s defined benefit pension plans included the following amounts: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- 25</w:t>
      </w:r>
    </w:p>
    <w:p>
      <w:pPr>
        <w:sectPr>
          <w:pgSz w:w="11900" w:h="16838" w:orient="portrait"/>
          <w:cols w:equalWidth="0" w:num="1">
            <w:col w:w="11420"/>
          </w:cols>
          <w:pgMar w:left="240" w:top="12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r>
      <w:tr>
        <w:trPr>
          <w:trHeight w:val="196"/>
        </w:trPr>
        <w:tc>
          <w:tcPr>
            <w:tcW w:w="6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650</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Recognized net actuarial loss</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period benefit cost</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weighted average assumptions were used to develop net periodic pension benefit cost and the actuarial present value of projected pension benefit obligations:</w:t>
      </w:r>
    </w:p>
    <w:p>
      <w:pPr>
        <w:spacing w:after="0" w:line="338"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23495</wp:posOffset>
            </wp:positionV>
            <wp:extent cx="30702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2011</w:t>
            </w:r>
          </w:p>
        </w:tc>
      </w:tr>
      <w:tr>
        <w:trPr>
          <w:trHeight w:val="25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Expected return on plan assets</w:t>
            </w: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6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7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7"/>
        </w:trPr>
        <w:tc>
          <w:tcPr>
            <w:tcW w:w="65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discount rate is set using the Bank of America Merrill Lynch AA Corporate Bond yield curve weighted by the UK benefit plan cash flows for the year ending December 31, 2013. The expected return on plan assets represents the average rate of return expected to be earned on plan assets over the period the benefits included in the benefit obligation are to be paid. In developing the expected rate of return, the Company considers long-term compound annualized returns of historical market data as well as actual returns on the plan assets and applies adjustments that reflect more recent capital market experience. Using this reference information, the long-term return expectations for each asset category are developed according to the allocation among those investment categories. In 2013, 2012 and 2011, the discount rate was prescribed as the current yield on corporate bonds with an average rating of AA of equivalent currency and term to the liabilities.</w:t>
      </w:r>
    </w:p>
    <w:p>
      <w:pPr>
        <w:spacing w:after="0" w:line="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sets forth the change in projected benefit obligations and the change in plan assets for the years ended December 31, 2013 and 2012 and a reconciliation of the funded status at December 31, 2013 and 2012: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w w:val="99"/>
              </w:rPr>
              <w:t>Years Ended December 31,</w:t>
            </w:r>
          </w:p>
        </w:tc>
        <w:tc>
          <w:tcPr>
            <w:tcW w:w="0" w:type="dxa"/>
            <w:vAlign w:val="bottom"/>
          </w:tcPr>
          <w:p>
            <w:pPr>
              <w:spacing w:after="0"/>
              <w:rPr>
                <w:sz w:val="1"/>
                <w:szCs w:val="1"/>
                <w:color w:val="auto"/>
              </w:rPr>
            </w:pPr>
          </w:p>
        </w:tc>
      </w:tr>
      <w:tr>
        <w:trPr>
          <w:trHeight w:val="264"/>
        </w:trPr>
        <w:tc>
          <w:tcPr>
            <w:tcW w:w="47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2012</w:t>
            </w:r>
          </w:p>
        </w:tc>
        <w:tc>
          <w:tcPr>
            <w:tcW w:w="0" w:type="dxa"/>
            <w:vAlign w:val="bottom"/>
          </w:tcPr>
          <w:p>
            <w:pPr>
              <w:spacing w:after="0"/>
              <w:rPr>
                <w:sz w:val="1"/>
                <w:szCs w:val="1"/>
                <w:color w:val="auto"/>
              </w:rPr>
            </w:pPr>
          </w:p>
        </w:tc>
      </w:tr>
      <w:tr>
        <w:trPr>
          <w:trHeight w:val="250"/>
        </w:trPr>
        <w:tc>
          <w:tcPr>
            <w:tcW w:w="47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PROJECTED BENEFIT OBLIGATION</w:t>
            </w:r>
          </w:p>
        </w:tc>
        <w:tc>
          <w:tcPr>
            <w:tcW w:w="19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80"/>
              <w:spacing w:after="0"/>
              <w:rPr>
                <w:sz w:val="20"/>
                <w:szCs w:val="20"/>
                <w:color w:val="auto"/>
              </w:rPr>
            </w:pPr>
            <w:r>
              <w:rPr>
                <w:rFonts w:ascii="Arial" w:cs="Arial" w:eastAsia="Arial" w:hAnsi="Arial"/>
                <w:sz w:val="18"/>
                <w:szCs w:val="18"/>
                <w:color w:val="auto"/>
              </w:rPr>
              <w:t>Projected benefit obligation, beginning of year</w:t>
            </w:r>
          </w:p>
        </w:tc>
        <w:tc>
          <w:tcPr>
            <w:tcW w:w="22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13,918</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12,556</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1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43"/>
        </w:trPr>
        <w:tc>
          <w:tcPr>
            <w:tcW w:w="4740" w:type="dxa"/>
            <w:vAlign w:val="bottom"/>
          </w:tcPr>
          <w:p>
            <w:pPr>
              <w:ind w:left="280"/>
              <w:spacing w:after="0"/>
              <w:rPr>
                <w:sz w:val="20"/>
                <w:szCs w:val="20"/>
                <w:color w:val="auto"/>
              </w:rPr>
            </w:pPr>
            <w:r>
              <w:rPr>
                <w:rFonts w:ascii="Arial" w:cs="Arial" w:eastAsia="Arial" w:hAnsi="Arial"/>
                <w:sz w:val="18"/>
                <w:szCs w:val="18"/>
                <w:color w:val="auto"/>
              </w:rPr>
              <w:t>Benefits paid</w:t>
            </w:r>
          </w:p>
        </w:tc>
        <w:tc>
          <w:tcPr>
            <w:tcW w:w="1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Actuarial loss</w:t>
            </w:r>
          </w:p>
        </w:tc>
        <w:tc>
          <w:tcPr>
            <w:tcW w:w="1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43"/>
        </w:trPr>
        <w:tc>
          <w:tcPr>
            <w:tcW w:w="4740" w:type="dxa"/>
            <w:vAlign w:val="bottom"/>
          </w:tcPr>
          <w:p>
            <w:pPr>
              <w:ind w:left="280"/>
              <w:spacing w:after="0"/>
              <w:rPr>
                <w:sz w:val="20"/>
                <w:szCs w:val="20"/>
                <w:color w:val="auto"/>
              </w:rPr>
            </w:pPr>
            <w:r>
              <w:rPr>
                <w:rFonts w:ascii="Arial" w:cs="Arial" w:eastAsia="Arial" w:hAnsi="Arial"/>
                <w:sz w:val="18"/>
                <w:szCs w:val="18"/>
                <w:color w:val="auto"/>
              </w:rPr>
              <w:t>Effect of foreign currency exchange rates</w:t>
            </w:r>
          </w:p>
        </w:tc>
        <w:tc>
          <w:tcPr>
            <w:tcW w:w="1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Projected benefit obligation, end of year</w:t>
            </w:r>
          </w:p>
        </w:tc>
        <w:tc>
          <w:tcPr>
            <w:tcW w:w="2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15,182</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CHANGE IN PLAN ASSETS</w:t>
            </w:r>
          </w:p>
        </w:tc>
        <w:tc>
          <w:tcPr>
            <w:tcW w:w="1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40" w:type="dxa"/>
            <w:vAlign w:val="bottom"/>
            <w:vMerge w:val="continue"/>
          </w:tcPr>
          <w:p>
            <w:pPr>
              <w:spacing w:after="0"/>
              <w:rPr>
                <w:sz w:val="20"/>
                <w:szCs w:val="20"/>
                <w:color w:val="auto"/>
              </w:rPr>
            </w:pPr>
          </w:p>
        </w:tc>
        <w:tc>
          <w:tcPr>
            <w:tcW w:w="1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Plan assets at fair value, beginning of year</w:t>
            </w:r>
          </w:p>
        </w:tc>
        <w:tc>
          <w:tcPr>
            <w:tcW w:w="22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13,226</w:t>
            </w:r>
          </w:p>
        </w:tc>
        <w:tc>
          <w:tcPr>
            <w:tcW w:w="0" w:type="dxa"/>
            <w:vAlign w:val="bottom"/>
          </w:tcPr>
          <w:p>
            <w:pPr>
              <w:spacing w:after="0"/>
              <w:rPr>
                <w:sz w:val="1"/>
                <w:szCs w:val="1"/>
                <w:color w:val="auto"/>
              </w:rPr>
            </w:pPr>
          </w:p>
        </w:tc>
      </w:tr>
      <w:tr>
        <w:trPr>
          <w:trHeight w:val="243"/>
        </w:trPr>
        <w:tc>
          <w:tcPr>
            <w:tcW w:w="4740" w:type="dxa"/>
            <w:vAlign w:val="bottom"/>
          </w:tcPr>
          <w:p>
            <w:pPr>
              <w:ind w:left="280"/>
              <w:spacing w:after="0"/>
              <w:rPr>
                <w:sz w:val="20"/>
                <w:szCs w:val="20"/>
                <w:color w:val="auto"/>
              </w:rPr>
            </w:pPr>
            <w:r>
              <w:rPr>
                <w:rFonts w:ascii="Arial" w:cs="Arial" w:eastAsia="Arial" w:hAnsi="Arial"/>
                <w:sz w:val="18"/>
                <w:szCs w:val="18"/>
                <w:color w:val="auto"/>
              </w:rPr>
              <w:t>Actual return on plan assets</w:t>
            </w:r>
          </w:p>
        </w:tc>
        <w:tc>
          <w:tcPr>
            <w:tcW w:w="1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Employer contributions</w:t>
            </w:r>
          </w:p>
        </w:tc>
        <w:tc>
          <w:tcPr>
            <w:tcW w:w="1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43"/>
        </w:trPr>
        <w:tc>
          <w:tcPr>
            <w:tcW w:w="4740" w:type="dxa"/>
            <w:vAlign w:val="bottom"/>
          </w:tcPr>
          <w:p>
            <w:pPr>
              <w:ind w:left="280"/>
              <w:spacing w:after="0"/>
              <w:rPr>
                <w:sz w:val="20"/>
                <w:szCs w:val="20"/>
                <w:color w:val="auto"/>
              </w:rPr>
            </w:pPr>
            <w:r>
              <w:rPr>
                <w:rFonts w:ascii="Arial" w:cs="Arial" w:eastAsia="Arial" w:hAnsi="Arial"/>
                <w:sz w:val="18"/>
                <w:szCs w:val="18"/>
                <w:color w:val="auto"/>
              </w:rPr>
              <w:t>Benefits paid</w:t>
            </w:r>
          </w:p>
        </w:tc>
        <w:tc>
          <w:tcPr>
            <w:tcW w:w="1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foreign currency exchange rates</w:t>
            </w:r>
          </w:p>
        </w:tc>
        <w:tc>
          <w:tcPr>
            <w:tcW w:w="19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57"/>
        </w:trPr>
        <w:tc>
          <w:tcPr>
            <w:tcW w:w="4740" w:type="dxa"/>
            <w:vAlign w:val="bottom"/>
          </w:tcPr>
          <w:p>
            <w:pPr>
              <w:ind w:left="280"/>
              <w:spacing w:after="0"/>
              <w:rPr>
                <w:sz w:val="20"/>
                <w:szCs w:val="20"/>
                <w:color w:val="auto"/>
              </w:rPr>
            </w:pPr>
            <w:r>
              <w:rPr>
                <w:rFonts w:ascii="Arial" w:cs="Arial" w:eastAsia="Arial" w:hAnsi="Arial"/>
                <w:sz w:val="18"/>
                <w:szCs w:val="18"/>
                <w:color w:val="auto"/>
              </w:rPr>
              <w:t>Plan assets at fair value, end of year</w:t>
            </w:r>
          </w:p>
        </w:tc>
        <w:tc>
          <w:tcPr>
            <w:tcW w:w="19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14,694</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740" w:type="dxa"/>
            <w:vAlign w:val="bottom"/>
          </w:tcPr>
          <w:p>
            <w:pPr>
              <w:spacing w:after="0"/>
              <w:rPr>
                <w:sz w:val="24"/>
                <w:szCs w:val="24"/>
                <w:color w:val="auto"/>
              </w:rPr>
            </w:pPr>
          </w:p>
        </w:tc>
        <w:tc>
          <w:tcPr>
            <w:tcW w:w="2260" w:type="dxa"/>
            <w:vAlign w:val="bottom"/>
            <w:gridSpan w:val="2"/>
          </w:tcPr>
          <w:p>
            <w:pPr>
              <w:jc w:val="right"/>
              <w:ind w:right="990"/>
              <w:spacing w:after="0"/>
              <w:rPr>
                <w:sz w:val="20"/>
                <w:szCs w:val="20"/>
                <w:color w:val="auto"/>
              </w:rPr>
            </w:pPr>
            <w:r>
              <w:rPr>
                <w:rFonts w:ascii="Arial" w:cs="Arial" w:eastAsia="Arial" w:hAnsi="Arial"/>
                <w:sz w:val="18"/>
                <w:szCs w:val="18"/>
                <w:color w:val="auto"/>
              </w:rPr>
              <w:t>F - 26</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Years Ended December 31,</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80" w:type="dxa"/>
            <w:vAlign w:val="bottom"/>
            <w:gridSpan w:val="3"/>
          </w:tcPr>
          <w:p>
            <w:pPr>
              <w:jc w:val="right"/>
              <w:ind w:right="416"/>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FUNDED STATUS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Funded status - (under) over funded</w:t>
            </w:r>
          </w:p>
        </w:tc>
        <w:tc>
          <w:tcPr>
            <w:tcW w:w="920" w:type="dxa"/>
            <w:vAlign w:val="bottom"/>
          </w:tcPr>
          <w:p>
            <w:pPr>
              <w:jc w:val="right"/>
              <w:ind w:right="71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net actuarial loss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2,911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(2,911)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(1,512)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recognized</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w w:val="93"/>
              </w:rPr>
              <w:t>The funded status is included in other liabilities, and other assets at December 31, 2013 and 2012, respectively.</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3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combined accumulated benefit obligation for the defined benefit plans was $15.2 million and $13.9 million as of December 31, 2013 and 2012, respectively.</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investment strategy for the Company’s defined benefit plans is both to meet the liabilities of the plans as they fall due and to maximize the return on invested assets within appropriate risk tolerances. The UK Plan invests in pooled funds which provide a diversification that supports the overall investment objectives. The Germany Plan had no assets at December 31, 2013 or 2012.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Based on the assets which comprise each of the funds, the weighted-average allocation of plan assets by asset category is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14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2012</w:t>
            </w: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bonds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Cash</w:t>
            </w:r>
          </w:p>
        </w:tc>
        <w:tc>
          <w:tcPr>
            <w:tcW w:w="15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2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pension plan assets at December 31, 2013 and 2012 is as follows:</w:t>
      </w:r>
    </w:p>
    <w:p>
      <w:pPr>
        <w:spacing w:after="0" w:line="230"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Fair Value Measurements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23495</wp:posOffset>
            </wp:positionV>
            <wp:extent cx="34734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Manager/Fund</w:t>
            </w: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Asset Category</w:t>
            </w:r>
          </w:p>
        </w:tc>
      </w:tr>
      <w:tr>
        <w:trPr>
          <w:trHeight w:val="20"/>
        </w:trPr>
        <w:tc>
          <w:tcPr>
            <w:tcW w:w="92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534"/>
        </w:trPr>
        <w:tc>
          <w:tcPr>
            <w:tcW w:w="4460" w:type="dxa"/>
            <w:vAlign w:val="bottom"/>
            <w:gridSpan w:val="2"/>
          </w:tcPr>
          <w:p>
            <w:pPr>
              <w:spacing w:after="0"/>
              <w:rPr>
                <w:sz w:val="20"/>
                <w:szCs w:val="20"/>
                <w:color w:val="auto"/>
              </w:rPr>
            </w:pPr>
            <w:r>
              <w:rPr>
                <w:rFonts w:ascii="Arial" w:cs="Arial" w:eastAsia="Arial" w:hAnsi="Arial"/>
                <w:sz w:val="18"/>
                <w:szCs w:val="18"/>
                <w:color w:val="auto"/>
              </w:rPr>
              <w:t>Bank account</w:t>
            </w:r>
          </w:p>
        </w:tc>
        <w:tc>
          <w:tcPr>
            <w:tcW w:w="1360" w:type="dxa"/>
            <w:vAlign w:val="bottom"/>
            <w:gridSpan w:val="2"/>
          </w:tcPr>
          <w:p>
            <w:pPr>
              <w:spacing w:after="0"/>
              <w:rPr>
                <w:sz w:val="20"/>
                <w:szCs w:val="20"/>
                <w:color w:val="auto"/>
              </w:rPr>
            </w:pPr>
            <w:r>
              <w:rPr>
                <w:rFonts w:ascii="Arial" w:cs="Arial" w:eastAsia="Arial" w:hAnsi="Arial"/>
                <w:sz w:val="18"/>
                <w:szCs w:val="18"/>
                <w:color w:val="auto"/>
              </w:rPr>
              <w:t>Cash</w:t>
            </w:r>
          </w:p>
        </w:tc>
      </w:tr>
      <w:tr>
        <w:trPr>
          <w:trHeight w:val="256"/>
        </w:trPr>
        <w:tc>
          <w:tcPr>
            <w:tcW w:w="4460" w:type="dxa"/>
            <w:vAlign w:val="bottom"/>
            <w:gridSpan w:val="2"/>
          </w:tcPr>
          <w:p>
            <w:pPr>
              <w:spacing w:after="0"/>
              <w:rPr>
                <w:sz w:val="20"/>
                <w:szCs w:val="20"/>
                <w:color w:val="auto"/>
              </w:rPr>
            </w:pPr>
            <w:r>
              <w:rPr>
                <w:rFonts w:ascii="Arial" w:cs="Arial" w:eastAsia="Arial" w:hAnsi="Arial"/>
                <w:sz w:val="18"/>
                <w:szCs w:val="18"/>
                <w:color w:val="auto"/>
              </w:rPr>
              <w:t>Legal &amp; General Index-Linked Gilts Index (various</w:t>
            </w:r>
          </w:p>
        </w:tc>
        <w:tc>
          <w:tcPr>
            <w:tcW w:w="1360" w:type="dxa"/>
            <w:vAlign w:val="bottom"/>
            <w:gridSpan w:val="2"/>
          </w:tcPr>
          <w:p>
            <w:pPr>
              <w:spacing w:after="0"/>
              <w:rPr>
                <w:sz w:val="20"/>
                <w:szCs w:val="20"/>
                <w:color w:val="auto"/>
              </w:rPr>
            </w:pPr>
            <w:r>
              <w:rPr>
                <w:rFonts w:ascii="Arial" w:cs="Arial" w:eastAsia="Arial" w:hAnsi="Arial"/>
                <w:sz w:val="18"/>
                <w:szCs w:val="18"/>
                <w:color w:val="auto"/>
              </w:rPr>
              <w:t>Index-linked</w:t>
            </w:r>
          </w:p>
        </w:tc>
      </w:tr>
      <w:tr>
        <w:trPr>
          <w:trHeight w:val="270"/>
        </w:trPr>
        <w:tc>
          <w:tcPr>
            <w:tcW w:w="446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tenors) </w:t>
            </w:r>
            <w:r>
              <w:rPr>
                <w:rFonts w:ascii="Arial" w:cs="Arial" w:eastAsia="Arial" w:hAnsi="Arial"/>
                <w:sz w:val="25"/>
                <w:szCs w:val="25"/>
                <w:color w:val="auto"/>
                <w:vertAlign w:val="superscript"/>
              </w:rPr>
              <w:t>(a)</w:t>
            </w:r>
          </w:p>
        </w:tc>
        <w:tc>
          <w:tcPr>
            <w:tcW w:w="1360" w:type="dxa"/>
            <w:vAlign w:val="bottom"/>
            <w:gridSpan w:val="2"/>
          </w:tcPr>
          <w:p>
            <w:pPr>
              <w:spacing w:after="0"/>
              <w:rPr>
                <w:sz w:val="20"/>
                <w:szCs w:val="20"/>
                <w:color w:val="auto"/>
              </w:rPr>
            </w:pPr>
            <w:r>
              <w:rPr>
                <w:rFonts w:ascii="Arial" w:cs="Arial" w:eastAsia="Arial" w:hAnsi="Arial"/>
                <w:sz w:val="18"/>
                <w:szCs w:val="18"/>
                <w:color w:val="auto"/>
                <w:w w:val="89"/>
              </w:rPr>
              <w:t>government bonds</w:t>
            </w:r>
          </w:p>
        </w:tc>
      </w:tr>
      <w:tr>
        <w:trPr>
          <w:trHeight w:val="297"/>
        </w:trPr>
        <w:tc>
          <w:tcPr>
            <w:tcW w:w="4460" w:type="dxa"/>
            <w:vAlign w:val="bottom"/>
            <w:gridSpan w:val="2"/>
          </w:tcPr>
          <w:p>
            <w:pPr>
              <w:spacing w:after="0"/>
              <w:rPr>
                <w:sz w:val="20"/>
                <w:szCs w:val="20"/>
                <w:color w:val="auto"/>
              </w:rPr>
            </w:pPr>
            <w:r>
              <w:rPr>
                <w:rFonts w:ascii="Arial" w:cs="Arial" w:eastAsia="Arial" w:hAnsi="Arial"/>
                <w:sz w:val="18"/>
                <w:szCs w:val="18"/>
                <w:color w:val="auto"/>
              </w:rPr>
              <w:t xml:space="preserve">Legal &amp; General Over 15 Years Gilts Index </w:t>
            </w:r>
            <w:r>
              <w:rPr>
                <w:rFonts w:ascii="Arial" w:cs="Arial" w:eastAsia="Arial" w:hAnsi="Arial"/>
                <w:sz w:val="25"/>
                <w:szCs w:val="25"/>
                <w:color w:val="auto"/>
                <w:vertAlign w:val="superscript"/>
              </w:rPr>
              <w:t>(b)</w:t>
            </w:r>
          </w:p>
        </w:tc>
        <w:tc>
          <w:tcPr>
            <w:tcW w:w="1360" w:type="dxa"/>
            <w:vAlign w:val="bottom"/>
            <w:gridSpan w:val="2"/>
          </w:tcPr>
          <w:p>
            <w:pPr>
              <w:spacing w:after="0"/>
              <w:rPr>
                <w:sz w:val="20"/>
                <w:szCs w:val="20"/>
                <w:color w:val="auto"/>
              </w:rPr>
            </w:pPr>
            <w:r>
              <w:rPr>
                <w:rFonts w:ascii="Arial" w:cs="Arial" w:eastAsia="Arial" w:hAnsi="Arial"/>
                <w:sz w:val="18"/>
                <w:szCs w:val="18"/>
                <w:color w:val="auto"/>
                <w:w w:val="87"/>
              </w:rPr>
              <w:t>Government bonds</w:t>
            </w: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-822325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4"/>
                <w:szCs w:val="14"/>
                <w:color w:val="auto"/>
              </w:rPr>
            </w:pPr>
          </w:p>
        </w:tc>
        <w:tc>
          <w:tcPr>
            <w:tcW w:w="112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 w:type="dxa"/>
            <w:vAlign w:val="bottom"/>
          </w:tcPr>
          <w:p>
            <w:pPr>
              <w:spacing w:after="0"/>
              <w:rPr>
                <w:sz w:val="12"/>
                <w:szCs w:val="12"/>
                <w:color w:val="auto"/>
              </w:rPr>
            </w:pPr>
          </w:p>
        </w:tc>
        <w:tc>
          <w:tcPr>
            <w:tcW w:w="11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92"/>
        </w:trPr>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244"/>
        </w:trPr>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8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280" w:type="dxa"/>
            <w:vAlign w:val="bottom"/>
          </w:tcPr>
          <w:p>
            <w:pPr>
              <w:spacing w:after="0"/>
              <w:rPr>
                <w:sz w:val="24"/>
                <w:szCs w:val="24"/>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12,630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12,630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14,694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14,686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Fair Value Measurements at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3473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2">
            <w:col w:w="5860" w:space="100"/>
            <w:col w:w="54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4"/>
                <w:szCs w:val="14"/>
                <w:color w:val="auto"/>
              </w:rPr>
            </w:pPr>
          </w:p>
        </w:tc>
        <w:tc>
          <w:tcPr>
            <w:tcW w:w="112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Manager/Fund</w:t>
            </w:r>
          </w:p>
        </w:tc>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80" w:type="dxa"/>
            <w:vAlign w:val="bottom"/>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 w:type="dxa"/>
            <w:vAlign w:val="bottom"/>
          </w:tcPr>
          <w:p>
            <w:pPr>
              <w:spacing w:after="0"/>
              <w:rPr>
                <w:sz w:val="12"/>
                <w:szCs w:val="12"/>
                <w:color w:val="auto"/>
              </w:rPr>
            </w:pPr>
          </w:p>
        </w:tc>
        <w:tc>
          <w:tcPr>
            <w:tcW w:w="11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58"/>
        </w:trPr>
        <w:tc>
          <w:tcPr>
            <w:tcW w:w="4500" w:type="dxa"/>
            <w:vAlign w:val="bottom"/>
            <w:gridSpan w:val="3"/>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3"/>
                <w:szCs w:val="13"/>
                <w:color w:val="auto"/>
              </w:rPr>
            </w:pPr>
          </w:p>
        </w:tc>
        <w:tc>
          <w:tcPr>
            <w:tcW w:w="1120" w:type="dxa"/>
            <w:vAlign w:val="bottom"/>
          </w:tcPr>
          <w:p>
            <w:pPr>
              <w:jc w:val="center"/>
              <w:ind w:right="58"/>
              <w:spacing w:after="0" w:line="158" w:lineRule="exact"/>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8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Bank account</w:t>
            </w:r>
          </w:p>
        </w:tc>
        <w:tc>
          <w:tcPr>
            <w:tcW w:w="1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00" w:type="dxa"/>
            <w:vAlign w:val="bottom"/>
            <w:gridSpan w:val="3"/>
          </w:tcPr>
          <w:p>
            <w:pPr>
              <w:ind w:left="40"/>
              <w:spacing w:after="0"/>
              <w:rPr>
                <w:sz w:val="20"/>
                <w:szCs w:val="20"/>
                <w:color w:val="auto"/>
              </w:rPr>
            </w:pPr>
            <w:r>
              <w:rPr>
                <w:rFonts w:ascii="Arial" w:cs="Arial" w:eastAsia="Arial" w:hAnsi="Arial"/>
                <w:sz w:val="18"/>
                <w:szCs w:val="18"/>
                <w:color w:val="auto"/>
              </w:rPr>
              <w:t>Legal &amp; General Index-Linked Gilts Index (various</w:t>
            </w:r>
          </w:p>
        </w:tc>
        <w:tc>
          <w:tcPr>
            <w:tcW w:w="1460" w:type="dxa"/>
            <w:vAlign w:val="bottom"/>
            <w:gridSpan w:val="2"/>
          </w:tcPr>
          <w:p>
            <w:pPr>
              <w:spacing w:after="0"/>
              <w:rPr>
                <w:sz w:val="20"/>
                <w:szCs w:val="20"/>
                <w:color w:val="auto"/>
              </w:rPr>
            </w:pPr>
            <w:r>
              <w:rPr>
                <w:rFonts w:ascii="Arial" w:cs="Arial" w:eastAsia="Arial" w:hAnsi="Arial"/>
                <w:sz w:val="18"/>
                <w:szCs w:val="18"/>
                <w:color w:val="auto"/>
              </w:rPr>
              <w:t>Index-linked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00" w:type="dxa"/>
            <w:vAlign w:val="bottom"/>
            <w:gridSpan w:val="3"/>
          </w:tcPr>
          <w:p>
            <w:pPr>
              <w:ind w:left="40"/>
              <w:spacing w:after="0" w:line="257" w:lineRule="exact"/>
              <w:rPr>
                <w:sz w:val="20"/>
                <w:szCs w:val="20"/>
                <w:color w:val="auto"/>
              </w:rPr>
            </w:pPr>
            <w:r>
              <w:rPr>
                <w:rFonts w:ascii="Arial" w:cs="Arial" w:eastAsia="Arial" w:hAnsi="Arial"/>
                <w:sz w:val="18"/>
                <w:szCs w:val="18"/>
                <w:color w:val="auto"/>
              </w:rPr>
              <w:t xml:space="preserve">tenors) </w:t>
            </w:r>
            <w:r>
              <w:rPr>
                <w:rFonts w:ascii="Arial" w:cs="Arial" w:eastAsia="Arial" w:hAnsi="Arial"/>
                <w:sz w:val="25"/>
                <w:szCs w:val="25"/>
                <w:color w:val="auto"/>
                <w:vertAlign w:val="superscript"/>
              </w:rPr>
              <w:t>(a)</w:t>
            </w:r>
          </w:p>
        </w:tc>
        <w:tc>
          <w:tcPr>
            <w:tcW w:w="1460" w:type="dxa"/>
            <w:vAlign w:val="bottom"/>
            <w:gridSpan w:val="2"/>
          </w:tcPr>
          <w:p>
            <w:pPr>
              <w:spacing w:after="0"/>
              <w:rPr>
                <w:sz w:val="20"/>
                <w:szCs w:val="20"/>
                <w:color w:val="auto"/>
              </w:rPr>
            </w:pPr>
            <w:r>
              <w:rPr>
                <w:rFonts w:ascii="Arial" w:cs="Arial" w:eastAsia="Arial" w:hAnsi="Arial"/>
                <w:sz w:val="18"/>
                <w:szCs w:val="18"/>
                <w:color w:val="auto"/>
                <w:w w:val="96"/>
              </w:rPr>
              <w:t>government bonds</w:t>
            </w:r>
          </w:p>
        </w:tc>
        <w:tc>
          <w:tcPr>
            <w:tcW w:w="28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11,909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11,909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5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Legal &amp; General Over 15 Years Gilts Index </w:t>
            </w:r>
            <w:r>
              <w:rPr>
                <w:rFonts w:ascii="Arial" w:cs="Arial" w:eastAsia="Arial" w:hAnsi="Arial"/>
                <w:sz w:val="25"/>
                <w:szCs w:val="25"/>
                <w:color w:val="auto"/>
                <w:vertAlign w:val="superscript"/>
              </w:rPr>
              <w:t>(b)</w:t>
            </w: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Government bonds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1,976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1,976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50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14,080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13,885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_______________________________</w:t>
            </w: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gridSpan w:val="3"/>
            <w:vMerge w:val="continue"/>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category represents funds consisting of index-linked gilts and is designated to follow a benchmark index.</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category represents funds consisting of gilts and is designated to follow a benchmark 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- 27</w:t>
      </w:r>
    </w:p>
    <w:p>
      <w:pPr>
        <w:sectPr>
          <w:pgSz w:w="11900" w:h="16838" w:orient="portrait"/>
          <w:cols w:equalWidth="0" w:num="1">
            <w:col w:w="11420"/>
          </w:cols>
          <w:pgMar w:left="240" w:top="121" w:right="23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Level 2 investments are single priced. The fund prices are calculated by the trustee by taking the closing market price of each underlying investment using a variety of independent pricing sources (i.e., quoted market prices). The prices also include income receivable and expenses payable, where applicable.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Based on year-end exchange rates, the Company anticipates contributing approximately $0.9 million to its defined benefit plans in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Also based on year-end exchange rates, the Company expects to pay the following estimated future benefit payments in the years indicated:</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56"/>
              <w:spacing w:after="0"/>
              <w:rPr>
                <w:sz w:val="20"/>
                <w:szCs w:val="20"/>
                <w:color w:val="auto"/>
              </w:rPr>
            </w:pPr>
            <w:r>
              <w:rPr>
                <w:rFonts w:ascii="Arial" w:cs="Arial" w:eastAsia="Arial" w:hAnsi="Arial"/>
                <w:sz w:val="14"/>
                <w:szCs w:val="14"/>
                <w:b w:val="1"/>
                <w:bCs w:val="1"/>
                <w:color w:val="auto"/>
                <w:w w:val="92"/>
              </w:rPr>
              <w:t>Expected Future</w:t>
            </w:r>
          </w:p>
        </w:tc>
      </w:tr>
      <w:tr>
        <w:trPr>
          <w:trHeight w:val="192"/>
        </w:trPr>
        <w:tc>
          <w:tcPr>
            <w:tcW w:w="9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1"/>
              </w:rPr>
              <w:t>Benefit Payments</w:t>
            </w:r>
          </w:p>
        </w:tc>
      </w:tr>
      <w:tr>
        <w:trPr>
          <w:trHeight w:val="250"/>
        </w:trPr>
        <w:tc>
          <w:tcPr>
            <w:tcW w:w="9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(In thousands)</w:t>
            </w: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613</w:t>
            </w:r>
          </w:p>
        </w:tc>
      </w:tr>
      <w:tr>
        <w:trPr>
          <w:trHeight w:val="27"/>
        </w:trPr>
        <w:tc>
          <w:tcPr>
            <w:tcW w:w="9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647</w:t>
            </w:r>
          </w:p>
        </w:tc>
      </w:tr>
      <w:tr>
        <w:trPr>
          <w:trHeight w:val="27"/>
        </w:trPr>
        <w:tc>
          <w:tcPr>
            <w:tcW w:w="9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2019-2023</w:t>
            </w:r>
          </w:p>
        </w:tc>
        <w:tc>
          <w:tcPr>
            <w:tcW w:w="16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3,815</w:t>
            </w:r>
          </w:p>
        </w:tc>
      </w:tr>
    </w:tbl>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Included in accumulated other comprehensive income is $2.9 million of unrecognized net actuarial loss, a portion of which is expected to be recognized as a component of net periodic benefit cost in 2014.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also has various defined contribution savings plans that cover substantially all employees in the United States, the United Kingdom and Puerto Rico. The Company matches a certain percentage of each employee’s contributions as per the provisions of the plans. Total contributions by the Company to the plans were $2.9 million, $2.7 million and $2.4 million for the years ended December 31, 2013, 2012 and 2011,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 AND RELATED PARTY LEASES</w:t>
      </w:r>
    </w:p>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leases administrative, manufacturing, research and distribution facilities and various manufacturing, office and transportation equipment through operating lease agreements. Future minimum lease payments under operating leases at December 31, 2013 were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Related Parties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Third Parties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Total</w:t>
            </w:r>
          </w:p>
        </w:tc>
      </w:tr>
      <w:tr>
        <w:trPr>
          <w:trHeight w:val="250"/>
        </w:trPr>
        <w:tc>
          <w:tcPr>
            <w:tcW w:w="6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11,828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12,100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9,617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9,889</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7,486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4,608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4,880</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4,137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24,266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28,403</w:t>
            </w:r>
          </w:p>
        </w:tc>
      </w:tr>
      <w:tr>
        <w:trPr>
          <w:trHeight w:val="27"/>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61,417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66,938</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rental expense for the years ended December 31, 2013, 2012 and 2011 and was $10.4 million, $10.9 million and $9.3 million, respectively, and included $0.3 million, in related party rental expense in each of the three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capital leases at December 31, 2013 were as follows: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- 28</w:t>
      </w:r>
    </w:p>
    <w:p>
      <w:pPr>
        <w:sectPr>
          <w:pgSz w:w="11900" w:h="16838" w:orient="portrait"/>
          <w:cols w:equalWidth="0" w:num="1">
            <w:col w:w="11420"/>
          </w:cols>
          <w:pgMar w:left="240" w:top="121"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16"/>
        </w:trPr>
        <w:tc>
          <w:tcPr>
            <w:tcW w:w="10060" w:type="dxa"/>
            <w:vAlign w:val="bottom"/>
          </w:tcPr>
          <w:p>
            <w:pPr>
              <w:ind w:left="3400"/>
              <w:spacing w:after="0"/>
              <w:rPr>
                <w:sz w:val="20"/>
                <w:szCs w:val="20"/>
                <w:color w:val="auto"/>
              </w:rPr>
            </w:pPr>
            <w:r>
              <w:rPr>
                <w:rFonts w:ascii="Arial" w:cs="Arial" w:eastAsia="Arial" w:hAnsi="Arial"/>
                <w:sz w:val="18"/>
                <w:szCs w:val="18"/>
                <w:b w:val="1"/>
                <w:bCs w:val="1"/>
                <w:color w:val="auto"/>
              </w:rPr>
              <w:t>INTEGRA LIFESCIENCES HOLDINGS CORPORATION</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10060" w:type="dxa"/>
            <w:vAlign w:val="bottom"/>
          </w:tcPr>
          <w:p>
            <w:pPr>
              <w:ind w:left="2900"/>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828"/>
        </w:trPr>
        <w:tc>
          <w:tcPr>
            <w:tcW w:w="10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Payments under</w:t>
            </w:r>
          </w:p>
        </w:tc>
      </w:tr>
      <w:tr>
        <w:trPr>
          <w:trHeight w:val="149"/>
        </w:trPr>
        <w:tc>
          <w:tcPr>
            <w:tcW w:w="10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7"/>
              </w:rPr>
              <w:t>capital leases</w:t>
            </w:r>
          </w:p>
        </w:tc>
      </w:tr>
      <w:tr>
        <w:trPr>
          <w:trHeight w:val="192"/>
        </w:trPr>
        <w:tc>
          <w:tcPr>
            <w:tcW w:w="100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(In thousands)</w:t>
            </w: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569</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569</w:t>
            </w:r>
          </w:p>
        </w:tc>
      </w:tr>
      <w:tr>
        <w:trPr>
          <w:trHeight w:val="27"/>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569</w:t>
            </w: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Total minimum lease payments</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1,707</w:t>
            </w:r>
          </w:p>
        </w:tc>
      </w:tr>
      <w:tr>
        <w:trPr>
          <w:trHeight w:val="27"/>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 representing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132</w:t>
            </w:r>
          </w:p>
        </w:tc>
      </w:tr>
      <w:tr>
        <w:trPr>
          <w:trHeight w:val="257"/>
        </w:trPr>
        <w:tc>
          <w:tcPr>
            <w:tcW w:w="10060" w:type="dxa"/>
            <w:vAlign w:val="bottom"/>
          </w:tcPr>
          <w:p>
            <w:pPr>
              <w:ind w:left="40"/>
              <w:spacing w:after="0"/>
              <w:rPr>
                <w:sz w:val="20"/>
                <w:szCs w:val="20"/>
                <w:color w:val="auto"/>
              </w:rPr>
            </w:pPr>
            <w:r>
              <w:rPr>
                <w:rFonts w:ascii="Arial" w:cs="Arial" w:eastAsia="Arial" w:hAnsi="Arial"/>
                <w:sz w:val="18"/>
                <w:szCs w:val="18"/>
                <w:color w:val="auto"/>
              </w:rPr>
              <w:t>Present value of minimum lease payments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1,575</w:t>
            </w:r>
          </w:p>
        </w:tc>
      </w:tr>
      <w:tr>
        <w:trPr>
          <w:trHeight w:val="20"/>
        </w:trPr>
        <w:tc>
          <w:tcPr>
            <w:tcW w:w="10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leases certain production equipment from a corporation whose sole stockholder is a general partnership, of which the Company’s former Chairman (and current director) is a partner and the President. The term of the lease is through March 31, 2022, and the Company has an option to renew through March 31, 2032. Under the terms of the lease agreement, the Company pays $0.1 million per year to the related party lessor. The Company also leases its manufacturing facility in Plainsboro, New Jersey, from a general partnership that is 50% owned by a corporation whose shareholders are trusts, whose beneficiaries include family members of the Company’s former Chairman (and current director). The term of the current lease agreement is through October 31, 2032 at an annual rate of approximately $0.3 million per year. The current lease agreement also provides (i) a 5-year renewal option for the Company to extend the lease from November 1, 2032 through October 31, 2037 at the fair market rental rate of the premises, and (ii) another 5-year renewal option to extend the lease from November 1, 2037 through October 31, 2042 at the fair market rental rate of the premises.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income taxes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thousand)</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(27,281)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25,293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operations</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2,491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26,736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26,987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52,029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28,494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Federal statutory rate to the Company’s effective tax rate is as follows:</w:t>
      </w:r>
    </w:p>
    <w:p>
      <w:pPr>
        <w:spacing w:after="0" w:line="392"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23495</wp:posOffset>
            </wp:positionV>
            <wp:extent cx="3129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2011</w:t>
            </w: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Federal statutory rate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Increase (decrease) in income taxes resulting from:</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State income taxes, net of federal tax benefit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Foreign operations</w:t>
            </w:r>
          </w:p>
        </w:tc>
        <w:tc>
          <w:tcPr>
            <w:tcW w:w="640" w:type="dxa"/>
            <w:vAlign w:val="bottom"/>
          </w:tcPr>
          <w:p>
            <w:pPr>
              <w:jc w:val="right"/>
              <w:spacing w:after="0"/>
              <w:rPr>
                <w:sz w:val="20"/>
                <w:szCs w:val="20"/>
                <w:color w:val="auto"/>
              </w:rPr>
            </w:pPr>
            <w:r>
              <w:rPr>
                <w:rFonts w:ascii="Arial" w:cs="Arial" w:eastAsia="Arial" w:hAnsi="Arial"/>
                <w:sz w:val="18"/>
                <w:szCs w:val="18"/>
                <w:color w:val="auto"/>
                <w:w w:val="91"/>
              </w:rPr>
              <w:t>(21.8)%</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 impairment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43.1 %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Changes in valuation allowances</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Uncertain tax positions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credit</w:t>
            </w: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80" w:type="dxa"/>
            <w:vAlign w:val="bottom"/>
            <w:gridSpan w:val="2"/>
          </w:tcPr>
          <w:p>
            <w:pPr>
              <w:ind w:left="1140"/>
              <w:spacing w:after="0"/>
              <w:rPr>
                <w:sz w:val="20"/>
                <w:szCs w:val="20"/>
                <w:color w:val="auto"/>
              </w:rPr>
            </w:pPr>
            <w:r>
              <w:rPr>
                <w:rFonts w:ascii="Arial" w:cs="Arial" w:eastAsia="Arial" w:hAnsi="Arial"/>
                <w:sz w:val="18"/>
                <w:szCs w:val="18"/>
                <w:color w:val="auto"/>
              </w:rPr>
              <w:t>— %</w:t>
            </w:r>
          </w:p>
        </w:tc>
        <w:tc>
          <w:tcPr>
            <w:tcW w:w="15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Return to provision</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65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7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31.5 %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- 29</w:t>
      </w:r>
    </w:p>
    <w:p>
      <w:pPr>
        <w:sectPr>
          <w:pgSz w:w="11900" w:h="16838" w:orient="portrait"/>
          <w:cols w:equalWidth="0" w:num="1">
            <w:col w:w="11420"/>
          </w:cols>
          <w:pgMar w:left="240" w:top="121" w:right="239" w:bottom="144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effective tax rate increased by 10.7 percentage points in 2013 compared with 2012 primarily due to an overall decrease in pretax income as a result of the goodwill impairment and general operations of the Company, as well as a change in the mix of earnings between the U.S. and overseas. The goodwill impairment primarily created a non-deductible tax event for the current year. The Company recorded an income tax benefit in 2013 of $2.7 million for the release of tax contingency reserves, offset by the establishment of new tax contingency positions during the year. Additionally, the Company recorded a tax benefit in the fourth quarter of 2013 of $1.0 million related to the correction of a deferred tax item relating primarily to 2011; this amount is included in the return-to-provision line in the above table.</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2013, the Company's foreign operations generated a $2.7 million increase in income tax expense as a result of, among other factors, the geographic and business mix of taxable earnings and losses and the change of an income tax benefit in France as a result of a French tax law change that occurred on December 30, 2013. The 2013 foreign effective tax rate is (75.5)%, a decrease of approximately 83 percentage points over the rate in 2012. The Company's foreign tax rate is based upon statutory tax rates and is not related to a tax holiday or negotiated tax rate.</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2012, the Company's foreign operations generated a $1.3 million income tax expense as a result of, among other factors, the geographic and business mix of taxable earnings and losses. The Company's operations in Ireland contribute to the majority of this income tax benefit, as income earned in Ireland is taxed at a corporate income tax rate that is significantly lower than the U.S. corporate rate. The 2012 foreign effective tax rate is 7.8%, an increase of approximately 9.5 percentage points over the rate in 2011, which included a tax benefit of $1.6 million relating to the correction of various deferred tax items for periods prior to 2011. The Company's foreign tax rate is based upon statutory tax rates and is not related to a tax holiday or negotiated tax rate.</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and fourth quarters of 2011, the Company recorded additional tax expense of $1.7 million for a correction to a state deferred tax asset relating to 2009 and an income tax benefit of $2.2 million for the correction of various other deferred tax items relating to periods prior to 2011 that largely impacted foreign operations, respectively. Since neither one of these changes are material to the December 31, 2011 or previous years' financial results, they have been recorded in the second and fourth quarters of 2011 as discrete events, respectively.</w:t>
      </w:r>
    </w:p>
    <w:p>
      <w:pPr>
        <w:spacing w:after="0" w:line="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December 31, 2013, the Company has not provided deferred U.S. income taxes or foreign withholding taxes on temporary differences of approximately $190.7 million resulting from earnings for certain non-U.S. subsidiaries which are permanently reinvested outside the U.S. The unrecognized deferred tax liability associated with these temporary differences was estimated to be $30.9 million at December 31, 2013. Events that could trigger a need to repatriate foreign cash to the U.S. and generate a tax might include U.S. acquisitions, loans from a foreign subsidiary, or anticipated tax law changes that are considered unfavorable and would result in higher taxes on repatriations that occur after the change in tax law goes into effect.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consisted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374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r>
      <w:tr>
        <w:trPr>
          <w:trHeight w:val="250"/>
        </w:trPr>
        <w:tc>
          <w:tcPr>
            <w:tcW w:w="374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0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color w:val="auto"/>
              </w:rPr>
              <w:t>Federal</w:t>
            </w:r>
          </w:p>
        </w:tc>
        <w:tc>
          <w:tcPr>
            <w:tcW w:w="33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3,200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3,614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(934)</w:t>
            </w:r>
          </w:p>
        </w:tc>
      </w:tr>
      <w:tr>
        <w:trPr>
          <w:trHeight w:val="27"/>
        </w:trPr>
        <w:tc>
          <w:tcPr>
            <w:tcW w:w="37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color w:val="auto"/>
              </w:rPr>
              <w:t>Foreign</w:t>
            </w:r>
          </w:p>
        </w:tc>
        <w:tc>
          <w:tcPr>
            <w:tcW w:w="3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4,301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1,813</w:t>
            </w:r>
          </w:p>
        </w:tc>
      </w:tr>
      <w:tr>
        <w:trPr>
          <w:trHeight w:val="27"/>
        </w:trPr>
        <w:tc>
          <w:tcPr>
            <w:tcW w:w="37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w:t>
            </w:r>
          </w:p>
        </w:tc>
        <w:tc>
          <w:tcPr>
            <w:tcW w:w="3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3,016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Deferred:</w:t>
            </w:r>
          </w:p>
        </w:tc>
        <w:tc>
          <w:tcPr>
            <w:tcW w:w="3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3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1,078</w:t>
            </w: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color w:val="auto"/>
              </w:rPr>
              <w:t>State</w:t>
            </w:r>
          </w:p>
        </w:tc>
        <w:tc>
          <w:tcPr>
            <w:tcW w:w="3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2,236</w:t>
            </w:r>
          </w:p>
        </w:tc>
      </w:tr>
      <w:tr>
        <w:trPr>
          <w:trHeight w:val="27"/>
        </w:trPr>
        <w:tc>
          <w:tcPr>
            <w:tcW w:w="37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0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(2,158)</w:t>
            </w:r>
          </w:p>
        </w:tc>
      </w:tr>
      <w:tr>
        <w:trPr>
          <w:trHeight w:val="237"/>
        </w:trPr>
        <w:tc>
          <w:tcPr>
            <w:tcW w:w="3740" w:type="dxa"/>
            <w:vAlign w:val="bottom"/>
          </w:tcPr>
          <w:p>
            <w:pPr>
              <w:ind w:left="40"/>
              <w:spacing w:after="0"/>
              <w:rPr>
                <w:sz w:val="20"/>
                <w:szCs w:val="20"/>
                <w:color w:val="auto"/>
              </w:rPr>
            </w:pPr>
            <w:r>
              <w:rPr>
                <w:rFonts w:ascii="Arial" w:cs="Arial" w:eastAsia="Arial" w:hAnsi="Arial"/>
                <w:sz w:val="18"/>
                <w:szCs w:val="18"/>
                <w:color w:val="auto"/>
              </w:rPr>
              <w:t>Total deferred</w:t>
            </w:r>
          </w:p>
        </w:tc>
        <w:tc>
          <w:tcPr>
            <w:tcW w:w="30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1,156</w:t>
            </w:r>
          </w:p>
        </w:tc>
      </w:tr>
      <w:tr>
        <w:trPr>
          <w:trHeight w:val="27"/>
        </w:trPr>
        <w:tc>
          <w:tcPr>
            <w:tcW w:w="37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10,825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505</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527"/>
        </w:trPr>
        <w:tc>
          <w:tcPr>
            <w:tcW w:w="3740" w:type="dxa"/>
            <w:vAlign w:val="bottom"/>
          </w:tcPr>
          <w:p>
            <w:pPr>
              <w:spacing w:after="0"/>
              <w:rPr>
                <w:sz w:val="24"/>
                <w:szCs w:val="24"/>
                <w:color w:val="auto"/>
              </w:rPr>
            </w:pPr>
          </w:p>
        </w:tc>
        <w:tc>
          <w:tcPr>
            <w:tcW w:w="3380" w:type="dxa"/>
            <w:vAlign w:val="bottom"/>
            <w:gridSpan w:val="2"/>
          </w:tcPr>
          <w:p>
            <w:pPr>
              <w:jc w:val="right"/>
              <w:ind w:right="1110"/>
              <w:spacing w:after="0"/>
              <w:rPr>
                <w:sz w:val="20"/>
                <w:szCs w:val="20"/>
                <w:color w:val="auto"/>
              </w:rPr>
            </w:pPr>
            <w:r>
              <w:rPr>
                <w:rFonts w:ascii="Arial" w:cs="Arial" w:eastAsia="Arial" w:hAnsi="Arial"/>
                <w:sz w:val="18"/>
                <w:szCs w:val="18"/>
                <w:color w:val="auto"/>
              </w:rPr>
              <w:t>F - 30</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income tax effects of significant temporary differences that give rise to deferred tax assets and liabilities, shown before jurisdictional netting, are presented below:</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573"/>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center"/>
              <w:ind w:left="553"/>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Doubtful accounts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related items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34,968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26,549</w:t>
            </w:r>
          </w:p>
        </w:tc>
        <w:tc>
          <w:tcPr>
            <w:tcW w:w="0" w:type="dxa"/>
            <w:vAlign w:val="bottom"/>
          </w:tcPr>
          <w:p>
            <w:pPr>
              <w:spacing w:after="0"/>
              <w:rPr>
                <w:sz w:val="1"/>
                <w:szCs w:val="1"/>
                <w:color w:val="auto"/>
              </w:rPr>
            </w:pPr>
          </w:p>
        </w:tc>
      </w:tr>
      <w:tr>
        <w:trPr>
          <w:trHeight w:val="243"/>
        </w:trPr>
        <w:tc>
          <w:tcPr>
            <w:tcW w:w="8340" w:type="dxa"/>
            <w:vAlign w:val="bottom"/>
          </w:tcPr>
          <w:p>
            <w:pPr>
              <w:ind w:left="160"/>
              <w:spacing w:after="0"/>
              <w:rPr>
                <w:sz w:val="20"/>
                <w:szCs w:val="20"/>
                <w:color w:val="auto"/>
              </w:rPr>
            </w:pPr>
            <w:r>
              <w:rPr>
                <w:rFonts w:ascii="Arial" w:cs="Arial" w:eastAsia="Arial" w:hAnsi="Arial"/>
                <w:sz w:val="18"/>
                <w:szCs w:val="18"/>
                <w:color w:val="auto"/>
              </w:rPr>
              <w:t>Tax credits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3,883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vacation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43"/>
        </w:trPr>
        <w:tc>
          <w:tcPr>
            <w:tcW w:w="8340" w:type="dxa"/>
            <w:vAlign w:val="bottom"/>
          </w:tcPr>
          <w:p>
            <w:pPr>
              <w:ind w:left="160"/>
              <w:spacing w:after="0"/>
              <w:rPr>
                <w:sz w:val="20"/>
                <w:szCs w:val="20"/>
                <w:color w:val="auto"/>
              </w:rPr>
            </w:pPr>
            <w:r>
              <w:rPr>
                <w:rFonts w:ascii="Arial" w:cs="Arial" w:eastAsia="Arial" w:hAnsi="Arial"/>
                <w:sz w:val="18"/>
                <w:szCs w:val="18"/>
                <w:color w:val="auto"/>
              </w:rPr>
              <w:t>Accrued bonus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4,095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48,584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42,194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(2,922)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deferred tax assets after valuation allowance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46,362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39,272</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current deferred tax liabilities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51"/>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current deferred tax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45,716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38,958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left="573"/>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center"/>
              <w:ind w:left="553"/>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Benefit and compensation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14,879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12,730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36,037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Federal &amp; state tax credits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19,045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19,851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160"/>
              <w:spacing w:after="0"/>
              <w:rPr>
                <w:sz w:val="20"/>
                <w:szCs w:val="20"/>
                <w:color w:val="auto"/>
              </w:rPr>
            </w:pPr>
            <w:r>
              <w:rPr>
                <w:rFonts w:ascii="Arial" w:cs="Arial" w:eastAsia="Arial" w:hAnsi="Arial"/>
                <w:sz w:val="18"/>
                <w:szCs w:val="18"/>
                <w:color w:val="auto"/>
              </w:rPr>
              <w:t>Total non-current deferred tax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61,600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68,280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(11,321)</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Non-current deferred tax assets after valuation allowance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54,790</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56,959</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Intangible &amp; fixed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(41,563)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(46,650)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non-current deferred tax liabilities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(41,458)</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(46,291)</w:t>
            </w:r>
          </w:p>
        </w:tc>
        <w:tc>
          <w:tcPr>
            <w:tcW w:w="0" w:type="dxa"/>
            <w:vAlign w:val="bottom"/>
          </w:tcPr>
          <w:p>
            <w:pPr>
              <w:spacing w:after="0"/>
              <w:rPr>
                <w:sz w:val="1"/>
                <w:szCs w:val="1"/>
                <w:color w:val="auto"/>
              </w:rPr>
            </w:pPr>
          </w:p>
        </w:tc>
      </w:tr>
      <w:tr>
        <w:trPr>
          <w:trHeight w:val="251"/>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non-current deferred tax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13,332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10,668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net deferred tax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59,048</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49,626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2013, the Company had net operating loss carryforwards of $50.8 million for federal income tax purposes, $36.1 million for foreign income tax purposes and $51.4 million for state income tax purposes to offset future taxable income. The federal net operating loss carryforwards expire through 2032, $18.9 million of the foreign net operating loss carryforwards expire through 2021 with the remaining $17.2 million having an indefinite carry forward period. The state net operating loss carryforwards expire through 2032.</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- 31</w:t>
      </w:r>
    </w:p>
    <w:p>
      <w:pPr>
        <w:sectPr>
          <w:pgSz w:w="11900" w:h="16838" w:orient="portrait"/>
          <w:cols w:equalWidth="0" w:num="1">
            <w:col w:w="11420"/>
          </w:cols>
          <w:pgMar w:left="240" w:top="12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tax assets relating to tax benefits of employee stock option grants have been reduced to reflect exercises in 2012. Some exercises have resulted in tax deductions in excess of previously recorded benefits based on the option value at the time of grant (“windfalls”). Although these additional tax benefits are reflected in net operating tax loss carryforwards the additional tax benefit associated with the windfall is not recognized until the deduction reduces taxes payable. Accordingly, since the tax benefit does not reduce our current taxes payable in 2012 due to net operating loss carryforwards, these “windfall” tax benefits are not reflected in our net operating losses in deferred tax assets for 2012. Windfalls included in net operating loss carryforwards but not reflected in deferred tax assets for 2012 are $0.1 million.</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valuation allowance of $9.0 million, $14.2 million and $32.3 million is recorded against the Company’s gross deferred tax assets of $110.2 million, $110.5 million, and $125.9 million recorded at December 31, 2013, 2012 and 2011, respectively.</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valuation allowance relates to deferred tax assets for certain items that will be deductible for income tax purposes under very limited circumstances and for which the Company believes it is not more likely than not that it will realize the associated tax benefit. The Company does not anticipate additional income tax benefits through future reductions in the valuation allowance. However, in the event that the Company determines that it would be able to realize more or less than the recorded amount of net deferred tax assets, an adjustment to the deferred tax asset valuation allowance would be recorded in the period such a determination is made.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valuation allowance decreased by $5.2 million, and $18.1 million in 2013 and 2012, respectively. The 2013 overall decrease in the valuation allowance was primarily due to expiring net operating losses in Switzerland which is offset by a reduction in the related deferred tax asset. Further, the Company recorded a decrease to the valuation allowance in Switzerland related to an increase in the expected future realizability of remaining net operating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uncertain tax benefits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year</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6,136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5,530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Gross increases:</w:t>
            </w: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year tax positions</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Prior years' tax positions</w:t>
            </w: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7,796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1,001</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decreases:</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Prior years' tax positions</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Statute of limitations lapses</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(3,338)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(1,642)</w:t>
            </w:r>
          </w:p>
        </w:tc>
      </w:tr>
      <w:tr>
        <w:trPr>
          <w:trHeight w:val="27"/>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end of year</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3,399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6,136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3,927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Approximately $2.8 million of the balance at December 31, 2013 relates to uncertain tax positions that, if recognized, would affect the annual effective tax rate. Included in the balance of uncertain tax positions at December 31, 2013 is $2.0 million related to tax positions for which it is reasonably possible that the total amounts could be reduced during the twelve months following December 31, 2013, as a result of expiring statutes of limitations.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interest and penalties relating to uncertain tax positions in income tax expense. The Company recognized a $0.8 million benefit, a $0.1 million expense, and a $0.5 million benefit for interest and penalties in the income statement during the years ended December 31, 2013, 2012 and 2011, respectively. The Company had approximately $0.4 million, $1.4 million, and $1.3 million of interest and penalties accrued at December 31, 2013, 2012 and 2011, respectively.</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2012 the Company had a deferred tax asset and reserve for uncertain tax positions for $0.5 million related to research and development credit from a prior business acquisition. It was determined in 2013 that this credit would not be realizable;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- 32</w:t>
      </w:r>
    </w:p>
    <w:p>
      <w:pPr>
        <w:sectPr>
          <w:pgSz w:w="11900" w:h="16838" w:orient="portrait"/>
          <w:cols w:equalWidth="0" w:num="1">
            <w:col w:w="11420"/>
          </w:cols>
          <w:pgMar w:left="240" w:top="121"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therefore, the deferred tax asset was removed and the corresponding reserve for uncertain tax positions was released thus impairing this acquired benefit.</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2012, the Company settled the review of years 2008 through 2010 with the IRS, which resulted in $2.1 million being recorded in the consolidated statement of operations as an income tax benefit, partially offset by an additional Federal income tax expense of $0.2 million in 2012, as a result of receiving the agreed upon settlement. In addition, the Company reclassified $4.2 million from deferred taxes to long-term liabilities, which had no effect on the current year tax provision. These amounts include interest and penalties related to the settlement.</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files Federal income tax returns, as well as multiple state, local and foreign jurisdiction tax returns. The Company is no longer subject to examinations of its Federal income tax returns by the IRS through fiscal year 2010. All significant state and local matters have been concluded through fiscal 2005. All significant foreign matters have been settled through fiscal 2007.</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(LOSS) PER SHARE</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the Company’s restricted unvested share units that were granted several years ago contained rights to receive nonforfeitable dividends, and thus, were participating securities requiring the two-class method of computing earnings per share. The participating securities had an insignificant impact on the calculation of earnings per share (impacts the rounding by less than $0.01 per share) on the 2011 year presented; therefore, the Company does not present the full calculation below.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(loss) per share was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r>
      <w:tr>
        <w:trPr>
          <w:trHeight w:val="250"/>
        </w:trPr>
        <w:tc>
          <w:tcPr>
            <w:tcW w:w="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40" w:type="dxa"/>
            <w:vAlign w:val="bottom"/>
            <w:gridSpan w:val="6"/>
          </w:tcPr>
          <w:p>
            <w:pPr>
              <w:jc w:val="center"/>
              <w:ind w:left="534"/>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960" w:type="dxa"/>
            <w:vAlign w:val="bottom"/>
          </w:tcPr>
          <w:p>
            <w:pPr>
              <w:spacing w:after="0"/>
              <w:rPr>
                <w:sz w:val="21"/>
                <w:szCs w:val="21"/>
                <w:color w:val="auto"/>
              </w:rPr>
            </w:pPr>
          </w:p>
        </w:tc>
      </w:tr>
      <w:tr>
        <w:trPr>
          <w:trHeight w:val="209"/>
        </w:trPr>
        <w:tc>
          <w:tcPr>
            <w:tcW w:w="67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Basic net income (loss) per share:</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4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1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(16,977)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41,204</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27,989</w:t>
            </w:r>
          </w:p>
        </w:tc>
      </w:tr>
      <w:tr>
        <w:trPr>
          <w:trHeight w:val="27"/>
        </w:trPr>
        <w:tc>
          <w:tcPr>
            <w:tcW w:w="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28,416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28,232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28,952</w:t>
            </w: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b w:val="1"/>
                <w:bCs w:val="1"/>
                <w:color w:val="auto"/>
              </w:rPr>
              <w:t>Basic net income (loss) per common share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0.97</w:t>
            </w:r>
          </w:p>
        </w:tc>
      </w:tr>
      <w:tr>
        <w:trPr>
          <w:trHeight w:val="27"/>
        </w:trPr>
        <w:tc>
          <w:tcPr>
            <w:tcW w:w="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2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03"/>
        </w:trPr>
        <w:tc>
          <w:tcPr>
            <w:tcW w:w="67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Diluted net income (loss) per share:</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4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41,204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27,989</w:t>
            </w:r>
          </w:p>
        </w:tc>
      </w:tr>
      <w:tr>
        <w:trPr>
          <w:trHeight w:val="324"/>
        </w:trPr>
        <w:tc>
          <w:tcPr>
            <w:tcW w:w="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28,416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28,232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28,952</w:t>
            </w: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Effect of dilutive securities: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7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Stock options and restricted stock</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w:t>
            </w:r>
          </w:p>
        </w:tc>
      </w:tr>
      <w:tr>
        <w:trPr>
          <w:trHeight w:val="237"/>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for diluted earnings per share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28,416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28,516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29,495</w:t>
            </w:r>
          </w:p>
        </w:tc>
      </w:tr>
      <w:tr>
        <w:trPr>
          <w:trHeight w:val="27"/>
        </w:trPr>
        <w:tc>
          <w:tcPr>
            <w:tcW w:w="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674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(loss) per common share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0.95</w:t>
            </w:r>
          </w:p>
        </w:tc>
      </w:tr>
      <w:tr>
        <w:trPr>
          <w:trHeight w:val="27"/>
        </w:trPr>
        <w:tc>
          <w:tcPr>
            <w:tcW w:w="4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Common stock of approximately 0.7 million, 1.0 million and 0.3 million shares at December 31, 2013, 2012 and 2011, respectively, that are issuable through exercise or conversion of dilutive securities were not included in the computation of diluted net income per share because their effect would have been antidilutive.</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Performance Shares and Restricted Units that entitle the holders to approximately 0.2 million shares of common stock are included in the basic and diluted weighted average shares outstanding calculation from their date of issuance because no further consideration is due related to the issuance of the underlying common shares.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ACCUMULATED OTHER COMPREHENSIVE INCOME (LOSS)</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Changes in accumulated other comprehensive income (loss) by component between December 31, 2013 and 2012 are presented in the table below, net of tax:</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- 33</w:t>
      </w:r>
    </w:p>
    <w:p>
      <w:pPr>
        <w:sectPr>
          <w:pgSz w:w="11900" w:h="16838" w:orient="portrait"/>
          <w:cols w:equalWidth="0" w:num="1">
            <w:col w:w="11420"/>
          </w:cols>
          <w:pgMar w:left="240" w:top="12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Gains and Losses</w:t>
            </w:r>
          </w:p>
        </w:tc>
        <w:tc>
          <w:tcPr>
            <w:tcW w:w="140" w:type="dxa"/>
            <w:vAlign w:val="bottom"/>
          </w:tcPr>
          <w:p>
            <w:pPr>
              <w:spacing w:after="0"/>
              <w:rPr>
                <w:sz w:val="14"/>
                <w:szCs w:val="14"/>
                <w:color w:val="auto"/>
              </w:rPr>
            </w:pPr>
          </w:p>
        </w:tc>
        <w:tc>
          <w:tcPr>
            <w:tcW w:w="13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Defined Benefit</w:t>
            </w:r>
          </w:p>
        </w:tc>
        <w:tc>
          <w:tcPr>
            <w:tcW w:w="14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Foreign Currency</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on Cash Flow</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6"/>
              </w:rPr>
              <w:t>Hedges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Pension Items</w:t>
            </w: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92"/>
              </w:rPr>
              <w:t>Items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2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(4,797)</w:t>
            </w:r>
          </w:p>
        </w:tc>
        <w:tc>
          <w:tcPr>
            <w:tcW w:w="0" w:type="dxa"/>
            <w:vAlign w:val="bottom"/>
          </w:tcPr>
          <w:p>
            <w:pPr>
              <w:spacing w:after="0"/>
              <w:rPr>
                <w:sz w:val="1"/>
                <w:szCs w:val="1"/>
                <w:color w:val="auto"/>
              </w:rPr>
            </w:pPr>
          </w:p>
        </w:tc>
      </w:tr>
      <w:tr>
        <w:trPr>
          <w:trHeight w:val="237"/>
        </w:trPr>
        <w:tc>
          <w:tcPr>
            <w:tcW w:w="5500" w:type="dxa"/>
            <w:vAlign w:val="bottom"/>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5,874</w:t>
            </w: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4,687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1,037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37"/>
        </w:trPr>
        <w:tc>
          <w:tcPr>
            <w:tcW w:w="5500" w:type="dxa"/>
            <w:vAlign w:val="bottom"/>
          </w:tcPr>
          <w:p>
            <w:pPr>
              <w:ind w:left="280"/>
              <w:spacing w:after="0"/>
              <w:rPr>
                <w:sz w:val="20"/>
                <w:szCs w:val="20"/>
                <w:color w:val="auto"/>
              </w:rPr>
            </w:pPr>
            <w:r>
              <w:rPr>
                <w:rFonts w:ascii="Arial" w:cs="Arial" w:eastAsia="Arial" w:hAnsi="Arial"/>
                <w:sz w:val="18"/>
                <w:szCs w:val="18"/>
                <w:color w:val="auto"/>
              </w:rPr>
              <w:t>Current period other comprehensive income (loss)</w:t>
            </w: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983</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5,874</w:t>
            </w: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5,724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4,604</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reclassification adjustments out of accumulated other comprehensive (loss) income during the years ended December 31, 2013 and 2012 were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tcPr>
          <w:p>
            <w:pPr>
              <w:jc w:val="center"/>
              <w:ind w:right="198"/>
              <w:spacing w:after="0"/>
              <w:rPr>
                <w:sz w:val="20"/>
                <w:szCs w:val="20"/>
                <w:color w:val="auto"/>
              </w:rPr>
            </w:pPr>
            <w:r>
              <w:rPr>
                <w:rFonts w:ascii="Arial" w:cs="Arial" w:eastAsia="Arial" w:hAnsi="Arial"/>
                <w:sz w:val="14"/>
                <w:szCs w:val="14"/>
                <w:b w:val="1"/>
                <w:bCs w:val="1"/>
                <w:color w:val="auto"/>
                <w:w w:val="92"/>
              </w:rPr>
              <w:t>Year Ended December 31, 2013</w:t>
            </w:r>
          </w:p>
        </w:tc>
        <w:tc>
          <w:tcPr>
            <w:tcW w:w="220" w:type="dxa"/>
            <w:vAlign w:val="bottom"/>
          </w:tcPr>
          <w:p>
            <w:pPr>
              <w:spacing w:after="0"/>
              <w:rPr>
                <w:sz w:val="16"/>
                <w:szCs w:val="16"/>
                <w:color w:val="auto"/>
              </w:rPr>
            </w:pPr>
          </w:p>
        </w:tc>
        <w:tc>
          <w:tcPr>
            <w:tcW w:w="3640" w:type="dxa"/>
            <w:vAlign w:val="bottom"/>
          </w:tcPr>
          <w:p>
            <w:pPr>
              <w:spacing w:after="0"/>
              <w:rPr>
                <w:sz w:val="16"/>
                <w:szCs w:val="16"/>
                <w:color w:val="auto"/>
              </w:rPr>
            </w:pPr>
          </w:p>
        </w:tc>
      </w:tr>
      <w:tr>
        <w:trPr>
          <w:trHeight w:val="165"/>
        </w:trPr>
        <w:tc>
          <w:tcPr>
            <w:tcW w:w="40" w:type="dxa"/>
            <w:vAlign w:val="bottom"/>
          </w:tcPr>
          <w:p>
            <w:pPr>
              <w:spacing w:after="0"/>
              <w:rPr>
                <w:sz w:val="14"/>
                <w:szCs w:val="14"/>
                <w:color w:val="auto"/>
              </w:rPr>
            </w:pPr>
          </w:p>
        </w:tc>
        <w:tc>
          <w:tcPr>
            <w:tcW w:w="3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Details about Accumulated Other Comprehensive Income</w:t>
            </w:r>
          </w:p>
        </w:tc>
        <w:tc>
          <w:tcPr>
            <w:tcW w:w="260" w:type="dxa"/>
            <w:vAlign w:val="bottom"/>
          </w:tcPr>
          <w:p>
            <w:pPr>
              <w:spacing w:after="0"/>
              <w:rPr>
                <w:sz w:val="14"/>
                <w:szCs w:val="14"/>
                <w:color w:val="auto"/>
              </w:rPr>
            </w:pPr>
          </w:p>
        </w:tc>
        <w:tc>
          <w:tcPr>
            <w:tcW w:w="3400" w:type="dxa"/>
            <w:vAlign w:val="bottom"/>
          </w:tcPr>
          <w:p>
            <w:pPr>
              <w:jc w:val="center"/>
              <w:ind w:right="178"/>
              <w:spacing w:after="0"/>
              <w:rPr>
                <w:sz w:val="20"/>
                <w:szCs w:val="20"/>
                <w:color w:val="auto"/>
              </w:rPr>
            </w:pPr>
            <w:r>
              <w:rPr>
                <w:rFonts w:ascii="Arial" w:cs="Arial" w:eastAsia="Arial" w:hAnsi="Arial"/>
                <w:sz w:val="14"/>
                <w:szCs w:val="14"/>
                <w:b w:val="1"/>
                <w:bCs w:val="1"/>
                <w:color w:val="auto"/>
                <w:w w:val="93"/>
              </w:rPr>
              <w:t>Amount Reclassified from Accumulated Other</w:t>
            </w:r>
          </w:p>
        </w:tc>
        <w:tc>
          <w:tcPr>
            <w:tcW w:w="220" w:type="dxa"/>
            <w:vAlign w:val="bottom"/>
          </w:tcPr>
          <w:p>
            <w:pPr>
              <w:spacing w:after="0"/>
              <w:rPr>
                <w:sz w:val="14"/>
                <w:szCs w:val="14"/>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3"/>
              </w:rPr>
              <w:t>Affected Line Item in the Statement where Net Income</w:t>
            </w:r>
          </w:p>
        </w:tc>
      </w:tr>
      <w:tr>
        <w:trPr>
          <w:trHeight w:val="192"/>
        </w:trPr>
        <w:tc>
          <w:tcPr>
            <w:tcW w:w="40" w:type="dxa"/>
            <w:vAlign w:val="bottom"/>
          </w:tcPr>
          <w:p>
            <w:pPr>
              <w:spacing w:after="0"/>
              <w:rPr>
                <w:sz w:val="16"/>
                <w:szCs w:val="16"/>
                <w:color w:val="auto"/>
              </w:rPr>
            </w:pPr>
          </w:p>
        </w:tc>
        <w:tc>
          <w:tcPr>
            <w:tcW w:w="3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Components</w:t>
            </w:r>
          </w:p>
        </w:tc>
        <w:tc>
          <w:tcPr>
            <w:tcW w:w="260" w:type="dxa"/>
            <w:vAlign w:val="bottom"/>
          </w:tcPr>
          <w:p>
            <w:pPr>
              <w:spacing w:after="0"/>
              <w:rPr>
                <w:sz w:val="16"/>
                <w:szCs w:val="16"/>
                <w:color w:val="auto"/>
              </w:rPr>
            </w:pPr>
          </w:p>
        </w:tc>
        <w:tc>
          <w:tcPr>
            <w:tcW w:w="3400" w:type="dxa"/>
            <w:vAlign w:val="bottom"/>
          </w:tcPr>
          <w:p>
            <w:pPr>
              <w:jc w:val="center"/>
              <w:ind w:right="178"/>
              <w:spacing w:after="0"/>
              <w:rPr>
                <w:sz w:val="20"/>
                <w:szCs w:val="20"/>
                <w:color w:val="auto"/>
              </w:rPr>
            </w:pPr>
            <w:r>
              <w:rPr>
                <w:rFonts w:ascii="Arial" w:cs="Arial" w:eastAsia="Arial" w:hAnsi="Arial"/>
                <w:sz w:val="14"/>
                <w:szCs w:val="14"/>
                <w:b w:val="1"/>
                <w:bCs w:val="1"/>
                <w:color w:val="auto"/>
                <w:w w:val="92"/>
              </w:rPr>
              <w:t>Comprehensive Income</w:t>
            </w:r>
          </w:p>
        </w:tc>
        <w:tc>
          <w:tcPr>
            <w:tcW w:w="220" w:type="dxa"/>
            <w:vAlign w:val="bottom"/>
          </w:tcPr>
          <w:p>
            <w:pPr>
              <w:spacing w:after="0"/>
              <w:rPr>
                <w:sz w:val="16"/>
                <w:szCs w:val="16"/>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86"/>
              </w:rPr>
              <w:t>(loss) is Presented</w:t>
            </w:r>
          </w:p>
        </w:tc>
      </w:tr>
      <w:tr>
        <w:trPr>
          <w:trHeight w:val="264"/>
        </w:trPr>
        <w:tc>
          <w:tcPr>
            <w:tcW w:w="40" w:type="dxa"/>
            <w:vAlign w:val="bottom"/>
            <w:tcBorders>
              <w:top w:val="single" w:sz="8" w:color="auto"/>
            </w:tcBorders>
          </w:tcPr>
          <w:p>
            <w:pPr>
              <w:spacing w:after="0"/>
              <w:rPr>
                <w:sz w:val="22"/>
                <w:szCs w:val="22"/>
                <w:color w:val="auto"/>
              </w:rPr>
            </w:pPr>
          </w:p>
        </w:tc>
        <w:tc>
          <w:tcPr>
            <w:tcW w:w="27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400" w:type="dxa"/>
            <w:vAlign w:val="bottom"/>
            <w:tcBorders>
              <w:top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22"/>
                <w:szCs w:val="22"/>
                <w:color w:val="auto"/>
              </w:rPr>
            </w:pPr>
          </w:p>
        </w:tc>
        <w:tc>
          <w:tcPr>
            <w:tcW w:w="3640" w:type="dxa"/>
            <w:vAlign w:val="bottom"/>
            <w:tcBorders>
              <w:top w:val="single" w:sz="8" w:color="auto"/>
            </w:tcBorders>
          </w:tcPr>
          <w:p>
            <w:pPr>
              <w:spacing w:after="0"/>
              <w:rPr>
                <w:sz w:val="22"/>
                <w:szCs w:val="22"/>
                <w:color w:val="auto"/>
              </w:rPr>
            </w:pPr>
          </w:p>
        </w:tc>
      </w:tr>
      <w:tr>
        <w:trPr>
          <w:trHeight w:val="209"/>
        </w:trPr>
        <w:tc>
          <w:tcPr>
            <w:tcW w:w="39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Gains and losses on cash flow hedges</w:t>
            </w:r>
          </w:p>
        </w:tc>
        <w:tc>
          <w:tcPr>
            <w:tcW w:w="26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auto"/>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4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640" w:type="dxa"/>
            <w:vAlign w:val="bottom"/>
            <w:tcBorders>
              <w:top w:val="single" w:sz="8" w:color="CCEEFF"/>
            </w:tcBorders>
            <w:shd w:val="clear" w:color="auto" w:fill="CCEEFF"/>
          </w:tcPr>
          <w:p>
            <w:pPr>
              <w:spacing w:after="0"/>
              <w:rPr>
                <w:sz w:val="4"/>
                <w:szCs w:val="4"/>
                <w:color w:val="auto"/>
              </w:rPr>
            </w:pPr>
          </w:p>
        </w:tc>
      </w:tr>
      <w:tr>
        <w:trPr>
          <w:trHeight w:val="243"/>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Interest rate swap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Pr>
          <w:p>
            <w:pPr>
              <w:jc w:val="right"/>
              <w:spacing w:after="0"/>
              <w:rPr>
                <w:sz w:val="20"/>
                <w:szCs w:val="20"/>
                <w:color w:val="auto"/>
              </w:rPr>
            </w:pPr>
            <w:r>
              <w:rPr>
                <w:rFonts w:ascii="Arial" w:cs="Arial" w:eastAsia="Arial" w:hAnsi="Arial"/>
                <w:sz w:val="18"/>
                <w:szCs w:val="18"/>
                <w:color w:val="auto"/>
              </w:rPr>
              <w:t>(1,938)</w:t>
            </w:r>
          </w:p>
        </w:tc>
        <w:tc>
          <w:tcPr>
            <w:tcW w:w="2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Interest (expense)</w:t>
            </w: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70"/>
        </w:trPr>
        <w:tc>
          <w:tcPr>
            <w:tcW w:w="3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26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108</w:t>
            </w:r>
          </w:p>
        </w:tc>
        <w:tc>
          <w:tcPr>
            <w:tcW w:w="2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r>
      <w:tr>
        <w:trPr>
          <w:trHeight w:val="237"/>
        </w:trPr>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(1,830)</w:t>
            </w:r>
          </w:p>
        </w:tc>
        <w:tc>
          <w:tcPr>
            <w:tcW w:w="22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Total before tax</w:t>
            </w: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7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793</w:t>
            </w:r>
          </w:p>
        </w:tc>
        <w:tc>
          <w:tcPr>
            <w:tcW w:w="2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 or benefit</w:t>
            </w:r>
          </w:p>
        </w:tc>
      </w:tr>
      <w:tr>
        <w:trPr>
          <w:trHeight w:val="257"/>
        </w:trPr>
        <w:tc>
          <w:tcPr>
            <w:tcW w:w="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22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Net of tax</w:t>
            </w:r>
          </w:p>
        </w:tc>
      </w:tr>
      <w:tr>
        <w:trPr>
          <w:trHeight w:val="20"/>
        </w:trPr>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610"/>
        </w:trPr>
        <w:tc>
          <w:tcPr>
            <w:tcW w:w="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jc w:val="center"/>
              <w:ind w:right="198"/>
              <w:spacing w:after="0"/>
              <w:rPr>
                <w:sz w:val="20"/>
                <w:szCs w:val="20"/>
                <w:color w:val="auto"/>
              </w:rPr>
            </w:pPr>
            <w:r>
              <w:rPr>
                <w:rFonts w:ascii="Arial" w:cs="Arial" w:eastAsia="Arial" w:hAnsi="Arial"/>
                <w:sz w:val="14"/>
                <w:szCs w:val="14"/>
                <w:b w:val="1"/>
                <w:bCs w:val="1"/>
                <w:color w:val="auto"/>
                <w:w w:val="92"/>
              </w:rPr>
              <w:t>Year Ended December 31, 2012</w:t>
            </w: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165"/>
        </w:trPr>
        <w:tc>
          <w:tcPr>
            <w:tcW w:w="40" w:type="dxa"/>
            <w:vAlign w:val="bottom"/>
          </w:tcPr>
          <w:p>
            <w:pPr>
              <w:spacing w:after="0"/>
              <w:rPr>
                <w:sz w:val="14"/>
                <w:szCs w:val="14"/>
                <w:color w:val="auto"/>
              </w:rPr>
            </w:pPr>
          </w:p>
        </w:tc>
        <w:tc>
          <w:tcPr>
            <w:tcW w:w="3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Details about Accumulated Other Comprehensive Income</w:t>
            </w:r>
          </w:p>
        </w:tc>
        <w:tc>
          <w:tcPr>
            <w:tcW w:w="260" w:type="dxa"/>
            <w:vAlign w:val="bottom"/>
          </w:tcPr>
          <w:p>
            <w:pPr>
              <w:spacing w:after="0"/>
              <w:rPr>
                <w:sz w:val="14"/>
                <w:szCs w:val="14"/>
                <w:color w:val="auto"/>
              </w:rPr>
            </w:pPr>
          </w:p>
        </w:tc>
        <w:tc>
          <w:tcPr>
            <w:tcW w:w="3400" w:type="dxa"/>
            <w:vAlign w:val="bottom"/>
          </w:tcPr>
          <w:p>
            <w:pPr>
              <w:jc w:val="center"/>
              <w:ind w:right="178"/>
              <w:spacing w:after="0"/>
              <w:rPr>
                <w:sz w:val="20"/>
                <w:szCs w:val="20"/>
                <w:color w:val="auto"/>
              </w:rPr>
            </w:pPr>
            <w:r>
              <w:rPr>
                <w:rFonts w:ascii="Arial" w:cs="Arial" w:eastAsia="Arial" w:hAnsi="Arial"/>
                <w:sz w:val="14"/>
                <w:szCs w:val="14"/>
                <w:b w:val="1"/>
                <w:bCs w:val="1"/>
                <w:color w:val="auto"/>
                <w:w w:val="93"/>
              </w:rPr>
              <w:t>Amount Reclassified from Accumulated Other</w:t>
            </w:r>
          </w:p>
        </w:tc>
        <w:tc>
          <w:tcPr>
            <w:tcW w:w="220" w:type="dxa"/>
            <w:vAlign w:val="bottom"/>
          </w:tcPr>
          <w:p>
            <w:pPr>
              <w:spacing w:after="0"/>
              <w:rPr>
                <w:sz w:val="14"/>
                <w:szCs w:val="14"/>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3"/>
              </w:rPr>
              <w:t>Affected Line Item in the Statement where Net Income</w:t>
            </w:r>
          </w:p>
        </w:tc>
      </w:tr>
      <w:tr>
        <w:trPr>
          <w:trHeight w:val="192"/>
        </w:trPr>
        <w:tc>
          <w:tcPr>
            <w:tcW w:w="40" w:type="dxa"/>
            <w:vAlign w:val="bottom"/>
          </w:tcPr>
          <w:p>
            <w:pPr>
              <w:spacing w:after="0"/>
              <w:rPr>
                <w:sz w:val="16"/>
                <w:szCs w:val="16"/>
                <w:color w:val="auto"/>
              </w:rPr>
            </w:pPr>
          </w:p>
        </w:tc>
        <w:tc>
          <w:tcPr>
            <w:tcW w:w="3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Components</w:t>
            </w:r>
          </w:p>
        </w:tc>
        <w:tc>
          <w:tcPr>
            <w:tcW w:w="260" w:type="dxa"/>
            <w:vAlign w:val="bottom"/>
          </w:tcPr>
          <w:p>
            <w:pPr>
              <w:spacing w:after="0"/>
              <w:rPr>
                <w:sz w:val="16"/>
                <w:szCs w:val="16"/>
                <w:color w:val="auto"/>
              </w:rPr>
            </w:pPr>
          </w:p>
        </w:tc>
        <w:tc>
          <w:tcPr>
            <w:tcW w:w="3400" w:type="dxa"/>
            <w:vAlign w:val="bottom"/>
          </w:tcPr>
          <w:p>
            <w:pPr>
              <w:jc w:val="center"/>
              <w:ind w:right="178"/>
              <w:spacing w:after="0"/>
              <w:rPr>
                <w:sz w:val="20"/>
                <w:szCs w:val="20"/>
                <w:color w:val="auto"/>
              </w:rPr>
            </w:pPr>
            <w:r>
              <w:rPr>
                <w:rFonts w:ascii="Arial" w:cs="Arial" w:eastAsia="Arial" w:hAnsi="Arial"/>
                <w:sz w:val="14"/>
                <w:szCs w:val="14"/>
                <w:b w:val="1"/>
                <w:bCs w:val="1"/>
                <w:color w:val="auto"/>
                <w:w w:val="92"/>
              </w:rPr>
              <w:t>Comprehensive Income</w:t>
            </w:r>
          </w:p>
        </w:tc>
        <w:tc>
          <w:tcPr>
            <w:tcW w:w="220" w:type="dxa"/>
            <w:vAlign w:val="bottom"/>
          </w:tcPr>
          <w:p>
            <w:pPr>
              <w:spacing w:after="0"/>
              <w:rPr>
                <w:sz w:val="16"/>
                <w:szCs w:val="16"/>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86"/>
              </w:rPr>
              <w:t>(loss) is Presented</w:t>
            </w:r>
          </w:p>
        </w:tc>
      </w:tr>
      <w:tr>
        <w:trPr>
          <w:trHeight w:val="264"/>
        </w:trPr>
        <w:tc>
          <w:tcPr>
            <w:tcW w:w="40" w:type="dxa"/>
            <w:vAlign w:val="bottom"/>
            <w:tcBorders>
              <w:top w:val="single" w:sz="8" w:color="auto"/>
            </w:tcBorders>
          </w:tcPr>
          <w:p>
            <w:pPr>
              <w:spacing w:after="0"/>
              <w:rPr>
                <w:sz w:val="22"/>
                <w:szCs w:val="22"/>
                <w:color w:val="auto"/>
              </w:rPr>
            </w:pPr>
          </w:p>
        </w:tc>
        <w:tc>
          <w:tcPr>
            <w:tcW w:w="27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400" w:type="dxa"/>
            <w:vAlign w:val="bottom"/>
            <w:tcBorders>
              <w:top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22"/>
                <w:szCs w:val="22"/>
                <w:color w:val="auto"/>
              </w:rPr>
            </w:pPr>
          </w:p>
        </w:tc>
        <w:tc>
          <w:tcPr>
            <w:tcW w:w="3640" w:type="dxa"/>
            <w:vAlign w:val="bottom"/>
            <w:tcBorders>
              <w:top w:val="single" w:sz="8" w:color="auto"/>
            </w:tcBorders>
          </w:tcPr>
          <w:p>
            <w:pPr>
              <w:spacing w:after="0"/>
              <w:rPr>
                <w:sz w:val="22"/>
                <w:szCs w:val="22"/>
                <w:color w:val="auto"/>
              </w:rPr>
            </w:pPr>
          </w:p>
        </w:tc>
      </w:tr>
      <w:tr>
        <w:trPr>
          <w:trHeight w:val="209"/>
        </w:trPr>
        <w:tc>
          <w:tcPr>
            <w:tcW w:w="39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Gains and losses on cash flow hedges</w:t>
            </w:r>
          </w:p>
        </w:tc>
        <w:tc>
          <w:tcPr>
            <w:tcW w:w="26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auto"/>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4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640" w:type="dxa"/>
            <w:vAlign w:val="bottom"/>
            <w:tcBorders>
              <w:top w:val="single" w:sz="8" w:color="CCEEFF"/>
            </w:tcBorders>
            <w:shd w:val="clear" w:color="auto" w:fill="CCEEFF"/>
          </w:tcPr>
          <w:p>
            <w:pPr>
              <w:spacing w:after="0"/>
              <w:rPr>
                <w:sz w:val="4"/>
                <w:szCs w:val="4"/>
                <w:color w:val="auto"/>
              </w:rPr>
            </w:pPr>
          </w:p>
        </w:tc>
      </w:tr>
      <w:tr>
        <w:trPr>
          <w:trHeight w:val="243"/>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Interest rate swap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Pr>
          <w:p>
            <w:pPr>
              <w:jc w:val="right"/>
              <w:spacing w:after="0"/>
              <w:rPr>
                <w:sz w:val="20"/>
                <w:szCs w:val="20"/>
                <w:color w:val="auto"/>
              </w:rPr>
            </w:pPr>
            <w:r>
              <w:rPr>
                <w:rFonts w:ascii="Arial" w:cs="Arial" w:eastAsia="Arial" w:hAnsi="Arial"/>
                <w:sz w:val="18"/>
                <w:szCs w:val="18"/>
                <w:color w:val="auto"/>
              </w:rPr>
              <w:t>(1,901)</w:t>
            </w:r>
          </w:p>
        </w:tc>
        <w:tc>
          <w:tcPr>
            <w:tcW w:w="2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Interest (expense)</w:t>
            </w: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70"/>
        </w:trPr>
        <w:tc>
          <w:tcPr>
            <w:tcW w:w="39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26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r>
      <w:tr>
        <w:trPr>
          <w:trHeight w:val="237"/>
        </w:trPr>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(2,210)</w:t>
            </w:r>
          </w:p>
        </w:tc>
        <w:tc>
          <w:tcPr>
            <w:tcW w:w="22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Total before tax</w:t>
            </w: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7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939</w:t>
            </w:r>
          </w:p>
        </w:tc>
        <w:tc>
          <w:tcPr>
            <w:tcW w:w="2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 or benefit</w:t>
            </w:r>
          </w:p>
        </w:tc>
      </w:tr>
      <w:tr>
        <w:trPr>
          <w:trHeight w:val="257"/>
        </w:trPr>
        <w:tc>
          <w:tcPr>
            <w:tcW w:w="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22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Net of tax</w:t>
            </w:r>
          </w:p>
        </w:tc>
      </w:tr>
      <w:tr>
        <w:trPr>
          <w:trHeight w:val="20"/>
        </w:trPr>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0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we sell. The royalty payments that the Company made under these agreements were not significant for any of the periods presented.</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- 34</w:t>
      </w:r>
    </w:p>
    <w:p>
      <w:pPr>
        <w:sectPr>
          <w:pgSz w:w="11900" w:h="16838" w:orient="portrait"/>
          <w:cols w:equalWidth="0" w:num="1">
            <w:col w:w="11420"/>
          </w:cols>
          <w:pgMar w:left="240" w:top="12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6, 2012, the Company was contacted by the United States Attorney's Office for the District of New Jersey regarding the activities of sales representatives in a single region within our Extremities Reconstruction division. The U.S. Attorney's Office is investigating the activities of three sales representatives, one of whom was a supervisor until terminated by the Company for failure to cooperate with this investigation. The activities at issue pertain to alleged improper billing of products for extremities indications. The Company is cooperating with the United States Attorney's Office on a voluntary basis and is not a subject or target of an investigation at this time.</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AND GEOGRAPHIC INFORMATION</w:t>
      </w:r>
    </w:p>
    <w:p>
      <w:pPr>
        <w:spacing w:after="0" w:line="202"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Starting in the first quarter of 2012, because of changes in how the Company internally manages and reports the results of its businesses to its chief operating decision maker, the Company began reporting five reportable segments. The five reportable segments and a description of their activities are described below:</w:t>
      </w:r>
    </w:p>
    <w:p>
      <w:pPr>
        <w:spacing w:after="0" w:line="1" w:lineRule="exact"/>
        <w:rPr>
          <w:sz w:val="20"/>
          <w:szCs w:val="20"/>
          <w:color w:val="auto"/>
        </w:rPr>
      </w:pPr>
    </w:p>
    <w:p>
      <w:pPr>
        <w:ind w:left="660" w:right="2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U.S. Neurosurgery segment sells a full line of products specifically for neurosurgery and critical care such as tissue ablation equipment, dural repair products, cerebral spinal fluid management devices, intracranial monitoring equipment, and cranial stabilization equipment.</w:t>
      </w:r>
    </w:p>
    <w:p>
      <w:pPr>
        <w:spacing w:after="0" w:line="11"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U.S. Instruments business sells more than 60,000 instrument patterns and surgical products and lighting to hospitals, surgery centers, and dental, podiatry, and veterinary offices.</w:t>
      </w:r>
    </w:p>
    <w:p>
      <w:pPr>
        <w:spacing w:after="0" w:line="3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U.S. Extremities segment includes the U.S. extremity reconstruction business, which includes such offerings as skin and wound repair, bone and joint fixation, implants in the upper and lower extremities, bone grafts and nerve and tendon repair.</w:t>
      </w:r>
    </w:p>
    <w:p>
      <w:pPr>
        <w:spacing w:after="0" w:line="3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U.S. Spine and Other segment includes (i) the U.S. Spine business, which focuses on spinal fusion, spinal implants, and deformity correction, together with bone graft substitutes and other related medical devices that are used to enhance the repair and regeneration of bone in various types of orthopedic surgical procedures, and (ii) the Private Label business, which sells the Company’s regenerative medicine and other products to strategic partners.</w:t>
      </w:r>
    </w:p>
    <w:p>
      <w:pPr>
        <w:spacing w:after="0" w:line="51" w:lineRule="exact"/>
        <w:rPr>
          <w:rFonts w:ascii="Arial" w:cs="Arial" w:eastAsia="Arial" w:hAnsi="Arial"/>
          <w:sz w:val="18"/>
          <w:szCs w:val="18"/>
          <w:color w:val="auto"/>
        </w:rPr>
      </w:pPr>
    </w:p>
    <w:p>
      <w:pPr>
        <w:jc w:val="both"/>
        <w:ind w:left="660" w:hanging="328"/>
        <w:spacing w:after="0" w:line="291"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International segment sells similar products to those discussed above, but are managed through the following geographies: (i) Europe, Middle East and Africa, and (ii) Latin/South America, Asia-Pacific, Australia, New Zealand and Canada. The Corporate and other category includes</w:t>
      </w:r>
    </w:p>
    <w:p>
      <w:pPr>
        <w:ind w:left="660" w:hanging="4"/>
        <w:spacing w:after="0" w:line="261" w:lineRule="auto"/>
        <w:tabs>
          <w:tab w:leader="none" w:pos="901" w:val="left"/>
        </w:tabs>
        <w:numPr>
          <w:ilvl w:val="1"/>
          <w:numId w:val="35"/>
        </w:numPr>
        <w:rPr>
          <w:rFonts w:ascii="Arial" w:cs="Arial" w:eastAsia="Arial" w:hAnsi="Arial"/>
          <w:sz w:val="18"/>
          <w:szCs w:val="18"/>
          <w:color w:val="auto"/>
        </w:rPr>
      </w:pPr>
      <w:r>
        <w:rPr>
          <w:rFonts w:ascii="Arial" w:cs="Arial" w:eastAsia="Arial" w:hAnsi="Arial"/>
          <w:sz w:val="18"/>
          <w:szCs w:val="18"/>
          <w:color w:val="auto"/>
        </w:rPr>
        <w:t>various legal, finance, executive, and human resource functions, (ii) brand management, (iii) share-based compensation costs, and (iv) costs related to procurement, manufacturing operations and logistics for the Company’s entire organization.</w:t>
      </w:r>
    </w:p>
    <w:p>
      <w:pPr>
        <w:spacing w:after="0" w:line="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Accordingly, the segment information for the prior years has been restated in accordance with authoritative guidance on segment reporting. The accounting policies of the reportable segments are the same as those described in Note 2.</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Net sales and profit by reportable segment for the years ended December 31, 2013, 2012 and 2011 are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- 35</w:t>
      </w:r>
    </w:p>
    <w:p>
      <w:pPr>
        <w:sectPr>
          <w:pgSz w:w="11900" w:h="16838" w:orient="portrait"/>
          <w:cols w:equalWidth="0" w:num="1">
            <w:col w:w="11420"/>
          </w:cols>
          <w:pgMar w:left="240" w:top="121"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U.S. Neurosurgery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172,250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171,278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165,652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Instruments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159,627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162,323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155,833</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U.S. Extremities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134,683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122,847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98,109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Spine and Other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179,940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190,546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174,479</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International</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189,714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183,877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186,005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836,214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830,871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780,078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Segment Profit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Neurosurgery</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83,211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91,070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86,206</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U.S. Instruments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45,629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46,294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41,883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Extremities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53,189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49,432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38,540</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U.S. Spine and Other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8,546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55,891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51,011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56,869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61,336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64,164</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Segment profit</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247,444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304,023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281,804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(16,433)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(238,391)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(211,705)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(210,459)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73,782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54,912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allocate any assets to the reportable segments, and, therefore, no asset information is reported to the chief operating decision maker and disclosed in the financial information for each segment.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Revenue by major product category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Orthopedics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374,640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369,312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328,933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Neurosurgery</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278,672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277,527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272,538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182,902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184,032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178,607</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836,214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830,871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780,078</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attributes revenue to geographic areas based on the location of the customer. There are certain revenues managed by the various U.S. segments above that are generated from non-U.S. customers and therefore included in Europe and the Rest of World revenues below.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Total revenue, net and long-lived assets (tangible) by major geographic area are summarized below:</w:t>
      </w:r>
    </w:p>
    <w:p>
      <w:pPr>
        <w:spacing w:after="0" w:line="311" w:lineRule="exact"/>
        <w:rPr>
          <w:sz w:val="20"/>
          <w:szCs w:val="20"/>
          <w:color w:val="auto"/>
        </w:rPr>
      </w:pPr>
    </w:p>
    <w:p>
      <w:pPr>
        <w:ind w:left="5460"/>
        <w:spacing w:after="0"/>
        <w:tabs>
          <w:tab w:leader="none" w:pos="7280" w:val="left"/>
          <w:tab w:leader="none" w:pos="8540" w:val="left"/>
          <w:tab w:leader="none" w:pos="10260" w:val="left"/>
        </w:tabs>
        <w:rPr>
          <w:sz w:val="20"/>
          <w:szCs w:val="20"/>
          <w:color w:val="auto"/>
        </w:rPr>
      </w:pPr>
      <w:r>
        <w:rPr>
          <w:rFonts w:ascii="Arial" w:cs="Arial" w:eastAsia="Arial" w:hAnsi="Arial"/>
          <w:sz w:val="14"/>
          <w:szCs w:val="14"/>
          <w:b w:val="1"/>
          <w:bCs w:val="1"/>
          <w:color w:val="auto"/>
        </w:rPr>
        <w:t>United States*</w:t>
      </w:r>
      <w:r>
        <w:rPr>
          <w:sz w:val="20"/>
          <w:szCs w:val="20"/>
          <w:color w:val="auto"/>
        </w:rPr>
        <w:tab/>
      </w:r>
      <w:r>
        <w:rPr>
          <w:rFonts w:ascii="Arial" w:cs="Arial" w:eastAsia="Arial" w:hAnsi="Arial"/>
          <w:sz w:val="14"/>
          <w:szCs w:val="14"/>
          <w:b w:val="1"/>
          <w:bCs w:val="1"/>
          <w:color w:val="auto"/>
        </w:rPr>
        <w:t>Europe</w:t>
      </w:r>
      <w:r>
        <w:rPr>
          <w:sz w:val="20"/>
          <w:szCs w:val="20"/>
          <w:color w:val="auto"/>
        </w:rPr>
        <w:tab/>
      </w:r>
      <w:r>
        <w:rPr>
          <w:rFonts w:ascii="Arial" w:cs="Arial" w:eastAsia="Arial" w:hAnsi="Arial"/>
          <w:sz w:val="14"/>
          <w:szCs w:val="14"/>
          <w:b w:val="1"/>
          <w:bCs w:val="1"/>
          <w:color w:val="auto"/>
        </w:rPr>
        <w:t>Rest of the World</w:t>
      </w:r>
      <w:r>
        <w:rPr>
          <w:sz w:val="20"/>
          <w:szCs w:val="20"/>
          <w:color w:val="auto"/>
        </w:rPr>
        <w:tab/>
      </w:r>
      <w:r>
        <w:rPr>
          <w:rFonts w:ascii="Arial" w:cs="Arial" w:eastAsia="Arial" w:hAnsi="Arial"/>
          <w:sz w:val="12"/>
          <w:szCs w:val="12"/>
          <w:b w:val="1"/>
          <w:bCs w:val="1"/>
          <w:color w:val="auto"/>
        </w:rPr>
        <w:t>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5"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revenue, net: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jc w:val="right"/>
              <w:ind w:right="2710"/>
              <w:spacing w:after="0"/>
              <w:rPr>
                <w:sz w:val="20"/>
                <w:szCs w:val="20"/>
                <w:color w:val="auto"/>
              </w:rPr>
            </w:pPr>
            <w:r>
              <w:rPr>
                <w:rFonts w:ascii="Arial" w:cs="Arial" w:eastAsia="Arial" w:hAnsi="Arial"/>
                <w:sz w:val="18"/>
                <w:szCs w:val="18"/>
                <w:color w:val="auto"/>
              </w:rPr>
              <w:t>2013</w:t>
            </w:r>
          </w:p>
        </w:tc>
        <w:tc>
          <w:tcPr>
            <w:tcW w:w="21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642,694</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93,977</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99,543</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836,214</w:t>
            </w:r>
          </w:p>
        </w:tc>
      </w:tr>
      <w:tr>
        <w:trPr>
          <w:trHeight w:val="27"/>
        </w:trPr>
        <w:tc>
          <w:tcPr>
            <w:tcW w:w="34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jc w:val="right"/>
              <w:ind w:right="2710"/>
              <w:spacing w:after="0"/>
              <w:rPr>
                <w:sz w:val="20"/>
                <w:szCs w:val="20"/>
                <w:color w:val="auto"/>
              </w:rPr>
            </w:pPr>
            <w:r>
              <w:rPr>
                <w:rFonts w:ascii="Arial" w:cs="Arial" w:eastAsia="Arial" w:hAnsi="Arial"/>
                <w:sz w:val="18"/>
                <w:szCs w:val="18"/>
                <w:color w:val="auto"/>
              </w:rPr>
              <w:t>2012</w:t>
            </w:r>
          </w:p>
        </w:tc>
        <w:tc>
          <w:tcPr>
            <w:tcW w:w="2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642,830</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90,920</w:t>
            </w: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97,121</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830,871</w:t>
            </w:r>
          </w:p>
        </w:tc>
      </w:tr>
      <w:tr>
        <w:trPr>
          <w:trHeight w:val="243"/>
        </w:trPr>
        <w:tc>
          <w:tcPr>
            <w:tcW w:w="3440" w:type="dxa"/>
            <w:vAlign w:val="bottom"/>
          </w:tcPr>
          <w:p>
            <w:pPr>
              <w:jc w:val="right"/>
              <w:ind w:right="2710"/>
              <w:spacing w:after="0"/>
              <w:rPr>
                <w:sz w:val="20"/>
                <w:szCs w:val="20"/>
                <w:color w:val="auto"/>
              </w:rPr>
            </w:pPr>
            <w:r>
              <w:rPr>
                <w:rFonts w:ascii="Arial" w:cs="Arial" w:eastAsia="Arial" w:hAnsi="Arial"/>
                <w:sz w:val="18"/>
                <w:szCs w:val="18"/>
                <w:color w:val="auto"/>
              </w:rPr>
              <w:t>2011</w:t>
            </w:r>
          </w:p>
        </w:tc>
        <w:tc>
          <w:tcPr>
            <w:tcW w:w="218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589,946</w:t>
            </w:r>
          </w:p>
        </w:tc>
        <w:tc>
          <w:tcPr>
            <w:tcW w:w="6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97,184</w:t>
            </w:r>
          </w:p>
        </w:tc>
        <w:tc>
          <w:tcPr>
            <w:tcW w:w="5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92,948</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780,078</w:t>
            </w:r>
          </w:p>
        </w:tc>
      </w:tr>
      <w:tr>
        <w:trPr>
          <w:trHeight w:val="27"/>
        </w:trPr>
        <w:tc>
          <w:tcPr>
            <w:tcW w:w="34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jc w:val="right"/>
              <w:ind w:right="1650"/>
              <w:spacing w:after="0"/>
              <w:rPr>
                <w:sz w:val="20"/>
                <w:szCs w:val="20"/>
                <w:color w:val="auto"/>
              </w:rPr>
            </w:pPr>
            <w:r>
              <w:rPr>
                <w:rFonts w:ascii="Arial" w:cs="Arial" w:eastAsia="Arial" w:hAnsi="Arial"/>
                <w:sz w:val="18"/>
                <w:szCs w:val="18"/>
                <w:color w:val="auto"/>
                <w:w w:val="91"/>
              </w:rPr>
              <w:t>Total long-lived assets:</w:t>
            </w:r>
          </w:p>
        </w:tc>
        <w:tc>
          <w:tcPr>
            <w:tcW w:w="2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jc w:val="right"/>
              <w:ind w:right="2710"/>
              <w:spacing w:after="0"/>
              <w:rPr>
                <w:sz w:val="20"/>
                <w:szCs w:val="20"/>
                <w:color w:val="auto"/>
              </w:rPr>
            </w:pPr>
            <w:r>
              <w:rPr>
                <w:rFonts w:ascii="Arial" w:cs="Arial" w:eastAsia="Arial" w:hAnsi="Arial"/>
                <w:sz w:val="18"/>
                <w:szCs w:val="18"/>
                <w:color w:val="auto"/>
              </w:rPr>
              <w:t>2013</w:t>
            </w:r>
          </w:p>
        </w:tc>
        <w:tc>
          <w:tcPr>
            <w:tcW w:w="21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187,608</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20,010</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1,030</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208,648</w:t>
            </w:r>
          </w:p>
        </w:tc>
      </w:tr>
      <w:tr>
        <w:trPr>
          <w:trHeight w:val="27"/>
        </w:trPr>
        <w:tc>
          <w:tcPr>
            <w:tcW w:w="34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3440" w:type="dxa"/>
            <w:vAlign w:val="bottom"/>
            <w:shd w:val="clear" w:color="auto" w:fill="CCEEFF"/>
          </w:tcPr>
          <w:p>
            <w:pPr>
              <w:jc w:val="right"/>
              <w:ind w:right="2710"/>
              <w:spacing w:after="0"/>
              <w:rPr>
                <w:sz w:val="20"/>
                <w:szCs w:val="20"/>
                <w:color w:val="auto"/>
              </w:rPr>
            </w:pPr>
            <w:r>
              <w:rPr>
                <w:rFonts w:ascii="Arial" w:cs="Arial" w:eastAsia="Arial" w:hAnsi="Arial"/>
                <w:sz w:val="18"/>
                <w:szCs w:val="18"/>
                <w:color w:val="auto"/>
              </w:rPr>
              <w:t>2012</w:t>
            </w:r>
          </w:p>
        </w:tc>
        <w:tc>
          <w:tcPr>
            <w:tcW w:w="2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166,508</w:t>
            </w:r>
          </w:p>
        </w:tc>
        <w:tc>
          <w:tcPr>
            <w:tcW w:w="6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20,242</w:t>
            </w:r>
          </w:p>
        </w:tc>
        <w:tc>
          <w:tcPr>
            <w:tcW w:w="5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1,507</w:t>
            </w: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188,257</w:t>
            </w:r>
          </w:p>
        </w:tc>
      </w:tr>
      <w:tr>
        <w:trPr>
          <w:trHeight w:val="27"/>
        </w:trPr>
        <w:tc>
          <w:tcPr>
            <w:tcW w:w="344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- 36</w:t>
      </w:r>
    </w:p>
    <w:p>
      <w:pPr>
        <w:sectPr>
          <w:pgSz w:w="11900" w:h="16838" w:orient="portrait"/>
          <w:cols w:equalWidth="0" w:num="1">
            <w:col w:w="11420"/>
          </w:cols>
          <w:pgMar w:left="240" w:top="121" w:right="239" w:bottom="144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 Includes long-lived assets in Puerto Rico.</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SELECTED QUARTERLY INFORMATION - UNAUDITED</w:t>
      </w:r>
    </w:p>
    <w:p>
      <w:pPr>
        <w:spacing w:after="0" w:line="342" w:lineRule="exact"/>
        <w:rPr>
          <w:sz w:val="20"/>
          <w:szCs w:val="20"/>
          <w:color w:val="auto"/>
        </w:rPr>
      </w:pPr>
    </w:p>
    <w:p>
      <w:pPr>
        <w:ind w:left="5500"/>
        <w:spacing w:after="0"/>
        <w:tabs>
          <w:tab w:leader="none" w:pos="7020" w:val="left"/>
          <w:tab w:leader="none" w:pos="8640" w:val="left"/>
          <w:tab w:leader="none" w:pos="10180" w:val="left"/>
        </w:tabs>
        <w:rPr>
          <w:sz w:val="20"/>
          <w:szCs w:val="20"/>
          <w:color w:val="auto"/>
        </w:rPr>
      </w:pPr>
      <w:r>
        <w:rPr>
          <w:rFonts w:ascii="Arial" w:cs="Arial" w:eastAsia="Arial" w:hAnsi="Arial"/>
          <w:sz w:val="14"/>
          <w:szCs w:val="14"/>
          <w:b w:val="1"/>
          <w:bCs w:val="1"/>
          <w:color w:val="auto"/>
        </w:rPr>
        <w:t>First Quarter</w:t>
      </w:r>
      <w:r>
        <w:rPr>
          <w:sz w:val="20"/>
          <w:szCs w:val="20"/>
          <w:color w:val="auto"/>
        </w:rPr>
        <w:tab/>
      </w:r>
      <w:r>
        <w:rPr>
          <w:rFonts w:ascii="Arial" w:cs="Arial" w:eastAsia="Arial" w:hAnsi="Arial"/>
          <w:sz w:val="14"/>
          <w:szCs w:val="14"/>
          <w:b w:val="1"/>
          <w:bCs w:val="1"/>
          <w:color w:val="auto"/>
        </w:rPr>
        <w:t>Second Quarter</w:t>
      </w:r>
      <w:r>
        <w:rPr>
          <w:sz w:val="20"/>
          <w:szCs w:val="20"/>
          <w:color w:val="auto"/>
        </w:rPr>
        <w:tab/>
      </w:r>
      <w:r>
        <w:rPr>
          <w:rFonts w:ascii="Arial" w:cs="Arial" w:eastAsia="Arial" w:hAnsi="Arial"/>
          <w:sz w:val="14"/>
          <w:szCs w:val="14"/>
          <w:b w:val="1"/>
          <w:bCs w:val="1"/>
          <w:color w:val="auto"/>
        </w:rPr>
        <w:t>Third Quarter</w:t>
      </w:r>
      <w:r>
        <w:rPr>
          <w:sz w:val="20"/>
          <w:szCs w:val="20"/>
          <w:color w:val="auto"/>
        </w:rPr>
        <w:tab/>
      </w:r>
      <w:r>
        <w:rPr>
          <w:rFonts w:ascii="Arial" w:cs="Arial" w:eastAsia="Arial" w:hAnsi="Arial"/>
          <w:sz w:val="13"/>
          <w:szCs w:val="13"/>
          <w:b w:val="1"/>
          <w:bCs w:val="1"/>
          <w:color w:val="auto"/>
        </w:rPr>
        <w:t>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89"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revenue, net: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2013</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196,652</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205,547</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213,246</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220,769</w:t>
            </w:r>
          </w:p>
        </w:tc>
      </w:tr>
      <w:tr>
        <w:trPr>
          <w:trHeight w:val="27"/>
        </w:trPr>
        <w:tc>
          <w:tcPr>
            <w:tcW w:w="4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2012</w:t>
            </w:r>
          </w:p>
        </w:tc>
        <w:tc>
          <w:tcPr>
            <w:tcW w:w="1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196,185</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210,170</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210,084</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214,432</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1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2013</w:t>
            </w:r>
          </w:p>
        </w:tc>
        <w:tc>
          <w:tcPr>
            <w:tcW w:w="12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116,384</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122,479</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129,145</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134,121</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2012</w:t>
            </w:r>
          </w:p>
        </w:tc>
        <w:tc>
          <w:tcPr>
            <w:tcW w:w="126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121,510</w:t>
            </w: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131,896</w:t>
            </w:r>
          </w:p>
        </w:tc>
        <w:tc>
          <w:tcPr>
            <w:tcW w:w="54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130,536</w:t>
            </w: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132,502</w:t>
            </w:r>
          </w:p>
        </w:tc>
      </w:tr>
      <w:tr>
        <w:trPr>
          <w:trHeight w:val="27"/>
        </w:trPr>
        <w:tc>
          <w:tcPr>
            <w:tcW w:w="4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2013 (1)</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(4,050)</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3,440</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(28,550)</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12,183</w:t>
            </w:r>
          </w:p>
        </w:tc>
      </w:tr>
      <w:tr>
        <w:trPr>
          <w:trHeight w:val="27"/>
        </w:trPr>
        <w:tc>
          <w:tcPr>
            <w:tcW w:w="4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2012</w:t>
            </w:r>
          </w:p>
        </w:tc>
        <w:tc>
          <w:tcPr>
            <w:tcW w:w="1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6,693</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8,514</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13,211</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12,786</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Basic net income (loss) per common share (2):</w:t>
            </w:r>
          </w:p>
        </w:tc>
        <w:tc>
          <w:tcPr>
            <w:tcW w:w="1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2013</w:t>
            </w:r>
          </w:p>
        </w:tc>
        <w:tc>
          <w:tcPr>
            <w:tcW w:w="12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0.12</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2012</w:t>
            </w:r>
          </w:p>
        </w:tc>
        <w:tc>
          <w:tcPr>
            <w:tcW w:w="126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0.24</w:t>
            </w: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0.30</w:t>
            </w:r>
          </w:p>
        </w:tc>
        <w:tc>
          <w:tcPr>
            <w:tcW w:w="54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0.46</w:t>
            </w: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0.46</w:t>
            </w:r>
          </w:p>
        </w:tc>
      </w:tr>
      <w:tr>
        <w:trPr>
          <w:trHeight w:val="27"/>
        </w:trPr>
        <w:tc>
          <w:tcPr>
            <w:tcW w:w="4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(loss) per common share (2):</w:t>
            </w:r>
          </w:p>
        </w:tc>
        <w:tc>
          <w:tcPr>
            <w:tcW w:w="1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2013</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0.12</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(1.02)</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0.40</w:t>
            </w:r>
          </w:p>
        </w:tc>
      </w:tr>
      <w:tr>
        <w:trPr>
          <w:trHeight w:val="27"/>
        </w:trPr>
        <w:tc>
          <w:tcPr>
            <w:tcW w:w="4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2012</w:t>
            </w:r>
          </w:p>
        </w:tc>
        <w:tc>
          <w:tcPr>
            <w:tcW w:w="1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0.23</w:t>
            </w:r>
          </w:p>
        </w:tc>
        <w:tc>
          <w:tcPr>
            <w:tcW w:w="5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0.30</w:t>
            </w:r>
          </w:p>
        </w:tc>
        <w:tc>
          <w:tcPr>
            <w:tcW w:w="5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0.46</w:t>
            </w:r>
          </w:p>
        </w:tc>
        <w:tc>
          <w:tcPr>
            <w:tcW w:w="5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0.46</w:t>
            </w:r>
          </w:p>
        </w:tc>
      </w:tr>
      <w:tr>
        <w:trPr>
          <w:trHeight w:val="27"/>
        </w:trPr>
        <w:tc>
          <w:tcPr>
            <w:tcW w:w="43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ind w:left="580" w:hanging="248"/>
        <w:spacing w:after="0" w:line="277" w:lineRule="auto"/>
        <w:tabs>
          <w:tab w:leader="none" w:pos="6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first quarter of 2013 was negatively impacted by a voluntary recall of certain products manufactured in the Company's Añasco, Puerto Rico facility.</w:t>
      </w:r>
    </w:p>
    <w:p>
      <w:pPr>
        <w:spacing w:after="0" w:line="116" w:lineRule="exact"/>
        <w:rPr>
          <w:sz w:val="20"/>
          <w:szCs w:val="20"/>
          <w:color w:val="auto"/>
        </w:rPr>
      </w:pPr>
    </w:p>
    <w:p>
      <w:pPr>
        <w:ind w:left="580" w:right="20"/>
        <w:spacing w:after="0" w:line="277" w:lineRule="auto"/>
        <w:rPr>
          <w:sz w:val="20"/>
          <w:szCs w:val="20"/>
          <w:color w:val="auto"/>
        </w:rPr>
      </w:pPr>
      <w:r>
        <w:rPr>
          <w:rFonts w:ascii="Arial" w:cs="Arial" w:eastAsia="Arial" w:hAnsi="Arial"/>
          <w:sz w:val="18"/>
          <w:szCs w:val="18"/>
          <w:color w:val="auto"/>
        </w:rPr>
        <w:t>On July 31, 2013, the Company performed the annual goodwill impairment test which resulted in a non-cash goodwill impairment charge of $46.7 million for its U.S. Spine reporting unit, which is a part of the U.S. Spine and Other reportable segment.</w:t>
      </w:r>
    </w:p>
    <w:p>
      <w:pPr>
        <w:spacing w:after="0" w:line="35"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Company incurred incremental costs related to the implementation of its global enterprise resource planning system in the first, second, third, and fourth quarters of 2013 of $6.1 million, $7.6 million, $5.0 million and $5.6 million, respectively.</w:t>
      </w:r>
    </w:p>
    <w:p>
      <w:pPr>
        <w:spacing w:after="0" w:line="170"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Company incurred costs related to the remediation of the FDA warning letters at its manufacturing facilities of $2.1 million, $3.0 million, $2.8 million and $0.4 million in the first, second, third and fourth quarters of 2013, respectively.</w:t>
      </w:r>
    </w:p>
    <w:p>
      <w:pPr>
        <w:spacing w:after="0" w:line="116" w:lineRule="exact"/>
        <w:rPr>
          <w:sz w:val="20"/>
          <w:szCs w:val="20"/>
          <w:color w:val="auto"/>
        </w:rPr>
      </w:pPr>
    </w:p>
    <w:p>
      <w:pPr>
        <w:jc w:val="both"/>
        <w:ind w:left="580" w:hanging="248"/>
        <w:spacing w:after="0" w:line="264" w:lineRule="auto"/>
        <w:tabs>
          <w:tab w:leader="none" w:pos="599" w:val="left"/>
        </w:tabs>
        <w:numPr>
          <w:ilvl w:val="1"/>
          <w:numId w:val="37"/>
        </w:numPr>
        <w:rPr>
          <w:rFonts w:ascii="Arial" w:cs="Arial" w:eastAsia="Arial" w:hAnsi="Arial"/>
          <w:sz w:val="18"/>
          <w:szCs w:val="18"/>
          <w:color w:val="auto"/>
        </w:rPr>
      </w:pPr>
      <w:r>
        <w:rPr>
          <w:rFonts w:ascii="Arial" w:cs="Arial" w:eastAsia="Arial" w:hAnsi="Arial"/>
          <w:sz w:val="18"/>
          <w:szCs w:val="18"/>
          <w:color w:val="auto"/>
        </w:rPr>
        <w:t>Per common share amounts for the quarters and full years have been calculated separately. Accordingly, quarterly amounts do not necessarily add to the annual amount because of differences in the weighted average common shares outstanding during each period principally due to the effect of the Company’s issuing shares of its common stock during the year.</w:t>
      </w:r>
    </w:p>
    <w:p>
      <w:pPr>
        <w:spacing w:after="0" w:line="69" w:lineRule="exact"/>
        <w:rPr>
          <w:rFonts w:ascii="Arial" w:cs="Arial" w:eastAsia="Arial" w:hAnsi="Arial"/>
          <w:sz w:val="18"/>
          <w:szCs w:val="18"/>
          <w:color w:val="auto"/>
        </w:rPr>
      </w:pPr>
    </w:p>
    <w:p>
      <w:pPr>
        <w:ind w:left="280" w:hanging="272"/>
        <w:spacing w:after="0"/>
        <w:tabs>
          <w:tab w:leader="none" w:pos="2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15, 2014, the Company acquired all outstanding shares of Confluent Surgical, Inc., ("Confluent Surgical") - including its surgical sealant and adhesion barrier product lines - from Covidien Group S.a.r.l, ("Covidien") for an aggregate purchase price of $231.0 million. The Company paid Covidien an initial cash payment of $231.0 million upon the closing of the transaction and at that time made a separate prepayment of $4.0 million under a transitional supply agreement with an affiliate of Covidien. In addition, the Company may pay Covidien up to $30.0 million following the closing, contingent upon obtaining certain U.S. and European governmental approvals related to the completion of the transition of the Confluent Surgical business and the timely supply of products under the transitional supply agreement. The Company also entered into a transition services agreement with an affiliate of Covidien at the closing. This acquisition complements Integra's global neurosurgery growth strategy aimed at providing a broader set of solutions for surgical procedures in the head. Since the acquisition occurred subsequent to December 31, 2013 the acquisition is not included in the results of operations for any of the periods presented.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Company borrowed $235.0 million under its Senior Credit Facility in January 2014 in order to fund this acquisition.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- 37</w:t>
      </w:r>
    </w:p>
    <w:p>
      <w:pPr>
        <w:sectPr>
          <w:pgSz w:w="11900" w:h="16838" w:orient="portrait"/>
          <w:cols w:equalWidth="0" w:num="1">
            <w:col w:w="11420"/>
          </w:cols>
          <w:pgMar w:left="240" w:top="121"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62"/>
              <w:spacing w:after="0"/>
              <w:rPr>
                <w:sz w:val="20"/>
                <w:szCs w:val="20"/>
                <w:color w:val="auto"/>
              </w:rPr>
            </w:pPr>
            <w:r>
              <w:rPr>
                <w:rFonts w:ascii="Arial" w:cs="Arial" w:eastAsia="Arial" w:hAnsi="Arial"/>
                <w:sz w:val="14"/>
                <w:szCs w:val="14"/>
                <w:b w:val="1"/>
                <w:bCs w:val="1"/>
                <w:color w:val="auto"/>
                <w:w w:val="91"/>
              </w:rPr>
              <w:t>Balance at</w:t>
            </w:r>
          </w:p>
        </w:tc>
        <w:tc>
          <w:tcPr>
            <w:tcW w:w="260" w:type="dxa"/>
            <w:vAlign w:val="bottom"/>
          </w:tcPr>
          <w:p>
            <w:pPr>
              <w:spacing w:after="0"/>
              <w:rPr>
                <w:sz w:val="14"/>
                <w:szCs w:val="14"/>
                <w:color w:val="auto"/>
              </w:rPr>
            </w:pPr>
          </w:p>
        </w:tc>
        <w:tc>
          <w:tcPr>
            <w:tcW w:w="940" w:type="dxa"/>
            <w:vAlign w:val="bottom"/>
          </w:tcPr>
          <w:p>
            <w:pPr>
              <w:jc w:val="center"/>
              <w:ind w:right="103"/>
              <w:spacing w:after="0"/>
              <w:rPr>
                <w:sz w:val="20"/>
                <w:szCs w:val="20"/>
                <w:color w:val="auto"/>
              </w:rPr>
            </w:pPr>
            <w:r>
              <w:rPr>
                <w:rFonts w:ascii="Arial" w:cs="Arial" w:eastAsia="Arial" w:hAnsi="Arial"/>
                <w:sz w:val="14"/>
                <w:szCs w:val="14"/>
                <w:b w:val="1"/>
                <w:bCs w:val="1"/>
                <w:color w:val="auto"/>
                <w:w w:val="91"/>
              </w:rPr>
              <w:t>Charged to</w:t>
            </w:r>
          </w:p>
        </w:tc>
        <w:tc>
          <w:tcPr>
            <w:tcW w:w="240" w:type="dxa"/>
            <w:vAlign w:val="bottom"/>
          </w:tcPr>
          <w:p>
            <w:pPr>
              <w:spacing w:after="0"/>
              <w:rPr>
                <w:sz w:val="14"/>
                <w:szCs w:val="14"/>
                <w:color w:val="auto"/>
              </w:rPr>
            </w:pPr>
          </w:p>
        </w:tc>
        <w:tc>
          <w:tcPr>
            <w:tcW w:w="1000" w:type="dxa"/>
            <w:vAlign w:val="bottom"/>
          </w:tcPr>
          <w:p>
            <w:pPr>
              <w:jc w:val="center"/>
              <w:ind w:right="121"/>
              <w:spacing w:after="0"/>
              <w:rPr>
                <w:sz w:val="20"/>
                <w:szCs w:val="20"/>
                <w:color w:val="auto"/>
              </w:rPr>
            </w:pPr>
            <w:r>
              <w:rPr>
                <w:rFonts w:ascii="Arial" w:cs="Arial" w:eastAsia="Arial" w:hAnsi="Arial"/>
                <w:sz w:val="14"/>
                <w:szCs w:val="14"/>
                <w:b w:val="1"/>
                <w:bCs w:val="1"/>
                <w:color w:val="auto"/>
                <w:w w:val="91"/>
              </w:rPr>
              <w:t>Charged to</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Balance at End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00" w:type="dxa"/>
            <w:vAlign w:val="bottom"/>
            <w:vMerge w:val="restart"/>
          </w:tcPr>
          <w:p>
            <w:pPr>
              <w:spacing w:after="0"/>
              <w:rPr>
                <w:sz w:val="20"/>
                <w:szCs w:val="20"/>
                <w:color w:val="auto"/>
              </w:rPr>
            </w:pPr>
            <w:r>
              <w:rPr>
                <w:rFonts w:ascii="Arial" w:cs="Arial" w:eastAsia="Arial" w:hAnsi="Arial"/>
                <w:sz w:val="16"/>
                <w:szCs w:val="16"/>
                <w:b w:val="1"/>
                <w:bCs w:val="1"/>
                <w:color w:val="auto"/>
                <w:w w:val="88"/>
              </w:rPr>
              <w:t>Description</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60" w:type="dxa"/>
            <w:vAlign w:val="bottom"/>
          </w:tcPr>
          <w:p>
            <w:pPr>
              <w:spacing w:after="0"/>
              <w:rPr>
                <w:sz w:val="12"/>
                <w:szCs w:val="12"/>
                <w:color w:val="auto"/>
              </w:rPr>
            </w:pPr>
          </w:p>
        </w:tc>
        <w:tc>
          <w:tcPr>
            <w:tcW w:w="9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88"/>
              </w:rPr>
              <w:t>Costs and</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Other Accounts</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4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42"/>
              <w:spacing w:after="0" w:line="125" w:lineRule="exact"/>
              <w:rPr>
                <w:sz w:val="20"/>
                <w:szCs w:val="20"/>
                <w:color w:val="auto"/>
              </w:rPr>
            </w:pPr>
            <w:r>
              <w:rPr>
                <w:rFonts w:ascii="Arial" w:cs="Arial" w:eastAsia="Arial" w:hAnsi="Arial"/>
                <w:sz w:val="14"/>
                <w:szCs w:val="14"/>
                <w:b w:val="1"/>
                <w:bCs w:val="1"/>
                <w:color w:val="auto"/>
                <w:w w:val="96"/>
              </w:rPr>
              <w:t>Period</w:t>
            </w:r>
          </w:p>
        </w:tc>
        <w:tc>
          <w:tcPr>
            <w:tcW w:w="260" w:type="dxa"/>
            <w:vAlign w:val="bottom"/>
          </w:tcPr>
          <w:p>
            <w:pPr>
              <w:spacing w:after="0"/>
              <w:rPr>
                <w:sz w:val="11"/>
                <w:szCs w:val="11"/>
                <w:color w:val="auto"/>
              </w:rPr>
            </w:pPr>
          </w:p>
        </w:tc>
        <w:tc>
          <w:tcPr>
            <w:tcW w:w="940" w:type="dxa"/>
            <w:vAlign w:val="bottom"/>
          </w:tcPr>
          <w:p>
            <w:pPr>
              <w:jc w:val="center"/>
              <w:ind w:right="103"/>
              <w:spacing w:after="0" w:line="125" w:lineRule="exact"/>
              <w:rPr>
                <w:sz w:val="20"/>
                <w:szCs w:val="20"/>
                <w:color w:val="auto"/>
              </w:rPr>
            </w:pPr>
            <w:r>
              <w:rPr>
                <w:rFonts w:ascii="Arial" w:cs="Arial" w:eastAsia="Arial" w:hAnsi="Arial"/>
                <w:sz w:val="14"/>
                <w:szCs w:val="14"/>
                <w:b w:val="1"/>
                <w:bCs w:val="1"/>
                <w:color w:val="auto"/>
                <w:w w:val="85"/>
              </w:rPr>
              <w:t>Expenses</w:t>
            </w:r>
          </w:p>
        </w:tc>
        <w:tc>
          <w:tcPr>
            <w:tcW w:w="240" w:type="dxa"/>
            <w:vAlign w:val="bottom"/>
          </w:tcPr>
          <w:p>
            <w:pPr>
              <w:spacing w:after="0"/>
              <w:rPr>
                <w:sz w:val="11"/>
                <w:szCs w:val="11"/>
                <w:color w:val="auto"/>
              </w:rPr>
            </w:pPr>
          </w:p>
        </w:tc>
        <w:tc>
          <w:tcPr>
            <w:tcW w:w="1000" w:type="dxa"/>
            <w:vAlign w:val="bottom"/>
          </w:tcPr>
          <w:p>
            <w:pPr>
              <w:jc w:val="center"/>
              <w:ind w:right="121"/>
              <w:spacing w:after="0" w:line="125" w:lineRule="exact"/>
              <w:rPr>
                <w:sz w:val="20"/>
                <w:szCs w:val="20"/>
                <w:color w:val="auto"/>
              </w:rPr>
            </w:pPr>
            <w:r>
              <w:rPr>
                <w:rFonts w:ascii="Arial" w:cs="Arial" w:eastAsia="Arial" w:hAnsi="Arial"/>
                <w:sz w:val="14"/>
                <w:szCs w:val="14"/>
                <w:b w:val="1"/>
                <w:bCs w:val="1"/>
                <w:color w:val="auto"/>
                <w:w w:val="93"/>
              </w:rPr>
              <w:t>(1)</w:t>
            </w:r>
          </w:p>
        </w:tc>
        <w:tc>
          <w:tcPr>
            <w:tcW w:w="200" w:type="dxa"/>
            <w:vAlign w:val="bottom"/>
          </w:tcPr>
          <w:p>
            <w:pPr>
              <w:spacing w:after="0"/>
              <w:rPr>
                <w:sz w:val="11"/>
                <w:szCs w:val="11"/>
                <w:color w:val="auto"/>
              </w:rPr>
            </w:pPr>
          </w:p>
        </w:tc>
        <w:tc>
          <w:tcPr>
            <w:tcW w:w="98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rPr>
              <w:t>Deductions</w:t>
            </w:r>
          </w:p>
        </w:tc>
        <w:tc>
          <w:tcPr>
            <w:tcW w:w="180" w:type="dxa"/>
            <w:vAlign w:val="bottom"/>
          </w:tcPr>
          <w:p>
            <w:pPr>
              <w:spacing w:after="0"/>
              <w:rPr>
                <w:sz w:val="11"/>
                <w:szCs w:val="11"/>
                <w:color w:val="auto"/>
              </w:rPr>
            </w:pPr>
          </w:p>
        </w:tc>
        <w:tc>
          <w:tcPr>
            <w:tcW w:w="840" w:type="dxa"/>
            <w:vAlign w:val="bottom"/>
          </w:tcPr>
          <w:p>
            <w:pPr>
              <w:jc w:val="right"/>
              <w:ind w:right="140"/>
              <w:spacing w:after="0" w:line="125" w:lineRule="exact"/>
              <w:rPr>
                <w:sz w:val="20"/>
                <w:szCs w:val="20"/>
                <w:color w:val="auto"/>
              </w:rPr>
            </w:pPr>
            <w:r>
              <w:rPr>
                <w:rFonts w:ascii="Arial" w:cs="Arial" w:eastAsia="Arial" w:hAnsi="Arial"/>
                <w:sz w:val="14"/>
                <w:szCs w:val="14"/>
                <w:b w:val="1"/>
                <w:bCs w:val="1"/>
                <w:color w:val="auto"/>
                <w:w w:val="98"/>
              </w:rPr>
              <w:t>of Period</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gridSpan w:val="3"/>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80" w:type="dxa"/>
            <w:vAlign w:val="bottom"/>
            <w:gridSpan w:val="3"/>
          </w:tcPr>
          <w:p>
            <w:pPr>
              <w:jc w:val="right"/>
              <w:ind w:right="681"/>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Year ended December 31, 2013:</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680" w:type="dxa"/>
            <w:vAlign w:val="bottom"/>
            <w:gridSpan w:val="2"/>
          </w:tcPr>
          <w:p>
            <w:pPr>
              <w:ind w:left="140"/>
              <w:spacing w:after="0"/>
              <w:rPr>
                <w:sz w:val="20"/>
                <w:szCs w:val="20"/>
                <w:color w:val="auto"/>
              </w:rPr>
            </w:pPr>
            <w:r>
              <w:rPr>
                <w:rFonts w:ascii="Arial" w:cs="Arial" w:eastAsia="Arial" w:hAnsi="Arial"/>
                <w:sz w:val="16"/>
                <w:szCs w:val="16"/>
                <w:color w:val="auto"/>
              </w:rPr>
              <w:t>Allowance for doubtful accounts and sales returns and allowances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7,221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3"/>
              <w:spacing w:after="0"/>
              <w:rPr>
                <w:sz w:val="20"/>
                <w:szCs w:val="20"/>
                <w:color w:val="auto"/>
              </w:rPr>
            </w:pPr>
            <w:r>
              <w:rPr>
                <w:rFonts w:ascii="Arial" w:cs="Arial" w:eastAsia="Arial" w:hAnsi="Arial"/>
                <w:sz w:val="16"/>
                <w:szCs w:val="16"/>
                <w:color w:val="auto"/>
              </w:rPr>
              <w:t>601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(1,628)</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6,194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Deferred tax asset valuation allowance</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14,243</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(4,497)</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9,032</w:t>
            </w:r>
          </w:p>
        </w:tc>
        <w:tc>
          <w:tcPr>
            <w:tcW w:w="0" w:type="dxa"/>
            <w:vAlign w:val="bottom"/>
          </w:tcPr>
          <w:p>
            <w:pPr>
              <w:spacing w:after="0"/>
              <w:rPr>
                <w:sz w:val="1"/>
                <w:szCs w:val="1"/>
                <w:color w:val="auto"/>
              </w:rPr>
            </w:pPr>
          </w:p>
        </w:tc>
      </w:tr>
      <w:tr>
        <w:trPr>
          <w:trHeight w:val="237"/>
        </w:trPr>
        <w:tc>
          <w:tcPr>
            <w:tcW w:w="5720" w:type="dxa"/>
            <w:vAlign w:val="bottom"/>
            <w:gridSpan w:val="3"/>
          </w:tcPr>
          <w:p>
            <w:pPr>
              <w:ind w:left="40"/>
              <w:spacing w:after="0"/>
              <w:rPr>
                <w:sz w:val="20"/>
                <w:szCs w:val="20"/>
                <w:color w:val="auto"/>
              </w:rPr>
            </w:pPr>
            <w:r>
              <w:rPr>
                <w:rFonts w:ascii="Arial" w:cs="Arial" w:eastAsia="Arial" w:hAnsi="Arial"/>
                <w:sz w:val="16"/>
                <w:szCs w:val="16"/>
                <w:color w:val="auto"/>
              </w:rPr>
              <w:t>Year ended December 31, 2012:</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Allowance for doubtful accounts and sales returns and allowances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6,978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1,315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7,221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680" w:type="dxa"/>
            <w:vAlign w:val="bottom"/>
            <w:gridSpan w:val="2"/>
          </w:tcPr>
          <w:p>
            <w:pPr>
              <w:ind w:left="140"/>
              <w:spacing w:after="0"/>
              <w:rPr>
                <w:sz w:val="20"/>
                <w:szCs w:val="20"/>
                <w:color w:val="auto"/>
              </w:rPr>
            </w:pPr>
            <w:r>
              <w:rPr>
                <w:rFonts w:ascii="Arial" w:cs="Arial" w:eastAsia="Arial" w:hAnsi="Arial"/>
                <w:sz w:val="16"/>
                <w:szCs w:val="16"/>
                <w:color w:val="auto"/>
              </w:rPr>
              <w:t>Deferred tax asset valuation allowance</w:t>
            </w:r>
          </w:p>
        </w:tc>
        <w:tc>
          <w:tcPr>
            <w:tcW w:w="12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32,304</w:t>
            </w:r>
          </w:p>
        </w:tc>
        <w:tc>
          <w:tcPr>
            <w:tcW w:w="260" w:type="dxa"/>
            <w:vAlign w:val="bottom"/>
          </w:tcPr>
          <w:p>
            <w:pPr>
              <w:spacing w:after="0"/>
              <w:rPr>
                <w:sz w:val="20"/>
                <w:szCs w:val="20"/>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(16,979)</w:t>
            </w:r>
          </w:p>
        </w:tc>
        <w:tc>
          <w:tcPr>
            <w:tcW w:w="240" w:type="dxa"/>
            <w:vAlign w:val="bottom"/>
          </w:tcPr>
          <w:p>
            <w:pPr>
              <w:spacing w:after="0"/>
              <w:rPr>
                <w:sz w:val="20"/>
                <w:szCs w:val="20"/>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477</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14,243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Year ended December 31, 2011: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680" w:type="dxa"/>
            <w:vAlign w:val="bottom"/>
            <w:gridSpan w:val="2"/>
          </w:tcPr>
          <w:p>
            <w:pPr>
              <w:ind w:left="140"/>
              <w:spacing w:after="0"/>
              <w:rPr>
                <w:sz w:val="20"/>
                <w:szCs w:val="20"/>
                <w:color w:val="auto"/>
              </w:rPr>
            </w:pPr>
            <w:r>
              <w:rPr>
                <w:rFonts w:ascii="Arial" w:cs="Arial" w:eastAsia="Arial" w:hAnsi="Arial"/>
                <w:sz w:val="16"/>
                <w:szCs w:val="16"/>
                <w:color w:val="auto"/>
              </w:rPr>
              <w:t>Allowance for doubtful accounts and sales returns and allowances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7,322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3"/>
              <w:spacing w:after="0"/>
              <w:rPr>
                <w:sz w:val="20"/>
                <w:szCs w:val="20"/>
                <w:color w:val="auto"/>
              </w:rPr>
            </w:pPr>
            <w:r>
              <w:rPr>
                <w:rFonts w:ascii="Arial" w:cs="Arial" w:eastAsia="Arial" w:hAnsi="Arial"/>
                <w:sz w:val="16"/>
                <w:szCs w:val="16"/>
                <w:color w:val="auto"/>
              </w:rPr>
              <w:t>1,118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(1,462)</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6,978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56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Deferred tax asset valuation allowance</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36,634</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127</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(4,238)</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32,304</w:t>
            </w:r>
          </w:p>
        </w:tc>
        <w:tc>
          <w:tcPr>
            <w:tcW w:w="0" w:type="dxa"/>
            <w:vAlign w:val="bottom"/>
          </w:tcPr>
          <w:p>
            <w:pPr>
              <w:spacing w:after="0"/>
              <w:rPr>
                <w:sz w:val="1"/>
                <w:szCs w:val="1"/>
                <w:color w:val="auto"/>
              </w:rPr>
            </w:pPr>
          </w:p>
        </w:tc>
      </w:tr>
      <w:tr>
        <w:trPr>
          <w:trHeight w:val="33"/>
        </w:trPr>
        <w:tc>
          <w:tcPr>
            <w:tcW w:w="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hanging="332"/>
        <w:spacing w:after="0" w:line="264" w:lineRule="auto"/>
        <w:tabs>
          <w:tab w:leader="none" w:pos="271"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2012, $0.5 million of deferred tax liability was reclassified to the valuation allowance with no impact to the consolidated statement of operations. In 2011, $4.2 million of the valuation allowance was reclassified to long-term taxes payable with no impact to the consolidated statements of operations. There were no such reclassification adjustments made during 2013.</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- 38</w:t>
      </w:r>
    </w:p>
    <w:p>
      <w:pPr>
        <w:sectPr>
          <w:pgSz w:w="11900" w:h="16838" w:orient="portrait"/>
          <w:cols w:equalWidth="0" w:num="1">
            <w:col w:w="11420"/>
          </w:cols>
          <w:pgMar w:left="240" w:top="121"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0580" w:type="dxa"/>
            <w:vAlign w:val="bottom"/>
          </w:tcPr>
          <w:p>
            <w:pPr>
              <w:ind w:left="4200"/>
              <w:spacing w:after="0"/>
              <w:rPr>
                <w:sz w:val="20"/>
                <w:szCs w:val="20"/>
                <w:color w:val="auto"/>
              </w:rPr>
            </w:pPr>
            <w:r>
              <w:rPr>
                <w:rFonts w:ascii="Arial" w:cs="Arial" w:eastAsia="Arial" w:hAnsi="Arial"/>
                <w:sz w:val="18"/>
                <w:szCs w:val="18"/>
                <w:b w:val="1"/>
                <w:bCs w:val="1"/>
                <w:color w:val="auto"/>
              </w:rPr>
              <w:t>EXHIBIT INDEX</w:t>
            </w:r>
          </w:p>
        </w:tc>
      </w:tr>
      <w:tr>
        <w:trPr>
          <w:trHeight w:val="445"/>
        </w:trPr>
        <w:tc>
          <w:tcPr>
            <w:tcW w:w="780" w:type="dxa"/>
            <w:vAlign w:val="bottom"/>
          </w:tcPr>
          <w:p>
            <w:pPr>
              <w:spacing w:after="0"/>
              <w:rPr>
                <w:sz w:val="20"/>
                <w:szCs w:val="20"/>
                <w:color w:val="auto"/>
              </w:rPr>
            </w:pPr>
            <w:r>
              <w:rPr>
                <w:rFonts w:ascii="Arial" w:cs="Arial" w:eastAsia="Arial" w:hAnsi="Arial"/>
                <w:sz w:val="18"/>
                <w:szCs w:val="18"/>
                <w:color w:val="auto"/>
              </w:rPr>
              <w:t>2.1</w:t>
            </w: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Stock Purchase Agreement, dated as of October 25, 2013, by and between Covidien Group S.A.R.L. and Integra LifeSciences Corporation</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(Incorporated by Reference to Exhibit 10.1 to the Company’s Current Report on Form 8-K filed on January 15, 2014)</w:t>
            </w:r>
          </w:p>
        </w:tc>
      </w:tr>
      <w:tr>
        <w:trPr>
          <w:trHeight w:val="445"/>
        </w:trPr>
        <w:tc>
          <w:tcPr>
            <w:tcW w:w="780" w:type="dxa"/>
            <w:vAlign w:val="bottom"/>
          </w:tcPr>
          <w:p>
            <w:pPr>
              <w:spacing w:after="0"/>
              <w:rPr>
                <w:sz w:val="20"/>
                <w:szCs w:val="20"/>
                <w:color w:val="auto"/>
              </w:rPr>
            </w:pPr>
            <w:r>
              <w:rPr>
                <w:rFonts w:ascii="Arial" w:cs="Arial" w:eastAsia="Arial" w:hAnsi="Arial"/>
                <w:sz w:val="18"/>
                <w:szCs w:val="18"/>
                <w:color w:val="auto"/>
              </w:rPr>
              <w:t>3.1(a)</w:t>
            </w: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Amended and Restated Certificate of Incorporation of the Company dated February 16, 1993 (Incorporated by reference to Exhibit 3.1(a) to</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the Company’s Annual Report on Form 10-K for the year ended December 31, 2005)</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3.1(b)</w:t>
            </w:r>
          </w:p>
        </w:tc>
        <w:tc>
          <w:tcPr>
            <w:tcW w:w="10580" w:type="dxa"/>
            <w:vAlign w:val="bottom"/>
          </w:tcPr>
          <w:p>
            <w:pPr>
              <w:ind w:left="360"/>
              <w:spacing w:after="0"/>
              <w:rPr>
                <w:sz w:val="20"/>
                <w:szCs w:val="20"/>
                <w:color w:val="auto"/>
              </w:rPr>
            </w:pPr>
            <w:r>
              <w:rPr>
                <w:rFonts w:ascii="Arial" w:cs="Arial" w:eastAsia="Arial" w:hAnsi="Arial"/>
                <w:sz w:val="18"/>
                <w:szCs w:val="18"/>
                <w:color w:val="auto"/>
                <w:w w:val="95"/>
              </w:rPr>
              <w:t>Certificate of Amendment to Amended and Restated Certificate of Incorporation of the Company dated May 22, 1998 (Incorporated by</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reference to Exhibit 3.1(b) to the Company’s Annual Report on Form 10-K for the year ended December 31, 1998)</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3.1(c)</w:t>
            </w:r>
          </w:p>
        </w:tc>
        <w:tc>
          <w:tcPr>
            <w:tcW w:w="10580" w:type="dxa"/>
            <w:vAlign w:val="bottom"/>
          </w:tcPr>
          <w:p>
            <w:pPr>
              <w:ind w:left="360"/>
              <w:spacing w:after="0"/>
              <w:rPr>
                <w:sz w:val="20"/>
                <w:szCs w:val="20"/>
                <w:color w:val="auto"/>
              </w:rPr>
            </w:pPr>
            <w:r>
              <w:rPr>
                <w:rFonts w:ascii="Arial" w:cs="Arial" w:eastAsia="Arial" w:hAnsi="Arial"/>
                <w:sz w:val="18"/>
                <w:szCs w:val="18"/>
                <w:color w:val="auto"/>
                <w:w w:val="95"/>
              </w:rPr>
              <w:t>Certificate of Amendment to Amended and Restated Certificate of Incorporation of the Company dated May 17, 1999 (Incorporated by</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reference to Exhibit 3.1(c) to the Company’s Annual Report on Form 10-K for the year ended December 31, 2004)</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3.2</w:t>
            </w: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Amended and Restated Bylaws of the Company, effective as of May 17, 2012 (Incorporated by reference to Exhibit 3.2 to the Company’s</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Current Report on Form 8-K filed on April 13, 2012)</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4.1</w:t>
            </w: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Purchase Agreement, dated June 9, 2011, by and between Integra LifeSciences Holdings Corporation and J.P. Morgan Securities LLC,</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Merrill Lynch, Pierce, Fenner &amp; Smith Incorporated, Morgan Stanley &amp; Co. LLC, Deutsche Bank Securities Inc., RBC Capital Markets, LLC</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and Wells Fargo Securities, LLC (Incorporated by reference to Exhibit 4.1 to the Company’s Current Report on Form 8-K filed on June 15,</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2011)</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4.2</w:t>
            </w:r>
          </w:p>
        </w:tc>
        <w:tc>
          <w:tcPr>
            <w:tcW w:w="10580" w:type="dxa"/>
            <w:vAlign w:val="bottom"/>
          </w:tcPr>
          <w:p>
            <w:pPr>
              <w:ind w:left="360"/>
              <w:spacing w:after="0"/>
              <w:rPr>
                <w:sz w:val="20"/>
                <w:szCs w:val="20"/>
                <w:color w:val="auto"/>
              </w:rPr>
            </w:pPr>
            <w:r>
              <w:rPr>
                <w:rFonts w:ascii="Arial" w:cs="Arial" w:eastAsia="Arial" w:hAnsi="Arial"/>
                <w:sz w:val="18"/>
                <w:szCs w:val="18"/>
                <w:color w:val="auto"/>
                <w:w w:val="91"/>
              </w:rPr>
              <w:t>Indenture, dated June 15, 2011, by and between Integra LifeSciences Holdings Corporation and Wells Fargo Bank, National Association, as</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trustee (Incorporated by reference to Exhibit 4.2 to the Company’s Current Report on Form 8-K filed on June 15, 2011)</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4.3(a)</w:t>
            </w: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Credit Agreement, dated as of December 22, 2005, among Integra LifeSciences Holdings Corporation, the lenders party thereto, Bank of</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America, N.A., as Administrative Agent, Swing Line Lender and L/C Issuer, Citibank FSB and SunTrust Bank, as Co-Syndication Agents,</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and Royal Bank of Canada and Wachovia Bank, National Association, as Co-Documentation Agents (Incorporated by reference to Exhibit</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10.1 to the Company’s Current Report on Form 8-K filed on December 29, 2005)</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4.3(b)</w:t>
            </w:r>
          </w:p>
        </w:tc>
        <w:tc>
          <w:tcPr>
            <w:tcW w:w="10580" w:type="dxa"/>
            <w:vAlign w:val="bottom"/>
          </w:tcPr>
          <w:p>
            <w:pPr>
              <w:ind w:left="360"/>
              <w:spacing w:after="0"/>
              <w:rPr>
                <w:sz w:val="20"/>
                <w:szCs w:val="20"/>
                <w:color w:val="auto"/>
              </w:rPr>
            </w:pPr>
            <w:r>
              <w:rPr>
                <w:rFonts w:ascii="Arial" w:cs="Arial" w:eastAsia="Arial" w:hAnsi="Arial"/>
                <w:sz w:val="18"/>
                <w:szCs w:val="18"/>
                <w:color w:val="auto"/>
                <w:w w:val="95"/>
              </w:rPr>
              <w:t>First Amendment, dated as of February 15, 2006, among Integra LifeSciences Holdings Corporation, the lenders party thereto, Bank of</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America, N.A., as Administrative Agent, Swing Line Lender and L/C Issuer, Citibank FSB and SunTrust Bank, as Co-Syndication Agents,</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and Royal Bank of Canada and Wachovia Bank, National Association, as Co-Documentation Agents (Incorporated by reference to Exhibit</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4.3(b) to the Company’s Annual Report on Form 10-K for the year ended December 31, 2005)</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4.3(c)</w:t>
            </w: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Second Amendment, dated as of February 23, 2007, among Integra LifeSciences Holdings Corporation, the lenders party thereto, Bank of</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America, N.A., as Administrative Agent, Swing Line Lender and L/C Issuer, Citibank FSB and SunTrust Bank, as Co-Syndication Agents,</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and Royal Bank of Canada and Wachovia Bank, National Association, as Co-Documentation Agents (Incorporated by reference to Exhibit</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4.1 to the Company’s Current Report on Form 8-K filed on February 27, 2007)</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4.3(d)</w:t>
            </w:r>
          </w:p>
        </w:tc>
        <w:tc>
          <w:tcPr>
            <w:tcW w:w="10580" w:type="dxa"/>
            <w:vAlign w:val="bottom"/>
          </w:tcPr>
          <w:p>
            <w:pPr>
              <w:ind w:left="360"/>
              <w:spacing w:after="0"/>
              <w:rPr>
                <w:sz w:val="20"/>
                <w:szCs w:val="20"/>
                <w:color w:val="auto"/>
              </w:rPr>
            </w:pPr>
            <w:r>
              <w:rPr>
                <w:rFonts w:ascii="Arial" w:cs="Arial" w:eastAsia="Arial" w:hAnsi="Arial"/>
                <w:sz w:val="18"/>
                <w:szCs w:val="18"/>
                <w:color w:val="auto"/>
                <w:w w:val="91"/>
              </w:rPr>
              <w:t>Third Amendment, dated as of June 4, 2007, among Integra LifeSciences Holdings Corporation, the lenders party thereto, Bank of America,</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N.A., as Administrative Agent, Swing Line Lender and L/C Issuer, Citibank, N.A., successor by merger to Citibank, FSB, as Syndication</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0"/>
              </w:rPr>
              <w:t>Agent and JPMorgan Chase Bank, N.A., Deutsche Bank Trust Company Americas and Royal Bank of Canada, as Co-Documentation Agents</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(Incorporated by reference to Exhibit 4.1 to the Company’s Current Report on Form 8-K filed on June 6, 2007)</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4.3(e)</w:t>
            </w: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Fourth Amendment, dated as of September 5, 2007, among Integra LifeSciences Holdings Corporation, the lenders party thereto, Bank of</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7"/>
              </w:rPr>
              <w:t>America, N.A., as Administrative Agent, Swing Line Lender and L/C Issuer, Citibank, N.A., successor by merger to Citibank FSB, as</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8"/>
              </w:rPr>
              <w:t>Syndication Agent and JPMorgan Chase Bank, N.A., Deutsche Bank Trust Company Americas and Royal Bank of Canada, as Co-</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1"/>
              </w:rPr>
              <w:t>Documentation Agents (Incorporated by reference to Exhibit 4.1 to the Company’s Current Report on Form 8-K filed on September 6, 2007)</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4.3(f)</w:t>
            </w:r>
          </w:p>
        </w:tc>
        <w:tc>
          <w:tcPr>
            <w:tcW w:w="10580" w:type="dxa"/>
            <w:vAlign w:val="bottom"/>
          </w:tcPr>
          <w:p>
            <w:pPr>
              <w:ind w:left="360"/>
              <w:spacing w:after="0"/>
              <w:rPr>
                <w:sz w:val="20"/>
                <w:szCs w:val="20"/>
                <w:color w:val="auto"/>
              </w:rPr>
            </w:pPr>
            <w:r>
              <w:rPr>
                <w:rFonts w:ascii="Arial" w:cs="Arial" w:eastAsia="Arial" w:hAnsi="Arial"/>
                <w:sz w:val="18"/>
                <w:szCs w:val="18"/>
                <w:color w:val="auto"/>
                <w:w w:val="90"/>
              </w:rPr>
              <w:t>Amended and Restated Credit Agreement, dated as of August 10, 2010, among Integra LifeSciences Holdings Corporation, the lenders party</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thereto, Bank of America, N.A., as Administrative Agent, Swing Line Lender and L/C Issuer, JP Morgan Chase Bank, as Syndication Agent,</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and HSBC Bank USA, NA, RBC Capital Markets, Wells Fargo Bank, N.A., Fifth Third Bank, DNB NOR Bank ASA and TD Bank, N.A., as</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Co-Documentation Agents (Incorporated by reference to Exhibit 10.1 to the Company’s Current Report on Form 8-K filed on August 10,</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2010)</w:t>
            </w:r>
          </w:p>
        </w:tc>
      </w:tr>
    </w:tbl>
    <w:p>
      <w:pPr>
        <w:sectPr>
          <w:pgSz w:w="11900" w:h="16838" w:orient="portrait"/>
          <w:cols w:equalWidth="0" w:num="1">
            <w:col w:w="11360"/>
          </w:cols>
          <w:pgMar w:left="280" w:top="445" w:right="25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4.3(g)</w:t>
            </w:r>
          </w:p>
        </w:tc>
        <w:tc>
          <w:tcPr>
            <w:tcW w:w="10520" w:type="dxa"/>
            <w:vAlign w:val="bottom"/>
          </w:tcPr>
          <w:p>
            <w:pPr>
              <w:ind w:left="300"/>
              <w:spacing w:after="0"/>
              <w:rPr>
                <w:sz w:val="20"/>
                <w:szCs w:val="20"/>
                <w:color w:val="auto"/>
              </w:rPr>
            </w:pPr>
            <w:r>
              <w:rPr>
                <w:rFonts w:ascii="Arial" w:cs="Arial" w:eastAsia="Arial" w:hAnsi="Arial"/>
                <w:sz w:val="18"/>
                <w:szCs w:val="18"/>
                <w:color w:val="auto"/>
                <w:w w:val="91"/>
              </w:rPr>
              <w:t>Second Amended and Restated Credit Agreement, dated as of June 8, 2011, among Integra LifeSciences Holdings Corporation, the lenders</w:t>
            </w:r>
          </w:p>
        </w:tc>
      </w:tr>
      <w:tr>
        <w:trPr>
          <w:trHeight w:val="216"/>
        </w:trPr>
        <w:tc>
          <w:tcPr>
            <w:tcW w:w="840" w:type="dxa"/>
            <w:vAlign w:val="bottom"/>
          </w:tcPr>
          <w:p>
            <w:pPr>
              <w:spacing w:after="0"/>
              <w:rPr>
                <w:sz w:val="18"/>
                <w:szCs w:val="18"/>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w w:val="99"/>
              </w:rPr>
              <w:t>party thereto, Bank of America, N.A. as Administrative Agent, Swing Line Lender and L/C Issuer, JPMorgan Chase Bank N.A. as</w:t>
            </w:r>
          </w:p>
        </w:tc>
      </w:tr>
      <w:tr>
        <w:trPr>
          <w:trHeight w:val="216"/>
        </w:trPr>
        <w:tc>
          <w:tcPr>
            <w:tcW w:w="840" w:type="dxa"/>
            <w:vAlign w:val="bottom"/>
          </w:tcPr>
          <w:p>
            <w:pPr>
              <w:spacing w:after="0"/>
              <w:rPr>
                <w:sz w:val="18"/>
                <w:szCs w:val="18"/>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w w:val="94"/>
              </w:rPr>
              <w:t>Syndication Agent, and, HSBC Bank USA, NA, Royal Bank of Canada, Wells Fargo Bank, N.A., Fifth Third Bank, DNB NOR Bank ASA,</w:t>
            </w:r>
          </w:p>
        </w:tc>
      </w:tr>
      <w:tr>
        <w:trPr>
          <w:trHeight w:val="216"/>
        </w:trPr>
        <w:tc>
          <w:tcPr>
            <w:tcW w:w="840" w:type="dxa"/>
            <w:vAlign w:val="bottom"/>
          </w:tcPr>
          <w:p>
            <w:pPr>
              <w:spacing w:after="0"/>
              <w:rPr>
                <w:sz w:val="18"/>
                <w:szCs w:val="18"/>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w w:val="92"/>
              </w:rPr>
              <w:t>and TD Bank, N.A., as Co-Documentation Agents (Incorporated by reference to Exhibit 4.3 to the Company’s Quarterly Report on Form 10-</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Q filed on July 29, 2011)</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4.3(h)</w:t>
            </w:r>
          </w:p>
        </w:tc>
        <w:tc>
          <w:tcPr>
            <w:tcW w:w="10520" w:type="dxa"/>
            <w:vAlign w:val="bottom"/>
          </w:tcPr>
          <w:p>
            <w:pPr>
              <w:ind w:left="300"/>
              <w:spacing w:after="0"/>
              <w:rPr>
                <w:sz w:val="20"/>
                <w:szCs w:val="20"/>
                <w:color w:val="auto"/>
              </w:rPr>
            </w:pPr>
            <w:r>
              <w:rPr>
                <w:rFonts w:ascii="Arial" w:cs="Arial" w:eastAsia="Arial" w:hAnsi="Arial"/>
                <w:sz w:val="18"/>
                <w:szCs w:val="18"/>
                <w:color w:val="auto"/>
                <w:w w:val="91"/>
              </w:rPr>
              <w:t>First Amendment, dated as of May 11, 2012, to Second Amended and Restated Credit Agreement dated as of June 8, 2011, among Integra</w:t>
            </w:r>
          </w:p>
        </w:tc>
      </w:tr>
      <w:tr>
        <w:trPr>
          <w:trHeight w:val="216"/>
        </w:trPr>
        <w:tc>
          <w:tcPr>
            <w:tcW w:w="840" w:type="dxa"/>
            <w:vAlign w:val="bottom"/>
          </w:tcPr>
          <w:p>
            <w:pPr>
              <w:spacing w:after="0"/>
              <w:rPr>
                <w:sz w:val="18"/>
                <w:szCs w:val="18"/>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w w:val="93"/>
              </w:rPr>
              <w:t>LifeSciences Holdings Corporation, the lenders party thereto, Bank of America, N.A., as Administrative Agent, Swing Line Lender and L/C</w:t>
            </w:r>
          </w:p>
        </w:tc>
      </w:tr>
      <w:tr>
        <w:trPr>
          <w:trHeight w:val="216"/>
        </w:trPr>
        <w:tc>
          <w:tcPr>
            <w:tcW w:w="840" w:type="dxa"/>
            <w:vAlign w:val="bottom"/>
          </w:tcPr>
          <w:p>
            <w:pPr>
              <w:spacing w:after="0"/>
              <w:rPr>
                <w:sz w:val="18"/>
                <w:szCs w:val="18"/>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w w:val="95"/>
              </w:rPr>
              <w:t>Issuer, JPMorgan Chase Bank, N.A., as Syndication Agent, and HSBC Bank, NA, Royal Bank of Canada, Wells Fargo Bank, NA, Fifth</w:t>
            </w:r>
          </w:p>
        </w:tc>
      </w:tr>
      <w:tr>
        <w:trPr>
          <w:trHeight w:val="216"/>
        </w:trPr>
        <w:tc>
          <w:tcPr>
            <w:tcW w:w="840" w:type="dxa"/>
            <w:vAlign w:val="bottom"/>
          </w:tcPr>
          <w:p>
            <w:pPr>
              <w:spacing w:after="0"/>
              <w:rPr>
                <w:sz w:val="18"/>
                <w:szCs w:val="18"/>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w w:val="98"/>
              </w:rPr>
              <w:t>Third Bank, DNB Nor Bank ASA and TD Bank, N.A., as Co-Documentation Agents (Incorporated by reference to Exhibit 4.1 to the</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Company’s Current Report on Form 8-K filed on May 14, 2012)</w:t>
            </w: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4.3(i)</w:t>
            </w:r>
          </w:p>
        </w:tc>
        <w:tc>
          <w:tcPr>
            <w:tcW w:w="10520" w:type="dxa"/>
            <w:vAlign w:val="bottom"/>
          </w:tcPr>
          <w:p>
            <w:pPr>
              <w:ind w:left="300"/>
              <w:spacing w:after="0"/>
              <w:rPr>
                <w:sz w:val="20"/>
                <w:szCs w:val="20"/>
                <w:color w:val="auto"/>
              </w:rPr>
            </w:pPr>
            <w:r>
              <w:rPr>
                <w:rFonts w:ascii="Arial" w:cs="Arial" w:eastAsia="Arial" w:hAnsi="Arial"/>
                <w:sz w:val="18"/>
                <w:szCs w:val="18"/>
                <w:color w:val="auto"/>
                <w:w w:val="89"/>
              </w:rPr>
              <w:t>Second Amendment, dated as of June 21, 2013, to Second Amended and Restated Credit Agreement dated as of June 8, 2011, among Integra</w:t>
            </w:r>
          </w:p>
        </w:tc>
      </w:tr>
      <w:tr>
        <w:trPr>
          <w:trHeight w:val="216"/>
        </w:trPr>
        <w:tc>
          <w:tcPr>
            <w:tcW w:w="840" w:type="dxa"/>
            <w:vAlign w:val="bottom"/>
          </w:tcPr>
          <w:p>
            <w:pPr>
              <w:spacing w:after="0"/>
              <w:rPr>
                <w:sz w:val="18"/>
                <w:szCs w:val="18"/>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w w:val="93"/>
              </w:rPr>
              <w:t>LifeSciences Holdings Corporation, the lenders party thereto, Bank of America, N.A., as Administrative Agent, Swing Line Lender and L/C</w:t>
            </w:r>
          </w:p>
        </w:tc>
      </w:tr>
      <w:tr>
        <w:trPr>
          <w:trHeight w:val="216"/>
        </w:trPr>
        <w:tc>
          <w:tcPr>
            <w:tcW w:w="840" w:type="dxa"/>
            <w:vAlign w:val="bottom"/>
          </w:tcPr>
          <w:p>
            <w:pPr>
              <w:spacing w:after="0"/>
              <w:rPr>
                <w:sz w:val="18"/>
                <w:szCs w:val="18"/>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w w:val="95"/>
              </w:rPr>
              <w:t>Issuer, JPMorgan Chase Bank, N.A., as Syndication Agent, and HSBC Bank USA, National Association, Royal Bank of Canada, Wells</w:t>
            </w:r>
          </w:p>
        </w:tc>
      </w:tr>
      <w:tr>
        <w:trPr>
          <w:trHeight w:val="216"/>
        </w:trPr>
        <w:tc>
          <w:tcPr>
            <w:tcW w:w="840" w:type="dxa"/>
            <w:vAlign w:val="bottom"/>
          </w:tcPr>
          <w:p>
            <w:pPr>
              <w:spacing w:after="0"/>
              <w:rPr>
                <w:sz w:val="18"/>
                <w:szCs w:val="18"/>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w w:val="94"/>
              </w:rPr>
              <w:t>Fargo Bank, National Association, Fifth Third Bank, DNB Bank ASA and TD Bank, N.A., as Co-Documentation Agents (Incorporated by</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reference to Exhibit 4.1 to the Company's Current Report on Form 8-K filed on June 24, 2013)</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4.4</w:t>
            </w:r>
          </w:p>
        </w:tc>
        <w:tc>
          <w:tcPr>
            <w:tcW w:w="10520" w:type="dxa"/>
            <w:vAlign w:val="bottom"/>
          </w:tcPr>
          <w:p>
            <w:pPr>
              <w:ind w:left="300"/>
              <w:spacing w:after="0"/>
              <w:rPr>
                <w:sz w:val="20"/>
                <w:szCs w:val="20"/>
                <w:color w:val="auto"/>
              </w:rPr>
            </w:pPr>
            <w:r>
              <w:rPr>
                <w:rFonts w:ascii="Arial" w:cs="Arial" w:eastAsia="Arial" w:hAnsi="Arial"/>
                <w:sz w:val="18"/>
                <w:szCs w:val="18"/>
                <w:color w:val="auto"/>
                <w:w w:val="93"/>
              </w:rPr>
              <w:t>Security Agreement, dated as of December 22, 2005, among Integra LifeSciences Holdings Corporation and the additional grantors party</w:t>
            </w:r>
          </w:p>
        </w:tc>
      </w:tr>
      <w:tr>
        <w:trPr>
          <w:trHeight w:val="216"/>
        </w:trPr>
        <w:tc>
          <w:tcPr>
            <w:tcW w:w="840" w:type="dxa"/>
            <w:vAlign w:val="bottom"/>
          </w:tcPr>
          <w:p>
            <w:pPr>
              <w:spacing w:after="0"/>
              <w:rPr>
                <w:sz w:val="18"/>
                <w:szCs w:val="18"/>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w w:val="92"/>
              </w:rPr>
              <w:t>thereto in favor of Bank of America, N.A., as administrative and collateral agent (Incorporated by reference to Exhibit 4.4 to the Company’s</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Annual Report on Form 10-K for the year ended December 31, 2005)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4.5</w:t>
            </w:r>
          </w:p>
        </w:tc>
        <w:tc>
          <w:tcPr>
            <w:tcW w:w="10520" w:type="dxa"/>
            <w:vAlign w:val="bottom"/>
          </w:tcPr>
          <w:p>
            <w:pPr>
              <w:ind w:left="300"/>
              <w:spacing w:after="0"/>
              <w:rPr>
                <w:sz w:val="20"/>
                <w:szCs w:val="20"/>
                <w:color w:val="auto"/>
              </w:rPr>
            </w:pPr>
            <w:r>
              <w:rPr>
                <w:rFonts w:ascii="Arial" w:cs="Arial" w:eastAsia="Arial" w:hAnsi="Arial"/>
                <w:sz w:val="18"/>
                <w:szCs w:val="18"/>
                <w:color w:val="auto"/>
                <w:w w:val="94"/>
              </w:rPr>
              <w:t>Pledge Agreement, dated as of December 22, 2005, among Integra LifeSciences Holdings Corporation and the additional grantors party</w:t>
            </w:r>
          </w:p>
        </w:tc>
      </w:tr>
      <w:tr>
        <w:trPr>
          <w:trHeight w:val="216"/>
        </w:trPr>
        <w:tc>
          <w:tcPr>
            <w:tcW w:w="840" w:type="dxa"/>
            <w:vAlign w:val="bottom"/>
          </w:tcPr>
          <w:p>
            <w:pPr>
              <w:spacing w:after="0"/>
              <w:rPr>
                <w:sz w:val="18"/>
                <w:szCs w:val="18"/>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w w:val="92"/>
              </w:rPr>
              <w:t>thereto in favor of Bank of America, N.A., as administrative and collateral agent (Incorporated by reference to Exhibit 4.5 to the Company’s</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Annual Report on Form 10-K for the year ended December 31, 2005)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4.6</w:t>
            </w:r>
          </w:p>
        </w:tc>
        <w:tc>
          <w:tcPr>
            <w:tcW w:w="10520" w:type="dxa"/>
            <w:vAlign w:val="bottom"/>
          </w:tcPr>
          <w:p>
            <w:pPr>
              <w:ind w:left="300"/>
              <w:spacing w:after="0"/>
              <w:rPr>
                <w:sz w:val="20"/>
                <w:szCs w:val="20"/>
                <w:color w:val="auto"/>
              </w:rPr>
            </w:pPr>
            <w:r>
              <w:rPr>
                <w:rFonts w:ascii="Arial" w:cs="Arial" w:eastAsia="Arial" w:hAnsi="Arial"/>
                <w:sz w:val="18"/>
                <w:szCs w:val="18"/>
                <w:color w:val="auto"/>
                <w:w w:val="92"/>
              </w:rPr>
              <w:t>Subsidiary Guaranty Agreement, dated as of December 22, 2005, among the guarantors party thereto and individually as a “Guarantor”), in</w:t>
            </w:r>
          </w:p>
        </w:tc>
      </w:tr>
      <w:tr>
        <w:trPr>
          <w:trHeight w:val="216"/>
        </w:trPr>
        <w:tc>
          <w:tcPr>
            <w:tcW w:w="840" w:type="dxa"/>
            <w:vAlign w:val="bottom"/>
          </w:tcPr>
          <w:p>
            <w:pPr>
              <w:spacing w:after="0"/>
              <w:rPr>
                <w:sz w:val="18"/>
                <w:szCs w:val="18"/>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w w:val="94"/>
              </w:rPr>
              <w:t>favor of Bank of America, N.A., as administrative and collateral agent (Incorporated by reference to Exhibit 4.6 to the Company’s Annual</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Report on Form 10-K for the year ended December 31, 2005)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4.7</w:t>
            </w:r>
          </w:p>
        </w:tc>
        <w:tc>
          <w:tcPr>
            <w:tcW w:w="10520" w:type="dxa"/>
            <w:vAlign w:val="bottom"/>
          </w:tcPr>
          <w:p>
            <w:pPr>
              <w:ind w:left="300"/>
              <w:spacing w:after="0"/>
              <w:rPr>
                <w:sz w:val="20"/>
                <w:szCs w:val="20"/>
                <w:color w:val="auto"/>
              </w:rPr>
            </w:pPr>
            <w:r>
              <w:rPr>
                <w:rFonts w:ascii="Arial" w:cs="Arial" w:eastAsia="Arial" w:hAnsi="Arial"/>
                <w:sz w:val="18"/>
                <w:szCs w:val="18"/>
                <w:color w:val="auto"/>
                <w:w w:val="91"/>
              </w:rPr>
              <w:t>Indenture, dated June 11, 2007, among Integra LifeSciences Holdings Corporation, Integra LifeSciences Corporation and Wells Fargo Bank,</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N.A., as trustee (Incorporated by reference to Exhibit 4.1 to the Company’s Current Report on Form 8-K filed on June 12, 2007)</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4.8</w:t>
            </w:r>
          </w:p>
        </w:tc>
        <w:tc>
          <w:tcPr>
            <w:tcW w:w="10520" w:type="dxa"/>
            <w:vAlign w:val="bottom"/>
          </w:tcPr>
          <w:p>
            <w:pPr>
              <w:ind w:left="300"/>
              <w:spacing w:after="0"/>
              <w:rPr>
                <w:sz w:val="20"/>
                <w:szCs w:val="20"/>
                <w:color w:val="auto"/>
              </w:rPr>
            </w:pPr>
            <w:r>
              <w:rPr>
                <w:rFonts w:ascii="Arial" w:cs="Arial" w:eastAsia="Arial" w:hAnsi="Arial"/>
                <w:sz w:val="18"/>
                <w:szCs w:val="18"/>
                <w:color w:val="auto"/>
                <w:w w:val="96"/>
              </w:rPr>
              <w:t>Form of 2.75% Senior Convertible Note due 2010 (included in Exhibit 4.8) (Incorporated by reference to Exhibit B to Exhibit 4.1 to the</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Company’s Current Report on Form 8-K filed on June 12, 2007)</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4.9</w:t>
            </w:r>
          </w:p>
        </w:tc>
        <w:tc>
          <w:tcPr>
            <w:tcW w:w="10520" w:type="dxa"/>
            <w:vAlign w:val="bottom"/>
          </w:tcPr>
          <w:p>
            <w:pPr>
              <w:ind w:left="300"/>
              <w:spacing w:after="0"/>
              <w:rPr>
                <w:sz w:val="20"/>
                <w:szCs w:val="20"/>
                <w:color w:val="auto"/>
              </w:rPr>
            </w:pPr>
            <w:r>
              <w:rPr>
                <w:rFonts w:ascii="Arial" w:cs="Arial" w:eastAsia="Arial" w:hAnsi="Arial"/>
                <w:sz w:val="18"/>
                <w:szCs w:val="18"/>
                <w:color w:val="auto"/>
                <w:w w:val="91"/>
              </w:rPr>
              <w:t>Indenture, dated June 11, 2007, among Integra LifeSciences Holdings Corporation, Integra LifeSciences Corporation and Wells Fargo Bank,</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N.A., as trustee (Incorporated by reference to Exhibit 4.3 to the Company’s Current Report on Form 8-K filed on June 12, 2007)</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4.10</w:t>
            </w:r>
          </w:p>
        </w:tc>
        <w:tc>
          <w:tcPr>
            <w:tcW w:w="10520" w:type="dxa"/>
            <w:vAlign w:val="bottom"/>
          </w:tcPr>
          <w:p>
            <w:pPr>
              <w:ind w:left="300"/>
              <w:spacing w:after="0"/>
              <w:rPr>
                <w:sz w:val="20"/>
                <w:szCs w:val="20"/>
                <w:color w:val="auto"/>
              </w:rPr>
            </w:pPr>
            <w:r>
              <w:rPr>
                <w:rFonts w:ascii="Arial" w:cs="Arial" w:eastAsia="Arial" w:hAnsi="Arial"/>
                <w:sz w:val="18"/>
                <w:szCs w:val="18"/>
                <w:color w:val="auto"/>
                <w:w w:val="94"/>
              </w:rPr>
              <w:t>Form of 2.375% Senior Convertible Note due 2012 (included in Exhibit 4.10) (Incorporated by reference to Exhibit B to Exhibit 4.3 to the</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Company’s Current Report on Form 8-K filed on June 12, 2007)</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4.11</w:t>
            </w:r>
          </w:p>
        </w:tc>
        <w:tc>
          <w:tcPr>
            <w:tcW w:w="10520" w:type="dxa"/>
            <w:vAlign w:val="bottom"/>
          </w:tcPr>
          <w:p>
            <w:pPr>
              <w:ind w:left="300"/>
              <w:spacing w:after="0"/>
              <w:rPr>
                <w:sz w:val="20"/>
                <w:szCs w:val="20"/>
                <w:color w:val="auto"/>
              </w:rPr>
            </w:pPr>
            <w:r>
              <w:rPr>
                <w:rFonts w:ascii="Arial" w:cs="Arial" w:eastAsia="Arial" w:hAnsi="Arial"/>
                <w:sz w:val="18"/>
                <w:szCs w:val="18"/>
                <w:color w:val="auto"/>
                <w:w w:val="93"/>
              </w:rPr>
              <w:t>Registration Rights Agreement, dated June 11, 2007, among Integra LifeSciences Holdings Corporation, Banc of America Securities LLC,</w:t>
            </w:r>
          </w:p>
        </w:tc>
      </w:tr>
      <w:tr>
        <w:trPr>
          <w:trHeight w:val="216"/>
        </w:trPr>
        <w:tc>
          <w:tcPr>
            <w:tcW w:w="840" w:type="dxa"/>
            <w:vAlign w:val="bottom"/>
          </w:tcPr>
          <w:p>
            <w:pPr>
              <w:spacing w:after="0"/>
              <w:rPr>
                <w:sz w:val="18"/>
                <w:szCs w:val="18"/>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w w:val="93"/>
              </w:rPr>
              <w:t>J.P. Morgan Securities Inc. and Morgan Stanley &amp; Co., Incorporated, as representatives of the several initial purchasers (Incorporated by</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reference to Exhibit 4.5 to the Company’s Current Report on Form 8-K filed on June 12, 2007)</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4.12</w:t>
            </w:r>
          </w:p>
        </w:tc>
        <w:tc>
          <w:tcPr>
            <w:tcW w:w="10520" w:type="dxa"/>
            <w:vAlign w:val="bottom"/>
          </w:tcPr>
          <w:p>
            <w:pPr>
              <w:ind w:left="300"/>
              <w:spacing w:after="0"/>
              <w:rPr>
                <w:sz w:val="20"/>
                <w:szCs w:val="20"/>
                <w:color w:val="auto"/>
              </w:rPr>
            </w:pPr>
            <w:r>
              <w:rPr>
                <w:rFonts w:ascii="Arial" w:cs="Arial" w:eastAsia="Arial" w:hAnsi="Arial"/>
                <w:sz w:val="18"/>
                <w:szCs w:val="18"/>
                <w:color w:val="auto"/>
                <w:w w:val="93"/>
              </w:rPr>
              <w:t>Registration Rights Agreement, dated June 11, 2007, among Integra LifeSciences Holdings Corporation, Banc of America Securities LLC,</w:t>
            </w:r>
          </w:p>
        </w:tc>
      </w:tr>
      <w:tr>
        <w:trPr>
          <w:trHeight w:val="216"/>
        </w:trPr>
        <w:tc>
          <w:tcPr>
            <w:tcW w:w="840" w:type="dxa"/>
            <w:vAlign w:val="bottom"/>
          </w:tcPr>
          <w:p>
            <w:pPr>
              <w:spacing w:after="0"/>
              <w:rPr>
                <w:sz w:val="18"/>
                <w:szCs w:val="18"/>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w w:val="93"/>
              </w:rPr>
              <w:t>J.P. Morgan Securities Inc. and Morgan Stanley &amp; Co., Incorporated, as representatives of the several initial purchasers (Incorporated by</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reference to Exhibit 4.6 to the Company’s Current Report on Form 8-K filed on June 12, 2007)</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10.1(a)</w:t>
            </w:r>
          </w:p>
        </w:tc>
        <w:tc>
          <w:tcPr>
            <w:tcW w:w="10520" w:type="dxa"/>
            <w:vAlign w:val="bottom"/>
          </w:tcPr>
          <w:p>
            <w:pPr>
              <w:ind w:left="300"/>
              <w:spacing w:after="0"/>
              <w:rPr>
                <w:sz w:val="20"/>
                <w:szCs w:val="20"/>
                <w:color w:val="auto"/>
              </w:rPr>
            </w:pPr>
            <w:r>
              <w:rPr>
                <w:rFonts w:ascii="Arial" w:cs="Arial" w:eastAsia="Arial" w:hAnsi="Arial"/>
                <w:sz w:val="18"/>
                <w:szCs w:val="18"/>
                <w:color w:val="auto"/>
                <w:w w:val="92"/>
              </w:rPr>
              <w:t>Lease between Plainsboro Associates and American Biomaterials Corporation dated as of April 16, 1985, as assigned to Colla-Tec, Inc. on</w:t>
            </w:r>
          </w:p>
        </w:tc>
      </w:tr>
      <w:tr>
        <w:trPr>
          <w:trHeight w:val="216"/>
        </w:trPr>
        <w:tc>
          <w:tcPr>
            <w:tcW w:w="840" w:type="dxa"/>
            <w:vAlign w:val="bottom"/>
          </w:tcPr>
          <w:p>
            <w:pPr>
              <w:spacing w:after="0"/>
              <w:rPr>
                <w:sz w:val="18"/>
                <w:szCs w:val="18"/>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w w:val="94"/>
              </w:rPr>
              <w:t>September 30, 1988 and as amended on November 1, 1992 as Lease Modification #1 (Incorporated by reference to Exhibit 10.30 to the</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Company’s Registration Statement on Form 10/A (File No. 0-26224) which became effective on August 8, 1995)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10.1(b)</w:t>
            </w:r>
          </w:p>
        </w:tc>
        <w:tc>
          <w:tcPr>
            <w:tcW w:w="10520" w:type="dxa"/>
            <w:vAlign w:val="bottom"/>
          </w:tcPr>
          <w:p>
            <w:pPr>
              <w:ind w:left="300"/>
              <w:spacing w:after="0"/>
              <w:rPr>
                <w:sz w:val="20"/>
                <w:szCs w:val="20"/>
                <w:color w:val="auto"/>
              </w:rPr>
            </w:pPr>
            <w:r>
              <w:rPr>
                <w:rFonts w:ascii="Arial" w:cs="Arial" w:eastAsia="Arial" w:hAnsi="Arial"/>
                <w:sz w:val="18"/>
                <w:szCs w:val="18"/>
                <w:color w:val="auto"/>
                <w:w w:val="94"/>
              </w:rPr>
              <w:t>Lease Modification #2 entered into as of October 28, 2005, by and between Plainsboro Associates and Integra LifeSciences Corporation</w:t>
            </w:r>
          </w:p>
        </w:tc>
      </w:tr>
      <w:tr>
        <w:trPr>
          <w:trHeight w:val="230"/>
        </w:trPr>
        <w:tc>
          <w:tcPr>
            <w:tcW w:w="840" w:type="dxa"/>
            <w:vAlign w:val="bottom"/>
          </w:tcPr>
          <w:p>
            <w:pPr>
              <w:spacing w:after="0"/>
              <w:rPr>
                <w:sz w:val="20"/>
                <w:szCs w:val="20"/>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(Incorporated by reference to Exhibit 10.1 to the Company’s Current Report on Form 8-K filed on November 2, 2005)</w:t>
            </w:r>
          </w:p>
        </w:tc>
      </w:tr>
    </w:tbl>
    <w:p>
      <w:pPr>
        <w:sectPr>
          <w:pgSz w:w="11900" w:h="16838" w:orient="portrait"/>
          <w:cols w:equalWidth="0" w:num="1">
            <w:col w:w="11360"/>
          </w:cols>
          <w:pgMar w:left="280" w:top="530" w:right="25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10.1(c)</w:t>
            </w:r>
          </w:p>
        </w:tc>
        <w:tc>
          <w:tcPr>
            <w:tcW w:w="10480" w:type="dxa"/>
            <w:vAlign w:val="bottom"/>
          </w:tcPr>
          <w:p>
            <w:pPr>
              <w:ind w:left="260"/>
              <w:spacing w:after="0"/>
              <w:rPr>
                <w:sz w:val="20"/>
                <w:szCs w:val="20"/>
                <w:color w:val="auto"/>
              </w:rPr>
            </w:pPr>
            <w:r>
              <w:rPr>
                <w:rFonts w:ascii="Arial" w:cs="Arial" w:eastAsia="Arial" w:hAnsi="Arial"/>
                <w:sz w:val="18"/>
                <w:szCs w:val="18"/>
                <w:color w:val="auto"/>
                <w:w w:val="96"/>
              </w:rPr>
              <w:t>Lease Modification #3 entered into as of March 2, 2011, by and between Plainsboro Associates and Integra LifeSciences Corporation</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(Incorporated by reference to Exhibit 10.1 to the Company’s Current Report on Form 8-K filed on March 3,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 (a)</w:t>
            </w:r>
          </w:p>
        </w:tc>
        <w:tc>
          <w:tcPr>
            <w:tcW w:w="10480" w:type="dxa"/>
            <w:vAlign w:val="bottom"/>
          </w:tcPr>
          <w:p>
            <w:pPr>
              <w:ind w:left="260"/>
              <w:spacing w:after="0"/>
              <w:rPr>
                <w:sz w:val="20"/>
                <w:szCs w:val="20"/>
                <w:color w:val="auto"/>
              </w:rPr>
            </w:pPr>
            <w:r>
              <w:rPr>
                <w:rFonts w:ascii="Arial" w:cs="Arial" w:eastAsia="Arial" w:hAnsi="Arial"/>
                <w:sz w:val="18"/>
                <w:szCs w:val="18"/>
                <w:color w:val="auto"/>
                <w:w w:val="90"/>
              </w:rPr>
              <w:t>Equipment Lease Agreement between Medicus Corporation and the Company, dated as of June 1, 2000 (Incorporated by reference to Exhibit</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10.1 to the Company’s Quarterly Report on Form 10-Q for the quarter ended June 30, 2000)</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10.2(b)</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First Amendment to Equipment Lease Agreement between Medicus Corporation and the Company, dated as of June 29, 2010 (Incorporated</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by reference to Exhibit 10.2 to the Company’s Quarterly Report on Form 10-Q for the quarter ended June 30, 2010)</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Form of Indemnification Agreement between the Company and [ ] dated August 16, 1995, including a schedule identifying the individuals</w:t>
            </w:r>
          </w:p>
        </w:tc>
      </w:tr>
      <w:tr>
        <w:trPr>
          <w:trHeight w:val="216"/>
        </w:trPr>
        <w:tc>
          <w:tcPr>
            <w:tcW w:w="88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that are a party to such Indemnification Agreements (Incorporated by reference to Exhibit 10.37 to the Company’s Registration Statement on</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Form S-1 (File No. 33-98698) which became effective on January 24, 1996)*</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1996 Incentive Stock Option and Non-Qualified Stock Option Plan (as amended through December 27, 1997) (Incorporated by reference to</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Exhibit 10.4 to the Company’s Current Report on Form 8-K filed on February 3, 1998)*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1998 Stock Option Plan (amended and restated as of July 26, 2005) (Incorporated by reference to Exhibit 10.3 to the Company’s Quarterly</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Report on Form 10-Q for the quarter ended September 30, 2005)*</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1999 Stock Option Plan (amended and restated as of July 26, 2005) (Incorporated by reference to Exhibit 10.4 to the Company’s Quarterly</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Report on Form 10-Q for the quarter ended September 30, 2005)*</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10.7(a)</w:t>
            </w:r>
          </w:p>
        </w:tc>
        <w:tc>
          <w:tcPr>
            <w:tcW w:w="10480" w:type="dxa"/>
            <w:vAlign w:val="bottom"/>
          </w:tcPr>
          <w:p>
            <w:pPr>
              <w:ind w:left="260"/>
              <w:spacing w:after="0"/>
              <w:rPr>
                <w:sz w:val="20"/>
                <w:szCs w:val="20"/>
                <w:color w:val="auto"/>
              </w:rPr>
            </w:pPr>
            <w:r>
              <w:rPr>
                <w:rFonts w:ascii="Arial" w:cs="Arial" w:eastAsia="Arial" w:hAnsi="Arial"/>
                <w:sz w:val="18"/>
                <w:szCs w:val="18"/>
                <w:color w:val="auto"/>
                <w:w w:val="94"/>
              </w:rPr>
              <w:t>Employee Stock Purchase Plan (as amended on May 17, 2004) (Incorporated by reference to Exhibit 4.1 to the Company’s Registration</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Statement on Form S-8 (Registration No. 333-127488) filed on August 12, 2005)*</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10.7(b)</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First Amendment to Employee Stock Purchase Plan, dated October 26, 2005 (Incorporated by reference to Exhibit 10.1 to the Company’s</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Current Report on Form 8-K filed on November 1, 2005)*</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10.8(a)</w:t>
            </w:r>
          </w:p>
        </w:tc>
        <w:tc>
          <w:tcPr>
            <w:tcW w:w="10480" w:type="dxa"/>
            <w:vAlign w:val="bottom"/>
          </w:tcPr>
          <w:p>
            <w:pPr>
              <w:ind w:left="260"/>
              <w:spacing w:after="0"/>
              <w:rPr>
                <w:sz w:val="20"/>
                <w:szCs w:val="20"/>
                <w:color w:val="auto"/>
              </w:rPr>
            </w:pPr>
            <w:r>
              <w:rPr>
                <w:rFonts w:ascii="Arial" w:cs="Arial" w:eastAsia="Arial" w:hAnsi="Arial"/>
                <w:sz w:val="18"/>
                <w:szCs w:val="18"/>
                <w:color w:val="auto"/>
                <w:w w:val="97"/>
              </w:rPr>
              <w:t>2000 Equity Incentive Plan (amended and restated as of July 26, 2005) (Incorporated by reference to Exhibit 10.5 to the Company’s</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Quarterly Report on Form 10-Q for the quarter ended September 30, 2005)*</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10.8(b)</w:t>
            </w:r>
          </w:p>
        </w:tc>
        <w:tc>
          <w:tcPr>
            <w:tcW w:w="10480" w:type="dxa"/>
            <w:vAlign w:val="bottom"/>
          </w:tcPr>
          <w:p>
            <w:pPr>
              <w:ind w:left="260"/>
              <w:spacing w:after="0"/>
              <w:rPr>
                <w:sz w:val="20"/>
                <w:szCs w:val="20"/>
                <w:color w:val="auto"/>
              </w:rPr>
            </w:pPr>
            <w:r>
              <w:rPr>
                <w:rFonts w:ascii="Arial" w:cs="Arial" w:eastAsia="Arial" w:hAnsi="Arial"/>
                <w:sz w:val="18"/>
                <w:szCs w:val="18"/>
                <w:color w:val="auto"/>
                <w:w w:val="96"/>
              </w:rPr>
              <w:t>Amendment to 2000 Equity Incentive Plan (effective as of May 17, 2012) (Incorporated by reference to Exhibit 10.7 to the Company’s</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Quarterly Report on Form 10-Q for the quarter ended June 30,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10.8(c)</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Amendment to 2000 Equity Incentive Plan (effective as of January 1, 2013) (Incorporated by reference to Exhibit 10.8(c) to the Company’s</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Annual Report on Form 10-K for the year ended December 31,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10.9(a)</w:t>
            </w:r>
          </w:p>
        </w:tc>
        <w:tc>
          <w:tcPr>
            <w:tcW w:w="10480" w:type="dxa"/>
            <w:vAlign w:val="bottom"/>
          </w:tcPr>
          <w:p>
            <w:pPr>
              <w:ind w:left="260"/>
              <w:spacing w:after="0"/>
              <w:rPr>
                <w:sz w:val="20"/>
                <w:szCs w:val="20"/>
                <w:color w:val="auto"/>
              </w:rPr>
            </w:pPr>
            <w:r>
              <w:rPr>
                <w:rFonts w:ascii="Arial" w:cs="Arial" w:eastAsia="Arial" w:hAnsi="Arial"/>
                <w:sz w:val="18"/>
                <w:szCs w:val="18"/>
                <w:color w:val="auto"/>
                <w:w w:val="97"/>
              </w:rPr>
              <w:t>2001 Equity Incentive Plan (amended and restated as of July 26, 2005) (Incorporated by reference to Exhibit 10.6 to the Company’s</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Quarterly Report on Form 10-Q for the quarter ended September 30, 2005)*</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10.9(b)</w:t>
            </w:r>
          </w:p>
        </w:tc>
        <w:tc>
          <w:tcPr>
            <w:tcW w:w="10480" w:type="dxa"/>
            <w:vAlign w:val="bottom"/>
          </w:tcPr>
          <w:p>
            <w:pPr>
              <w:ind w:left="260"/>
              <w:spacing w:after="0"/>
              <w:rPr>
                <w:sz w:val="20"/>
                <w:szCs w:val="20"/>
                <w:color w:val="auto"/>
              </w:rPr>
            </w:pPr>
            <w:r>
              <w:rPr>
                <w:rFonts w:ascii="Arial" w:cs="Arial" w:eastAsia="Arial" w:hAnsi="Arial"/>
                <w:sz w:val="18"/>
                <w:szCs w:val="18"/>
                <w:color w:val="auto"/>
                <w:w w:val="96"/>
              </w:rPr>
              <w:t>Amendment to 2001 Equity Incentive Plan (effective as of May 17, 2012) (Incorporated by reference to Exhibit 10.8 to the Company’s</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Quarterly Report on Form 10-Q for the quarter ended June 30,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10.9(c)</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Amendment to 2001 Equity Incentive Plan (effective as of January 1, 2013) (Incorporated by reference to Exhibit 10.9(c) to the Company’s</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Annual Report on Form 10-K for the year ended December 31,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10.10(a)</w:t>
            </w:r>
          </w:p>
        </w:tc>
        <w:tc>
          <w:tcPr>
            <w:tcW w:w="10480" w:type="dxa"/>
            <w:vAlign w:val="bottom"/>
          </w:tcPr>
          <w:p>
            <w:pPr>
              <w:ind w:left="260"/>
              <w:spacing w:after="0"/>
              <w:rPr>
                <w:sz w:val="20"/>
                <w:szCs w:val="20"/>
                <w:color w:val="auto"/>
              </w:rPr>
            </w:pPr>
            <w:r>
              <w:rPr>
                <w:rFonts w:ascii="Arial" w:cs="Arial" w:eastAsia="Arial" w:hAnsi="Arial"/>
                <w:sz w:val="18"/>
                <w:szCs w:val="18"/>
                <w:color w:val="auto"/>
                <w:w w:val="98"/>
              </w:rPr>
              <w:t>Second Amended and Restated 2003 Equity Incentive Plan effective May 19, 2010 (Incorporated by reference to Exhibit 10 to the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Company’s Current Report on Form 8-K filed May 21, 2010)*</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10.10(b)</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Amendment to the Second Amended and Restated 2003 Equity Incentive Plan effective May 17, 2012 (Incorporated by reference to Exhibit</w:t>
            </w:r>
          </w:p>
        </w:tc>
      </w:tr>
      <w:tr>
        <w:trPr>
          <w:trHeight w:val="216"/>
        </w:trPr>
        <w:tc>
          <w:tcPr>
            <w:tcW w:w="88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10.9 to the Company’s Quarterly Report on Form 10-Q for the quarter ended June 30,</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10.10(c)</w:t>
            </w:r>
          </w:p>
        </w:tc>
        <w:tc>
          <w:tcPr>
            <w:tcW w:w="10480" w:type="dxa"/>
            <w:vAlign w:val="bottom"/>
          </w:tcPr>
          <w:p>
            <w:pPr>
              <w:ind w:left="260"/>
              <w:spacing w:after="0"/>
              <w:rPr>
                <w:sz w:val="20"/>
                <w:szCs w:val="20"/>
                <w:color w:val="auto"/>
              </w:rPr>
            </w:pPr>
            <w:r>
              <w:rPr>
                <w:rFonts w:ascii="Arial" w:cs="Arial" w:eastAsia="Arial" w:hAnsi="Arial"/>
                <w:sz w:val="18"/>
                <w:szCs w:val="18"/>
                <w:color w:val="auto"/>
                <w:w w:val="95"/>
              </w:rPr>
              <w:t>Amendment to the Second Amended and Restated 2003 Equity Incentive Plan effective January 1, 2013 (Incorporated by reference to</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Exhibit 10.4 to the Company’s Quarterly Report on Form 10-Q for the quarter ended March 31, 2013)*</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10.11(a)</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Second Amended and Restated Employment Agreement dated July 27, 2004 between the Company and Stuart M. Essig (Incorporated by</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reference to Exhibit 10.1 to the Company’s Quarterly Report on Form 10-Q for the quarter ended September 30,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10.11(b)</w:t>
            </w:r>
          </w:p>
        </w:tc>
        <w:tc>
          <w:tcPr>
            <w:tcW w:w="10480" w:type="dxa"/>
            <w:vAlign w:val="bottom"/>
          </w:tcPr>
          <w:p>
            <w:pPr>
              <w:ind w:left="260"/>
              <w:spacing w:after="0"/>
              <w:rPr>
                <w:sz w:val="20"/>
                <w:szCs w:val="20"/>
                <w:color w:val="auto"/>
              </w:rPr>
            </w:pPr>
            <w:r>
              <w:rPr>
                <w:rFonts w:ascii="Arial" w:cs="Arial" w:eastAsia="Arial" w:hAnsi="Arial"/>
                <w:sz w:val="18"/>
                <w:szCs w:val="18"/>
                <w:color w:val="auto"/>
                <w:w w:val="90"/>
              </w:rPr>
              <w:t>Amendment 2006-1, dated as of December 19, 2006, to the Second Amended and Restated Employment Agreement, between the Company</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and Stuart M. Essig (Incorporated by reference to Exhibit 10.1 to the Company’s Current Report on Form 8-K filed on December 22, 2006)*</w:t>
            </w:r>
          </w:p>
        </w:tc>
      </w:tr>
    </w:tbl>
    <w:p>
      <w:pPr>
        <w:sectPr>
          <w:pgSz w:w="11900" w:h="16838" w:orient="portrait"/>
          <w:cols w:equalWidth="0" w:num="1">
            <w:col w:w="11360"/>
          </w:cols>
          <w:pgMar w:left="280" w:top="530" w:right="259" w:bottom="1440" w:gutter="0" w:footer="0" w:header="0"/>
        </w:sectPr>
      </w:pPr>
    </w:p>
    <w:bookmarkStart w:id="102" w:name="page103"/>
    <w:bookmarkEnd w:id="102"/>
    <w:p>
      <w:pPr>
        <w:jc w:val="both"/>
        <w:ind w:left="1140" w:right="20" w:hanging="1147"/>
        <w:spacing w:after="0" w:line="264" w:lineRule="auto"/>
        <w:tabs>
          <w:tab w:leader="none" w:pos="1120" w:val="left"/>
        </w:tabs>
        <w:rPr>
          <w:sz w:val="20"/>
          <w:szCs w:val="20"/>
          <w:color w:val="auto"/>
        </w:rPr>
      </w:pPr>
      <w:r>
        <w:rPr>
          <w:rFonts w:ascii="Arial" w:cs="Arial" w:eastAsia="Arial" w:hAnsi="Arial"/>
          <w:sz w:val="18"/>
          <w:szCs w:val="18"/>
          <w:color w:val="auto"/>
        </w:rPr>
        <w:t>10.11(c)</w:t>
      </w:r>
      <w:r>
        <w:rPr>
          <w:sz w:val="20"/>
          <w:szCs w:val="20"/>
          <w:color w:val="auto"/>
        </w:rPr>
        <w:tab/>
      </w:r>
      <w:r>
        <w:rPr>
          <w:rFonts w:ascii="Arial" w:cs="Arial" w:eastAsia="Arial" w:hAnsi="Arial"/>
          <w:sz w:val="18"/>
          <w:szCs w:val="18"/>
          <w:color w:val="auto"/>
        </w:rPr>
        <w:t>Amendment 2008-1, dated as of March 6, 2008, to the Second Amended and Restated Employment Agreement, between the Company and Stuart M. Essig (Incorporated by reference to Exhibit 10.12(c) to the Company’s Annual Report on Form 10-K for the year ended December 31, 2007)*</w:t>
      </w:r>
    </w:p>
    <w:p>
      <w:pPr>
        <w:spacing w:after="0" w:line="181" w:lineRule="exact"/>
        <w:rPr>
          <w:sz w:val="20"/>
          <w:szCs w:val="20"/>
          <w:color w:val="auto"/>
        </w:rPr>
      </w:pPr>
    </w:p>
    <w:p>
      <w:pPr>
        <w:jc w:val="both"/>
        <w:ind w:left="1140" w:right="20" w:hanging="1147"/>
        <w:spacing w:after="0" w:line="264" w:lineRule="auto"/>
        <w:tabs>
          <w:tab w:leader="none" w:pos="1120" w:val="left"/>
        </w:tabs>
        <w:rPr>
          <w:sz w:val="20"/>
          <w:szCs w:val="20"/>
          <w:color w:val="auto"/>
        </w:rPr>
      </w:pPr>
      <w:r>
        <w:rPr>
          <w:rFonts w:ascii="Arial" w:cs="Arial" w:eastAsia="Arial" w:hAnsi="Arial"/>
          <w:sz w:val="18"/>
          <w:szCs w:val="18"/>
          <w:color w:val="auto"/>
        </w:rPr>
        <w:t>10.11(d)</w:t>
      </w:r>
      <w:r>
        <w:rPr>
          <w:sz w:val="20"/>
          <w:szCs w:val="20"/>
          <w:color w:val="auto"/>
        </w:rPr>
        <w:tab/>
      </w:r>
      <w:r>
        <w:rPr>
          <w:rFonts w:ascii="Arial" w:cs="Arial" w:eastAsia="Arial" w:hAnsi="Arial"/>
          <w:sz w:val="18"/>
          <w:szCs w:val="18"/>
          <w:color w:val="auto"/>
        </w:rPr>
        <w:t>Amendment 2008-2, dated as of August 6, 2008, to the Second Amended and Restated Employment Agreement between Stuart M. Essig and the Company (Incorporated by reference to Exhibit 10.7 to the Company’s Quarterly Report on Form 10-Q for the quarter ended June 30, 2008)*</w:t>
      </w:r>
    </w:p>
    <w:p>
      <w:pPr>
        <w:spacing w:after="0" w:line="181" w:lineRule="exact"/>
        <w:rPr>
          <w:sz w:val="20"/>
          <w:szCs w:val="20"/>
          <w:color w:val="auto"/>
        </w:rPr>
      </w:pPr>
    </w:p>
    <w:p>
      <w:pPr>
        <w:jc w:val="both"/>
        <w:ind w:left="1140" w:hanging="1147"/>
        <w:spacing w:after="0" w:line="342" w:lineRule="auto"/>
        <w:tabs>
          <w:tab w:leader="none" w:pos="1120" w:val="left"/>
        </w:tabs>
        <w:rPr>
          <w:sz w:val="20"/>
          <w:szCs w:val="20"/>
          <w:color w:val="auto"/>
        </w:rPr>
      </w:pPr>
      <w:r>
        <w:rPr>
          <w:rFonts w:ascii="Arial" w:cs="Arial" w:eastAsia="Arial" w:hAnsi="Arial"/>
          <w:sz w:val="18"/>
          <w:szCs w:val="18"/>
          <w:color w:val="auto"/>
        </w:rPr>
        <w:t>10.11(e)</w:t>
      </w:r>
      <w:r>
        <w:rPr>
          <w:sz w:val="20"/>
          <w:szCs w:val="20"/>
          <w:color w:val="auto"/>
        </w:rPr>
        <w:tab/>
      </w:r>
      <w:r>
        <w:rPr>
          <w:rFonts w:ascii="Arial" w:cs="Arial" w:eastAsia="Arial" w:hAnsi="Arial"/>
          <w:sz w:val="16"/>
          <w:szCs w:val="16"/>
          <w:color w:val="auto"/>
        </w:rPr>
        <w:t>Amendment 2009-1, dated as of April 13, 2009, to the Second Amended and Restated Employment Agreement between Stuart M. Essig and the Company (Incorporated by reference to Exhibit 10.2 to the Company’s Current Report on Form 8-K filed on April 13, 2009)*</w:t>
      </w:r>
    </w:p>
    <w:p>
      <w:pPr>
        <w:spacing w:after="0" w:line="124" w:lineRule="exact"/>
        <w:rPr>
          <w:sz w:val="20"/>
          <w:szCs w:val="20"/>
          <w:color w:val="auto"/>
        </w:rPr>
      </w:pPr>
    </w:p>
    <w:p>
      <w:pPr>
        <w:jc w:val="both"/>
        <w:ind w:left="1140" w:right="20" w:hanging="1147"/>
        <w:spacing w:after="0" w:line="277" w:lineRule="auto"/>
        <w:tabs>
          <w:tab w:leader="none" w:pos="1120" w:val="left"/>
        </w:tabs>
        <w:rPr>
          <w:sz w:val="20"/>
          <w:szCs w:val="20"/>
          <w:color w:val="auto"/>
        </w:rPr>
      </w:pPr>
      <w:r>
        <w:rPr>
          <w:rFonts w:ascii="Arial" w:cs="Arial" w:eastAsia="Arial" w:hAnsi="Arial"/>
          <w:sz w:val="18"/>
          <w:szCs w:val="18"/>
          <w:color w:val="auto"/>
        </w:rPr>
        <w:t>10.11(f)</w:t>
      </w:r>
      <w:r>
        <w:rPr>
          <w:sz w:val="20"/>
          <w:szCs w:val="20"/>
          <w:color w:val="auto"/>
        </w:rPr>
        <w:tab/>
      </w:r>
      <w:r>
        <w:rPr>
          <w:rFonts w:ascii="Arial" w:cs="Arial" w:eastAsia="Arial" w:hAnsi="Arial"/>
          <w:sz w:val="18"/>
          <w:szCs w:val="18"/>
          <w:color w:val="auto"/>
        </w:rPr>
        <w:t>Letter Agreement dated May 17, 2011 between the Company and Stuart M. Essig (Incorporated by reference to Exhibit 10.1 to the Company’s Current Report on Form 8-K filed May 23, 2011)*</w:t>
      </w:r>
    </w:p>
    <w:p>
      <w:pPr>
        <w:spacing w:after="0" w:line="170" w:lineRule="exact"/>
        <w:rPr>
          <w:sz w:val="20"/>
          <w:szCs w:val="20"/>
          <w:color w:val="auto"/>
        </w:rPr>
      </w:pPr>
    </w:p>
    <w:p>
      <w:pPr>
        <w:jc w:val="both"/>
        <w:ind w:left="1140" w:hanging="1147"/>
        <w:spacing w:after="0" w:line="277" w:lineRule="auto"/>
        <w:tabs>
          <w:tab w:leader="none" w:pos="1120" w:val="left"/>
        </w:tabs>
        <w:rPr>
          <w:sz w:val="20"/>
          <w:szCs w:val="20"/>
          <w:color w:val="auto"/>
        </w:rPr>
      </w:pPr>
      <w:r>
        <w:rPr>
          <w:rFonts w:ascii="Arial" w:cs="Arial" w:eastAsia="Arial" w:hAnsi="Arial"/>
          <w:sz w:val="18"/>
          <w:szCs w:val="18"/>
          <w:color w:val="auto"/>
        </w:rPr>
        <w:t>10.11(g)</w:t>
      </w:r>
      <w:r>
        <w:rPr>
          <w:sz w:val="20"/>
          <w:szCs w:val="20"/>
          <w:color w:val="auto"/>
        </w:rPr>
        <w:tab/>
      </w:r>
      <w:r>
        <w:rPr>
          <w:rFonts w:ascii="Arial" w:cs="Arial" w:eastAsia="Arial" w:hAnsi="Arial"/>
          <w:sz w:val="18"/>
          <w:szCs w:val="18"/>
          <w:color w:val="auto"/>
        </w:rPr>
        <w:t>Letter dated December 20, 2011 from Stuart M. Essig to the Company (Incorporated by reference to Exhibit 10.3 to the Company’s Current Report on Form 8-K filed December 23, 2011)*</w:t>
      </w:r>
    </w:p>
    <w:p>
      <w:pPr>
        <w:spacing w:after="0" w:line="170" w:lineRule="exact"/>
        <w:rPr>
          <w:sz w:val="20"/>
          <w:szCs w:val="20"/>
          <w:color w:val="auto"/>
        </w:rPr>
      </w:pPr>
    </w:p>
    <w:p>
      <w:pPr>
        <w:jc w:val="both"/>
        <w:ind w:left="1140" w:right="20" w:hanging="1147"/>
        <w:spacing w:after="0" w:line="277" w:lineRule="auto"/>
        <w:tabs>
          <w:tab w:leader="none" w:pos="1120" w:val="left"/>
        </w:tabs>
        <w:rPr>
          <w:sz w:val="20"/>
          <w:szCs w:val="20"/>
          <w:color w:val="auto"/>
        </w:rPr>
      </w:pPr>
      <w:r>
        <w:rPr>
          <w:rFonts w:ascii="Arial" w:cs="Arial" w:eastAsia="Arial" w:hAnsi="Arial"/>
          <w:sz w:val="18"/>
          <w:szCs w:val="18"/>
          <w:color w:val="auto"/>
        </w:rPr>
        <w:t>10.11(h)</w:t>
      </w:r>
      <w:r>
        <w:rPr>
          <w:sz w:val="20"/>
          <w:szCs w:val="20"/>
          <w:color w:val="auto"/>
        </w:rPr>
        <w:tab/>
      </w:r>
      <w:r>
        <w:rPr>
          <w:rFonts w:ascii="Arial" w:cs="Arial" w:eastAsia="Arial" w:hAnsi="Arial"/>
          <w:sz w:val="18"/>
          <w:szCs w:val="18"/>
          <w:color w:val="auto"/>
        </w:rPr>
        <w:t>Letter Agreement dated June 7, 2012 between Stuart M. Essig and the Company (Incorporated by reference to Exhibit 10.1 to the Company’s Current Report on Form 8-K filed on June 7, 2012)*</w:t>
      </w:r>
    </w:p>
    <w:p>
      <w:pPr>
        <w:spacing w:after="0" w:line="170" w:lineRule="exact"/>
        <w:rPr>
          <w:sz w:val="20"/>
          <w:szCs w:val="20"/>
          <w:color w:val="auto"/>
        </w:rPr>
      </w:pPr>
    </w:p>
    <w:p>
      <w:pPr>
        <w:jc w:val="both"/>
        <w:ind w:left="1140" w:hanging="1147"/>
        <w:spacing w:after="0" w:line="277" w:lineRule="auto"/>
        <w:tabs>
          <w:tab w:leader="none" w:pos="11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Indemnity letter agreement dated December 27, 1997 from the Company to Stuart M. Essig (Incorporated by reference to Exhibit 10.5 to the Company’s Current Report on Form 8-K filed on February 3, 1998)*</w:t>
      </w:r>
    </w:p>
    <w:p>
      <w:pPr>
        <w:spacing w:after="0" w:line="170" w:lineRule="exact"/>
        <w:rPr>
          <w:sz w:val="20"/>
          <w:szCs w:val="20"/>
          <w:color w:val="auto"/>
        </w:rPr>
      </w:pPr>
    </w:p>
    <w:p>
      <w:pPr>
        <w:jc w:val="both"/>
        <w:ind w:left="1140" w:right="20" w:hanging="1147"/>
        <w:spacing w:after="0" w:line="277" w:lineRule="auto"/>
        <w:tabs>
          <w:tab w:leader="none" w:pos="1120" w:val="left"/>
        </w:tabs>
        <w:rPr>
          <w:sz w:val="20"/>
          <w:szCs w:val="20"/>
          <w:color w:val="auto"/>
        </w:rPr>
      </w:pPr>
      <w:r>
        <w:rPr>
          <w:rFonts w:ascii="Arial" w:cs="Arial" w:eastAsia="Arial" w:hAnsi="Arial"/>
          <w:sz w:val="18"/>
          <w:szCs w:val="18"/>
          <w:color w:val="auto"/>
        </w:rPr>
        <w:t>10.13(a)</w:t>
      </w:r>
      <w:r>
        <w:rPr>
          <w:sz w:val="20"/>
          <w:szCs w:val="20"/>
          <w:color w:val="auto"/>
        </w:rPr>
        <w:tab/>
      </w:r>
      <w:r>
        <w:rPr>
          <w:rFonts w:ascii="Arial" w:cs="Arial" w:eastAsia="Arial" w:hAnsi="Arial"/>
          <w:sz w:val="18"/>
          <w:szCs w:val="18"/>
          <w:color w:val="auto"/>
        </w:rPr>
        <w:t>Registration Rights Provisions for Stuart M. Essig (Incorporated by reference to Exhibit B of Exhibit 10.1 to the Company’s Current Report on Form 8-K filed on February 3, 1998)*</w:t>
      </w:r>
    </w:p>
    <w:p>
      <w:pPr>
        <w:spacing w:after="0" w:line="170" w:lineRule="exact"/>
        <w:rPr>
          <w:sz w:val="20"/>
          <w:szCs w:val="20"/>
          <w:color w:val="auto"/>
        </w:rPr>
      </w:pPr>
    </w:p>
    <w:p>
      <w:pPr>
        <w:jc w:val="both"/>
        <w:ind w:left="1140" w:hanging="1147"/>
        <w:spacing w:after="0" w:line="277" w:lineRule="auto"/>
        <w:tabs>
          <w:tab w:leader="none" w:pos="1120" w:val="left"/>
        </w:tabs>
        <w:rPr>
          <w:sz w:val="20"/>
          <w:szCs w:val="20"/>
          <w:color w:val="auto"/>
        </w:rPr>
      </w:pPr>
      <w:r>
        <w:rPr>
          <w:rFonts w:ascii="Arial" w:cs="Arial" w:eastAsia="Arial" w:hAnsi="Arial"/>
          <w:sz w:val="18"/>
          <w:szCs w:val="18"/>
          <w:color w:val="auto"/>
        </w:rPr>
        <w:t>10.13(b)</w:t>
      </w:r>
      <w:r>
        <w:rPr>
          <w:sz w:val="20"/>
          <w:szCs w:val="20"/>
          <w:color w:val="auto"/>
        </w:rPr>
        <w:tab/>
      </w:r>
      <w:r>
        <w:rPr>
          <w:rFonts w:ascii="Arial" w:cs="Arial" w:eastAsia="Arial" w:hAnsi="Arial"/>
          <w:sz w:val="18"/>
          <w:szCs w:val="18"/>
          <w:color w:val="auto"/>
        </w:rPr>
        <w:t>Registration Rights Provisions for Stuart M. Essig (Incorporated by reference to Exhibit 10.2 to the Company’s Current Report on Form 8-K filed on January 8, 2001)*</w:t>
      </w:r>
    </w:p>
    <w:p>
      <w:pPr>
        <w:spacing w:after="0" w:line="170" w:lineRule="exact"/>
        <w:rPr>
          <w:sz w:val="20"/>
          <w:szCs w:val="20"/>
          <w:color w:val="auto"/>
        </w:rPr>
      </w:pPr>
    </w:p>
    <w:p>
      <w:pPr>
        <w:jc w:val="both"/>
        <w:ind w:left="1140" w:hanging="1147"/>
        <w:spacing w:after="0" w:line="277" w:lineRule="auto"/>
        <w:tabs>
          <w:tab w:leader="none" w:pos="1120" w:val="left"/>
        </w:tabs>
        <w:rPr>
          <w:sz w:val="20"/>
          <w:szCs w:val="20"/>
          <w:color w:val="auto"/>
        </w:rPr>
      </w:pPr>
      <w:r>
        <w:rPr>
          <w:rFonts w:ascii="Arial" w:cs="Arial" w:eastAsia="Arial" w:hAnsi="Arial"/>
          <w:sz w:val="18"/>
          <w:szCs w:val="18"/>
          <w:color w:val="auto"/>
        </w:rPr>
        <w:t>10.13(c)</w:t>
      </w:r>
      <w:r>
        <w:rPr>
          <w:sz w:val="20"/>
          <w:szCs w:val="20"/>
          <w:color w:val="auto"/>
        </w:rPr>
        <w:tab/>
      </w:r>
      <w:r>
        <w:rPr>
          <w:rFonts w:ascii="Arial" w:cs="Arial" w:eastAsia="Arial" w:hAnsi="Arial"/>
          <w:sz w:val="18"/>
          <w:szCs w:val="18"/>
          <w:color w:val="auto"/>
        </w:rPr>
        <w:t>Registration Rights Provisions for Stuart M. Essig (Incorporated by reference to Exhibit B of Exhibit 10.1 to the Company’s Quarterly Report on Form 10-Q for the quarter ended September 30, 2004)*</w:t>
      </w:r>
    </w:p>
    <w:p>
      <w:pPr>
        <w:spacing w:after="0" w:line="170" w:lineRule="exact"/>
        <w:rPr>
          <w:sz w:val="20"/>
          <w:szCs w:val="20"/>
          <w:color w:val="auto"/>
        </w:rPr>
      </w:pPr>
    </w:p>
    <w:p>
      <w:pPr>
        <w:jc w:val="both"/>
        <w:ind w:left="1140" w:hanging="1147"/>
        <w:spacing w:after="0" w:line="308" w:lineRule="auto"/>
        <w:tabs>
          <w:tab w:leader="none" w:pos="1120" w:val="left"/>
        </w:tabs>
        <w:rPr>
          <w:sz w:val="20"/>
          <w:szCs w:val="20"/>
          <w:color w:val="auto"/>
        </w:rPr>
      </w:pPr>
      <w:r>
        <w:rPr>
          <w:rFonts w:ascii="Arial" w:cs="Arial" w:eastAsia="Arial" w:hAnsi="Arial"/>
          <w:sz w:val="18"/>
          <w:szCs w:val="18"/>
          <w:color w:val="auto"/>
        </w:rPr>
        <w:t>10.14(a)</w:t>
      </w:r>
      <w:r>
        <w:rPr>
          <w:sz w:val="20"/>
          <w:szCs w:val="20"/>
          <w:color w:val="auto"/>
        </w:rPr>
        <w:tab/>
      </w:r>
      <w:r>
        <w:rPr>
          <w:rFonts w:ascii="Arial" w:cs="Arial" w:eastAsia="Arial" w:hAnsi="Arial"/>
          <w:sz w:val="17"/>
          <w:szCs w:val="17"/>
          <w:color w:val="auto"/>
        </w:rPr>
        <w:t>Amended and Restated 2005 Employment Agreement between John B. Henneman, III and the Company dated December 19, 2005 (Incorporated by reference to Exhibit 10.16 to the Company’s Annual Report on Form 10-K for the year ended December 31, 2005)*</w:t>
      </w:r>
    </w:p>
    <w:p>
      <w:pPr>
        <w:spacing w:after="0" w:line="147" w:lineRule="exact"/>
        <w:rPr>
          <w:sz w:val="20"/>
          <w:szCs w:val="20"/>
          <w:color w:val="auto"/>
        </w:rPr>
      </w:pPr>
    </w:p>
    <w:p>
      <w:pPr>
        <w:jc w:val="both"/>
        <w:ind w:left="1140" w:right="20" w:hanging="1147"/>
        <w:spacing w:after="0" w:line="264" w:lineRule="auto"/>
        <w:tabs>
          <w:tab w:leader="none" w:pos="1120" w:val="left"/>
        </w:tabs>
        <w:rPr>
          <w:sz w:val="20"/>
          <w:szCs w:val="20"/>
          <w:color w:val="auto"/>
        </w:rPr>
      </w:pPr>
      <w:r>
        <w:rPr>
          <w:rFonts w:ascii="Arial" w:cs="Arial" w:eastAsia="Arial" w:hAnsi="Arial"/>
          <w:sz w:val="18"/>
          <w:szCs w:val="18"/>
          <w:color w:val="auto"/>
        </w:rPr>
        <w:t>10.14(b)</w:t>
      </w:r>
      <w:r>
        <w:rPr>
          <w:sz w:val="20"/>
          <w:szCs w:val="20"/>
          <w:color w:val="auto"/>
        </w:rPr>
        <w:tab/>
      </w:r>
      <w:r>
        <w:rPr>
          <w:rFonts w:ascii="Arial" w:cs="Arial" w:eastAsia="Arial" w:hAnsi="Arial"/>
          <w:sz w:val="18"/>
          <w:szCs w:val="18"/>
          <w:color w:val="auto"/>
        </w:rPr>
        <w:t>Amendment 2008-1, dated as of January 2, 2008, to the Amended and Restated 2005 Employment Agreement between John B. Henneman, III and the Company (Incorporated by reference to Exhibit 10.15(b) to the Company’s Annual Report on Form 10-K for the year ended December 31, 2007)*</w:t>
      </w:r>
    </w:p>
    <w:p>
      <w:pPr>
        <w:spacing w:after="0" w:line="181" w:lineRule="exact"/>
        <w:rPr>
          <w:sz w:val="20"/>
          <w:szCs w:val="20"/>
          <w:color w:val="auto"/>
        </w:rPr>
      </w:pPr>
    </w:p>
    <w:p>
      <w:pPr>
        <w:jc w:val="both"/>
        <w:ind w:left="1140" w:right="20" w:hanging="1147"/>
        <w:spacing w:after="0" w:line="264" w:lineRule="auto"/>
        <w:tabs>
          <w:tab w:leader="none" w:pos="1120" w:val="left"/>
        </w:tabs>
        <w:rPr>
          <w:sz w:val="20"/>
          <w:szCs w:val="20"/>
          <w:color w:val="auto"/>
        </w:rPr>
      </w:pPr>
      <w:r>
        <w:rPr>
          <w:rFonts w:ascii="Arial" w:cs="Arial" w:eastAsia="Arial" w:hAnsi="Arial"/>
          <w:sz w:val="18"/>
          <w:szCs w:val="18"/>
          <w:color w:val="auto"/>
        </w:rPr>
        <w:t>10.14(c)</w:t>
      </w:r>
      <w:r>
        <w:rPr>
          <w:sz w:val="20"/>
          <w:szCs w:val="20"/>
          <w:color w:val="auto"/>
        </w:rPr>
        <w:tab/>
      </w:r>
      <w:r>
        <w:rPr>
          <w:rFonts w:ascii="Arial" w:cs="Arial" w:eastAsia="Arial" w:hAnsi="Arial"/>
          <w:sz w:val="18"/>
          <w:szCs w:val="18"/>
          <w:color w:val="auto"/>
        </w:rPr>
        <w:t>Amendment 2008-2, dated as of December 18, 2008, to the Amended and Restated 2005 Employment Agreement between John B. Henneman, III and the Company (Incorporated by reference to Exhibit 10.2 to the Company’s Current Report on Form 8-K filed on December 24, 2008)*</w:t>
      </w:r>
    </w:p>
    <w:p>
      <w:pPr>
        <w:spacing w:after="0" w:line="181" w:lineRule="exact"/>
        <w:rPr>
          <w:sz w:val="20"/>
          <w:szCs w:val="20"/>
          <w:color w:val="auto"/>
        </w:rPr>
      </w:pPr>
    </w:p>
    <w:p>
      <w:pPr>
        <w:jc w:val="both"/>
        <w:ind w:left="1140" w:hanging="1147"/>
        <w:spacing w:after="0" w:line="342" w:lineRule="auto"/>
        <w:tabs>
          <w:tab w:leader="none" w:pos="1120" w:val="left"/>
        </w:tabs>
        <w:rPr>
          <w:sz w:val="20"/>
          <w:szCs w:val="20"/>
          <w:color w:val="auto"/>
        </w:rPr>
      </w:pPr>
      <w:r>
        <w:rPr>
          <w:rFonts w:ascii="Arial" w:cs="Arial" w:eastAsia="Arial" w:hAnsi="Arial"/>
          <w:sz w:val="18"/>
          <w:szCs w:val="18"/>
          <w:color w:val="auto"/>
        </w:rPr>
        <w:t>10.14(d)</w:t>
      </w:r>
      <w:r>
        <w:rPr>
          <w:sz w:val="20"/>
          <w:szCs w:val="20"/>
          <w:color w:val="auto"/>
        </w:rPr>
        <w:tab/>
      </w:r>
      <w:r>
        <w:rPr>
          <w:rFonts w:ascii="Arial" w:cs="Arial" w:eastAsia="Arial" w:hAnsi="Arial"/>
          <w:sz w:val="16"/>
          <w:szCs w:val="16"/>
          <w:color w:val="auto"/>
        </w:rPr>
        <w:t>Amendment 2009-1, dated as of April 13, 2009, to the Amended and Restated 2005 Employment Agreement between John B. Henneman, III and the Company (Incorporated by reference to Exhibit 10.5 to the Company’s Current Report on Form 8-K filed on April 13, 2009)*</w:t>
      </w:r>
    </w:p>
    <w:p>
      <w:pPr>
        <w:spacing w:after="0" w:line="124" w:lineRule="exact"/>
        <w:rPr>
          <w:sz w:val="20"/>
          <w:szCs w:val="20"/>
          <w:color w:val="auto"/>
        </w:rPr>
      </w:pPr>
    </w:p>
    <w:p>
      <w:pPr>
        <w:jc w:val="both"/>
        <w:ind w:left="1140" w:right="20" w:hanging="1147"/>
        <w:spacing w:after="0" w:line="264" w:lineRule="auto"/>
        <w:tabs>
          <w:tab w:leader="none" w:pos="1120" w:val="left"/>
        </w:tabs>
        <w:rPr>
          <w:sz w:val="20"/>
          <w:szCs w:val="20"/>
          <w:color w:val="auto"/>
        </w:rPr>
      </w:pPr>
      <w:r>
        <w:rPr>
          <w:rFonts w:ascii="Arial" w:cs="Arial" w:eastAsia="Arial" w:hAnsi="Arial"/>
          <w:sz w:val="18"/>
          <w:szCs w:val="18"/>
          <w:color w:val="auto"/>
        </w:rPr>
        <w:t>10.14(e)</w:t>
      </w:r>
      <w:r>
        <w:rPr>
          <w:sz w:val="20"/>
          <w:szCs w:val="20"/>
          <w:color w:val="auto"/>
        </w:rPr>
        <w:tab/>
      </w:r>
      <w:r>
        <w:rPr>
          <w:rFonts w:ascii="Arial" w:cs="Arial" w:eastAsia="Arial" w:hAnsi="Arial"/>
          <w:sz w:val="18"/>
          <w:szCs w:val="18"/>
          <w:color w:val="auto"/>
        </w:rPr>
        <w:t>Amendment 2010-1, dated as of October 12, 2010, to the Amended and Restated 2005 Employment Agreement between John B. Henneman, III and the Company (Incorporated by reference to Exhibit 10.3 to the Company’s Current Report on Form 8-K filed October 12, 2010)*</w:t>
      </w:r>
    </w:p>
    <w:p>
      <w:pPr>
        <w:spacing w:after="0" w:line="181" w:lineRule="exact"/>
        <w:rPr>
          <w:sz w:val="20"/>
          <w:szCs w:val="20"/>
          <w:color w:val="auto"/>
        </w:rPr>
      </w:pPr>
    </w:p>
    <w:p>
      <w:pPr>
        <w:jc w:val="both"/>
        <w:ind w:left="1140" w:hanging="1147"/>
        <w:spacing w:after="0" w:line="277" w:lineRule="auto"/>
        <w:tabs>
          <w:tab w:leader="none" w:pos="1120" w:val="left"/>
        </w:tabs>
        <w:rPr>
          <w:sz w:val="20"/>
          <w:szCs w:val="20"/>
          <w:color w:val="auto"/>
        </w:rPr>
      </w:pPr>
      <w:r>
        <w:rPr>
          <w:rFonts w:ascii="Arial" w:cs="Arial" w:eastAsia="Arial" w:hAnsi="Arial"/>
          <w:sz w:val="18"/>
          <w:szCs w:val="18"/>
          <w:color w:val="auto"/>
        </w:rPr>
        <w:t>10.14(f)</w:t>
      </w:r>
      <w:r>
        <w:rPr>
          <w:sz w:val="20"/>
          <w:szCs w:val="20"/>
          <w:color w:val="auto"/>
        </w:rPr>
        <w:tab/>
      </w:r>
      <w:r>
        <w:rPr>
          <w:rFonts w:ascii="Arial" w:cs="Arial" w:eastAsia="Arial" w:hAnsi="Arial"/>
          <w:sz w:val="18"/>
          <w:szCs w:val="18"/>
          <w:color w:val="auto"/>
        </w:rPr>
        <w:t>Letter dated as of February 22, 2012 from John B. Henneman, III to the Company (Incorporated by reference to Exhibit 10.1 to the Company’s Current Report on Form 8-K filed February 22, 2012)*</w:t>
      </w:r>
    </w:p>
    <w:p>
      <w:pPr>
        <w:spacing w:after="0" w:line="170" w:lineRule="exact"/>
        <w:rPr>
          <w:sz w:val="20"/>
          <w:szCs w:val="20"/>
          <w:color w:val="auto"/>
        </w:rPr>
      </w:pPr>
    </w:p>
    <w:p>
      <w:pPr>
        <w:jc w:val="both"/>
        <w:ind w:left="1140" w:right="20" w:hanging="1147"/>
        <w:spacing w:after="0" w:line="277" w:lineRule="auto"/>
        <w:tabs>
          <w:tab w:leader="none" w:pos="11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Consulting Agreement, dated October 12, 2010, between the Company and Inception Surgical (Incorporated by reference to Exhibit 10.1 to the Company’s Current Report on Form 8-K filed on October 12, 2010)*</w:t>
      </w:r>
    </w:p>
    <w:p>
      <w:pPr>
        <w:spacing w:after="0" w:line="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Severance Agreement between Richard D. Gorelick and the Company dated as of January 3, 2012 (Incorporated by reference to Exhibit</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10.10 to the Company’s Quarterly Report on Form 10-Q for the quarter ended March 31, 2013)*</w:t>
      </w:r>
    </w:p>
    <w:p>
      <w:pPr>
        <w:spacing w:after="0" w:line="211" w:lineRule="exact"/>
        <w:rPr>
          <w:sz w:val="20"/>
          <w:szCs w:val="20"/>
          <w:color w:val="auto"/>
        </w:rPr>
      </w:pPr>
    </w:p>
    <w:p>
      <w:pPr>
        <w:jc w:val="both"/>
        <w:ind w:left="1140" w:hanging="1147"/>
        <w:spacing w:after="0" w:line="277" w:lineRule="auto"/>
        <w:tabs>
          <w:tab w:leader="none" w:pos="1120" w:val="left"/>
        </w:tabs>
        <w:rPr>
          <w:sz w:val="20"/>
          <w:szCs w:val="20"/>
          <w:color w:val="auto"/>
        </w:rPr>
      </w:pPr>
      <w:r>
        <w:rPr>
          <w:rFonts w:ascii="Arial" w:cs="Arial" w:eastAsia="Arial" w:hAnsi="Arial"/>
          <w:sz w:val="18"/>
          <w:szCs w:val="18"/>
          <w:color w:val="auto"/>
        </w:rPr>
        <w:t>10.17(a)</w:t>
      </w:r>
      <w:r>
        <w:rPr>
          <w:sz w:val="20"/>
          <w:szCs w:val="20"/>
          <w:color w:val="auto"/>
        </w:rPr>
        <w:tab/>
      </w:r>
      <w:r>
        <w:rPr>
          <w:rFonts w:ascii="Arial" w:cs="Arial" w:eastAsia="Arial" w:hAnsi="Arial"/>
          <w:sz w:val="18"/>
          <w:szCs w:val="18"/>
          <w:color w:val="auto"/>
        </w:rPr>
        <w:t>Severance Agreement between Judith O’Grady and the Company dated as of January 4, 2010 (Incorporated by reference to Exhibit 10.17 to the Company’s Annual Report on Form 10-K for the year ended December 31, 2009)*</w:t>
      </w:r>
    </w:p>
    <w:p>
      <w:pPr>
        <w:spacing w:after="0" w:line="170" w:lineRule="exact"/>
        <w:rPr>
          <w:sz w:val="20"/>
          <w:szCs w:val="20"/>
          <w:color w:val="auto"/>
        </w:rPr>
      </w:pPr>
    </w:p>
    <w:p>
      <w:pPr>
        <w:jc w:val="both"/>
        <w:ind w:left="1140" w:right="20" w:hanging="1147"/>
        <w:spacing w:after="0" w:line="277" w:lineRule="auto"/>
        <w:tabs>
          <w:tab w:leader="none" w:pos="1120" w:val="left"/>
        </w:tabs>
        <w:rPr>
          <w:sz w:val="20"/>
          <w:szCs w:val="20"/>
          <w:color w:val="auto"/>
        </w:rPr>
      </w:pPr>
      <w:r>
        <w:rPr>
          <w:rFonts w:ascii="Arial" w:cs="Arial" w:eastAsia="Arial" w:hAnsi="Arial"/>
          <w:sz w:val="18"/>
          <w:szCs w:val="18"/>
          <w:color w:val="auto"/>
        </w:rPr>
        <w:t>10.17(b)</w:t>
      </w:r>
      <w:r>
        <w:rPr>
          <w:sz w:val="20"/>
          <w:szCs w:val="20"/>
          <w:color w:val="auto"/>
        </w:rPr>
        <w:tab/>
      </w:r>
      <w:r>
        <w:rPr>
          <w:rFonts w:ascii="Arial" w:cs="Arial" w:eastAsia="Arial" w:hAnsi="Arial"/>
          <w:sz w:val="18"/>
          <w:szCs w:val="18"/>
          <w:color w:val="auto"/>
        </w:rPr>
        <w:t>Severance Agreement between Judith O’Grady and the Company dated as of January 3, 2011 (Incorporated by reference to Exhibit 10.17(a) to the Company’s Annual Report on Form 10-K for the year ended December 31, 2010)*</w:t>
      </w:r>
    </w:p>
    <w:p>
      <w:pPr>
        <w:sectPr>
          <w:pgSz w:w="11900" w:h="16838" w:orient="portrait"/>
          <w:cols w:equalWidth="0" w:num="1">
            <w:col w:w="11360"/>
          </w:cols>
          <w:pgMar w:left="280" w:top="530" w:right="25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10.17(c)</w:t>
            </w:r>
          </w:p>
        </w:tc>
        <w:tc>
          <w:tcPr>
            <w:tcW w:w="10460" w:type="dxa"/>
            <w:vAlign w:val="bottom"/>
          </w:tcPr>
          <w:p>
            <w:pPr>
              <w:ind w:left="240"/>
              <w:spacing w:after="0"/>
              <w:rPr>
                <w:sz w:val="20"/>
                <w:szCs w:val="20"/>
                <w:color w:val="auto"/>
              </w:rPr>
            </w:pPr>
            <w:r>
              <w:rPr>
                <w:rFonts w:ascii="Arial" w:cs="Arial" w:eastAsia="Arial" w:hAnsi="Arial"/>
                <w:sz w:val="18"/>
                <w:szCs w:val="18"/>
                <w:color w:val="auto"/>
                <w:w w:val="91"/>
              </w:rPr>
              <w:t>Severance Agreement between Judith O’Grady and the Company dated as of January 3, 2012 (Incorporated by reference to Exhibit 10.16(c)</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to the Company’s Annual Report on Form 10-K for the year ended December 31, 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10.18(a)</w:t>
            </w:r>
          </w:p>
        </w:tc>
        <w:tc>
          <w:tcPr>
            <w:tcW w:w="10460" w:type="dxa"/>
            <w:vAlign w:val="bottom"/>
          </w:tcPr>
          <w:p>
            <w:pPr>
              <w:ind w:left="240"/>
              <w:spacing w:after="0"/>
              <w:rPr>
                <w:sz w:val="20"/>
                <w:szCs w:val="20"/>
                <w:color w:val="auto"/>
              </w:rPr>
            </w:pPr>
            <w:r>
              <w:rPr>
                <w:rFonts w:ascii="Arial" w:cs="Arial" w:eastAsia="Arial" w:hAnsi="Arial"/>
                <w:sz w:val="18"/>
                <w:szCs w:val="18"/>
                <w:color w:val="auto"/>
                <w:w w:val="93"/>
              </w:rPr>
              <w:t>Employment Agreement, dated as of October 12, 2010, between Peter J. Arduini and the Company (Incorporated by reference to Exhibit</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10.2 to the Company’s Current Report on Form 8-K filed October 12,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10.18 (b)</w:t>
            </w:r>
          </w:p>
        </w:tc>
        <w:tc>
          <w:tcPr>
            <w:tcW w:w="10460" w:type="dxa"/>
            <w:vAlign w:val="bottom"/>
          </w:tcPr>
          <w:p>
            <w:pPr>
              <w:ind w:left="240"/>
              <w:spacing w:after="0"/>
              <w:rPr>
                <w:sz w:val="20"/>
                <w:szCs w:val="20"/>
                <w:color w:val="auto"/>
              </w:rPr>
            </w:pPr>
            <w:r>
              <w:rPr>
                <w:rFonts w:ascii="Arial" w:cs="Arial" w:eastAsia="Arial" w:hAnsi="Arial"/>
                <w:sz w:val="18"/>
                <w:szCs w:val="18"/>
                <w:color w:val="auto"/>
                <w:w w:val="94"/>
              </w:rPr>
              <w:t>Amended and Restated Employment Agreement dated December 20, 2011 between Peter J. Arduini and the Company (Incorporated by</w:t>
            </w:r>
          </w:p>
        </w:tc>
      </w:tr>
      <w:tr>
        <w:trPr>
          <w:trHeight w:val="216"/>
        </w:trPr>
        <w:tc>
          <w:tcPr>
            <w:tcW w:w="90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reference to Exhibit 10.1 to the Company’s Current Report on Form 8-K filed December 23,</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10.19</w:t>
            </w:r>
          </w:p>
        </w:tc>
        <w:tc>
          <w:tcPr>
            <w:tcW w:w="10460" w:type="dxa"/>
            <w:vAlign w:val="bottom"/>
          </w:tcPr>
          <w:p>
            <w:pPr>
              <w:ind w:left="240"/>
              <w:spacing w:after="0"/>
              <w:rPr>
                <w:sz w:val="20"/>
                <w:szCs w:val="20"/>
                <w:color w:val="auto"/>
              </w:rPr>
            </w:pPr>
            <w:r>
              <w:rPr>
                <w:rFonts w:ascii="Arial" w:cs="Arial" w:eastAsia="Arial" w:hAnsi="Arial"/>
                <w:sz w:val="18"/>
                <w:szCs w:val="18"/>
                <w:color w:val="auto"/>
                <w:w w:val="92"/>
              </w:rPr>
              <w:t>Form of Notice of Stock Option Grant with Eight-Year Term for Peter J. Arduini (Incorporated by reference to Exhibit 10.2 to the Company’s</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Current Report on Form 8-K filed December 23, 2011)*</w:t>
            </w:r>
          </w:p>
        </w:tc>
      </w:tr>
      <w:tr>
        <w:trPr>
          <w:trHeight w:val="256"/>
        </w:trPr>
        <w:tc>
          <w:tcPr>
            <w:tcW w:w="900" w:type="dxa"/>
            <w:vAlign w:val="bottom"/>
          </w:tcPr>
          <w:p>
            <w:pPr>
              <w:spacing w:after="0"/>
              <w:rPr>
                <w:sz w:val="20"/>
                <w:szCs w:val="20"/>
                <w:color w:val="auto"/>
              </w:rPr>
            </w:pPr>
            <w:r>
              <w:rPr>
                <w:rFonts w:ascii="Arial" w:cs="Arial" w:eastAsia="Arial" w:hAnsi="Arial"/>
                <w:sz w:val="18"/>
                <w:szCs w:val="18"/>
                <w:color w:val="auto"/>
              </w:rPr>
              <w:t>10.20</w:t>
            </w:r>
          </w:p>
        </w:tc>
        <w:tc>
          <w:tcPr>
            <w:tcW w:w="10460" w:type="dxa"/>
            <w:vAlign w:val="bottom"/>
          </w:tcPr>
          <w:p>
            <w:pPr>
              <w:ind w:left="240"/>
              <w:spacing w:after="0"/>
              <w:rPr>
                <w:sz w:val="20"/>
                <w:szCs w:val="20"/>
                <w:color w:val="auto"/>
              </w:rPr>
            </w:pPr>
            <w:r>
              <w:rPr>
                <w:rFonts w:ascii="Arial" w:cs="Arial" w:eastAsia="Arial" w:hAnsi="Arial"/>
                <w:sz w:val="18"/>
                <w:szCs w:val="18"/>
                <w:color w:val="auto"/>
                <w:w w:val="96"/>
              </w:rPr>
              <w:t>Letter Agreement dated February 19, 2013 between Peter J. Arduini and Integra LifeSciences Holdings Corporation (Incorporated by</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reference to Exhibit 10.1 to the Company's Current Report on Form 8-K filed on February 25, 2013)*</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10.21(a)</w:t>
            </w:r>
          </w:p>
        </w:tc>
        <w:tc>
          <w:tcPr>
            <w:tcW w:w="10460" w:type="dxa"/>
            <w:vAlign w:val="bottom"/>
          </w:tcPr>
          <w:p>
            <w:pPr>
              <w:ind w:left="240"/>
              <w:spacing w:after="0"/>
              <w:rPr>
                <w:sz w:val="20"/>
                <w:szCs w:val="20"/>
                <w:color w:val="auto"/>
              </w:rPr>
            </w:pPr>
            <w:r>
              <w:rPr>
                <w:rFonts w:ascii="Arial" w:cs="Arial" w:eastAsia="Arial" w:hAnsi="Arial"/>
                <w:sz w:val="18"/>
                <w:szCs w:val="18"/>
                <w:color w:val="auto"/>
                <w:w w:val="90"/>
              </w:rPr>
              <w:t>Lease Contract, dated April 1, 2005, between the Puerto Rico Industrial Development Company and Integra CI, Inc. (executed on September</w:t>
            </w:r>
          </w:p>
        </w:tc>
      </w:tr>
      <w:tr>
        <w:trPr>
          <w:trHeight w:val="216"/>
        </w:trPr>
        <w:tc>
          <w:tcPr>
            <w:tcW w:w="90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w w:val="92"/>
              </w:rPr>
              <w:t>15, 2006) (Incorporated by reference to Exhibit 10.3 to the Company’s Quarterly Report on Form 10-Q for the quarter ended September 30,</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2006)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10.21(b)</w:t>
            </w:r>
          </w:p>
        </w:tc>
        <w:tc>
          <w:tcPr>
            <w:tcW w:w="10460" w:type="dxa"/>
            <w:vAlign w:val="bottom"/>
          </w:tcPr>
          <w:p>
            <w:pPr>
              <w:ind w:left="240"/>
              <w:spacing w:after="0"/>
              <w:rPr>
                <w:sz w:val="20"/>
                <w:szCs w:val="20"/>
                <w:color w:val="auto"/>
              </w:rPr>
            </w:pPr>
            <w:r>
              <w:rPr>
                <w:rFonts w:ascii="Arial" w:cs="Arial" w:eastAsia="Arial" w:hAnsi="Arial"/>
                <w:sz w:val="18"/>
                <w:szCs w:val="18"/>
                <w:color w:val="auto"/>
                <w:w w:val="92"/>
              </w:rPr>
              <w:t>Amendment to Lease Contract dated as of November 2, 2011, between Integra CI, Inc. and Puerto Rico Industrial Development Company</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(Incorporated by reference to Exhibit 10.1 to the Company’s Current Report on Form 8-K filed on November 7, 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10.21(c)</w:t>
            </w:r>
          </w:p>
        </w:tc>
        <w:tc>
          <w:tcPr>
            <w:tcW w:w="10460" w:type="dxa"/>
            <w:vAlign w:val="bottom"/>
          </w:tcPr>
          <w:p>
            <w:pPr>
              <w:ind w:left="240"/>
              <w:spacing w:after="0"/>
              <w:rPr>
                <w:sz w:val="20"/>
                <w:szCs w:val="20"/>
                <w:color w:val="auto"/>
              </w:rPr>
            </w:pPr>
            <w:r>
              <w:rPr>
                <w:rFonts w:ascii="Arial" w:cs="Arial" w:eastAsia="Arial" w:hAnsi="Arial"/>
                <w:sz w:val="18"/>
                <w:szCs w:val="18"/>
                <w:color w:val="auto"/>
                <w:w w:val="93"/>
              </w:rPr>
              <w:t>Termination of Amendment to Lease Contract, dated as of April 2, 2012, between Integra CI, Inc. and Puerto Rico Industrial Development</w:t>
            </w:r>
          </w:p>
        </w:tc>
      </w:tr>
      <w:tr>
        <w:trPr>
          <w:trHeight w:val="216"/>
        </w:trPr>
        <w:tc>
          <w:tcPr>
            <w:tcW w:w="90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w w:val="95"/>
              </w:rPr>
              <w:t>Company (Incorporated by reference to Exhibit 10.2 to the Company’s Quarterly Report on Form 10-Q for the quarter ended March 31,</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10.22</w:t>
            </w:r>
          </w:p>
        </w:tc>
        <w:tc>
          <w:tcPr>
            <w:tcW w:w="10460" w:type="dxa"/>
            <w:vAlign w:val="bottom"/>
          </w:tcPr>
          <w:p>
            <w:pPr>
              <w:ind w:left="240"/>
              <w:spacing w:after="0"/>
              <w:rPr>
                <w:sz w:val="20"/>
                <w:szCs w:val="20"/>
                <w:color w:val="auto"/>
              </w:rPr>
            </w:pPr>
            <w:r>
              <w:rPr>
                <w:rFonts w:ascii="Arial" w:cs="Arial" w:eastAsia="Arial" w:hAnsi="Arial"/>
                <w:sz w:val="18"/>
                <w:szCs w:val="18"/>
                <w:color w:val="auto"/>
                <w:w w:val="91"/>
              </w:rPr>
              <w:t>Restricted Units Agreement dated December 27, 1997 between the Company and Stuart M. Essig (Incorporated by reference to Exhibit 10.3</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to the Company’s Current Report on Form 8-K filed on February 3, 1998)*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10.23</w:t>
            </w:r>
          </w:p>
        </w:tc>
        <w:tc>
          <w:tcPr>
            <w:tcW w:w="10460" w:type="dxa"/>
            <w:vAlign w:val="bottom"/>
          </w:tcPr>
          <w:p>
            <w:pPr>
              <w:ind w:left="240"/>
              <w:spacing w:after="0"/>
              <w:rPr>
                <w:sz w:val="20"/>
                <w:szCs w:val="20"/>
                <w:color w:val="auto"/>
              </w:rPr>
            </w:pPr>
            <w:r>
              <w:rPr>
                <w:rFonts w:ascii="Arial" w:cs="Arial" w:eastAsia="Arial" w:hAnsi="Arial"/>
                <w:sz w:val="18"/>
                <w:szCs w:val="18"/>
                <w:color w:val="auto"/>
                <w:w w:val="90"/>
              </w:rPr>
              <w:t>Stock Option Grant and Agreement pursuant to 1999 Stock Option Plan dated December 22, 2000 between the Company and Stuart M. Essig</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(Incorporated by reference to Exhibit 4.1 to the Company’s Current Report on Form 8-K filed on January 8, 2001)*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10.24</w:t>
            </w:r>
          </w:p>
        </w:tc>
        <w:tc>
          <w:tcPr>
            <w:tcW w:w="10460" w:type="dxa"/>
            <w:vAlign w:val="bottom"/>
          </w:tcPr>
          <w:p>
            <w:pPr>
              <w:ind w:left="240"/>
              <w:spacing w:after="0"/>
              <w:rPr>
                <w:sz w:val="20"/>
                <w:szCs w:val="20"/>
                <w:color w:val="auto"/>
              </w:rPr>
            </w:pPr>
            <w:r>
              <w:rPr>
                <w:rFonts w:ascii="Arial" w:cs="Arial" w:eastAsia="Arial" w:hAnsi="Arial"/>
                <w:sz w:val="18"/>
                <w:szCs w:val="18"/>
                <w:color w:val="auto"/>
                <w:w w:val="94"/>
              </w:rPr>
              <w:t>Stock Option Grant and Agreement pursuant to 2000 Equity Incentive Plan dated December 22, 2000 between the Company and Stuart</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M. Essig (Incorporated by reference to Exhibit 4.2 to the Company’s Current Report on Form 8-K filed on January 8, 2001)*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10.25(a)</w:t>
            </w:r>
          </w:p>
        </w:tc>
        <w:tc>
          <w:tcPr>
            <w:tcW w:w="10460" w:type="dxa"/>
            <w:vAlign w:val="bottom"/>
          </w:tcPr>
          <w:p>
            <w:pPr>
              <w:ind w:left="240"/>
              <w:spacing w:after="0"/>
              <w:rPr>
                <w:sz w:val="20"/>
                <w:szCs w:val="20"/>
                <w:color w:val="auto"/>
              </w:rPr>
            </w:pPr>
            <w:r>
              <w:rPr>
                <w:rFonts w:ascii="Arial" w:cs="Arial" w:eastAsia="Arial" w:hAnsi="Arial"/>
                <w:sz w:val="18"/>
                <w:szCs w:val="18"/>
                <w:color w:val="auto"/>
                <w:w w:val="90"/>
              </w:rPr>
              <w:t>Restricted Units Agreement dated December 22, 2000 between the Company and Stuart M. Essig (Incorporated by reference to Exhibit 4.3 to</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the Company’s Current Report on Form 8-K filed on January 8, 2001)*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10.25(b)</w:t>
            </w:r>
          </w:p>
        </w:tc>
        <w:tc>
          <w:tcPr>
            <w:tcW w:w="10460" w:type="dxa"/>
            <w:vAlign w:val="bottom"/>
          </w:tcPr>
          <w:p>
            <w:pPr>
              <w:ind w:left="240"/>
              <w:spacing w:after="0"/>
              <w:rPr>
                <w:sz w:val="20"/>
                <w:szCs w:val="20"/>
                <w:color w:val="auto"/>
              </w:rPr>
            </w:pPr>
            <w:r>
              <w:rPr>
                <w:rFonts w:ascii="Arial" w:cs="Arial" w:eastAsia="Arial" w:hAnsi="Arial"/>
                <w:sz w:val="18"/>
                <w:szCs w:val="18"/>
                <w:color w:val="auto"/>
                <w:w w:val="95"/>
              </w:rPr>
              <w:t>Amendment 2006-1, dated as of October 30, 2006, to the Stuart M. Essig Restricted Units Agreement dated as of December 22, 2000</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(Incorporated by reference to Exhibit 10.1 to the Company’s Current Report on Form 8-K filed on November 3, 2006)*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10.26</w:t>
            </w:r>
          </w:p>
        </w:tc>
        <w:tc>
          <w:tcPr>
            <w:tcW w:w="10460" w:type="dxa"/>
            <w:vAlign w:val="bottom"/>
          </w:tcPr>
          <w:p>
            <w:pPr>
              <w:ind w:left="240"/>
              <w:spacing w:after="0"/>
              <w:rPr>
                <w:sz w:val="20"/>
                <w:szCs w:val="20"/>
                <w:color w:val="auto"/>
              </w:rPr>
            </w:pPr>
            <w:r>
              <w:rPr>
                <w:rFonts w:ascii="Arial" w:cs="Arial" w:eastAsia="Arial" w:hAnsi="Arial"/>
                <w:sz w:val="18"/>
                <w:szCs w:val="18"/>
                <w:color w:val="auto"/>
                <w:w w:val="92"/>
              </w:rPr>
              <w:t>Stock Option Grant and Agreement pursuant to 2003 Equity Incentive Plan dated July 27, 2004 between the Company and Stuart M. Essig</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w w:val="97"/>
              </w:rPr>
              <w:t>(Incorporated by reference to Exhibit 10.30 to the Company’s Annual Report on Form 10-K for the year ended December 31, 2004)*</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10.27(a)</w:t>
            </w:r>
          </w:p>
        </w:tc>
        <w:tc>
          <w:tcPr>
            <w:tcW w:w="10460" w:type="dxa"/>
            <w:vAlign w:val="bottom"/>
          </w:tcPr>
          <w:p>
            <w:pPr>
              <w:ind w:left="240"/>
              <w:spacing w:after="0"/>
              <w:rPr>
                <w:sz w:val="20"/>
                <w:szCs w:val="20"/>
                <w:color w:val="auto"/>
              </w:rPr>
            </w:pPr>
            <w:r>
              <w:rPr>
                <w:rFonts w:ascii="Arial" w:cs="Arial" w:eastAsia="Arial" w:hAnsi="Arial"/>
                <w:sz w:val="18"/>
                <w:szCs w:val="18"/>
                <w:color w:val="auto"/>
                <w:w w:val="91"/>
              </w:rPr>
              <w:t>Contract Stock/Restricted Units Agreement pursuant to 2003 Equity Incentive Plan dated July 27, 2004 between the Company and Stuart M.</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w w:val="92"/>
              </w:rPr>
              <w:t>Essig (Incorporated by reference to Exhibit 10.31 to the Company’s Annual Report on Form 10-K for the year ended December 31, 2004)*</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10.27(b)</w:t>
            </w:r>
          </w:p>
        </w:tc>
        <w:tc>
          <w:tcPr>
            <w:tcW w:w="10460" w:type="dxa"/>
            <w:vAlign w:val="bottom"/>
          </w:tcPr>
          <w:p>
            <w:pPr>
              <w:ind w:left="240"/>
              <w:spacing w:after="0"/>
              <w:rPr>
                <w:sz w:val="20"/>
                <w:szCs w:val="20"/>
                <w:color w:val="auto"/>
              </w:rPr>
            </w:pPr>
            <w:r>
              <w:rPr>
                <w:rFonts w:ascii="Arial" w:cs="Arial" w:eastAsia="Arial" w:hAnsi="Arial"/>
                <w:sz w:val="18"/>
                <w:szCs w:val="18"/>
                <w:color w:val="auto"/>
                <w:w w:val="93"/>
              </w:rPr>
              <w:t>Amendment 2006-1, dated as of October 30, 2006, to the Stuart M. Essig Contract Stock/Restricted Units Agreement dated as of July 27,</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2004 (Incorporated by reference to Exhibit 10.2 to the Company’s Current Report on Form 8-K filed on November 3, 2006)*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10.27(c)</w:t>
            </w:r>
          </w:p>
        </w:tc>
        <w:tc>
          <w:tcPr>
            <w:tcW w:w="10460" w:type="dxa"/>
            <w:vAlign w:val="bottom"/>
          </w:tcPr>
          <w:p>
            <w:pPr>
              <w:ind w:left="240"/>
              <w:spacing w:after="0"/>
              <w:rPr>
                <w:sz w:val="20"/>
                <w:szCs w:val="20"/>
                <w:color w:val="auto"/>
              </w:rPr>
            </w:pPr>
            <w:r>
              <w:rPr>
                <w:rFonts w:ascii="Arial" w:cs="Arial" w:eastAsia="Arial" w:hAnsi="Arial"/>
                <w:sz w:val="18"/>
                <w:szCs w:val="18"/>
                <w:color w:val="auto"/>
                <w:w w:val="91"/>
              </w:rPr>
              <w:t>Amendment 2008-1, dated as of March 6, 2008, to the Stuart M. Essig Contract Stock/Restricted Units Agreement dated as of July 27, 2004</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w w:val="95"/>
              </w:rPr>
              <w:t>(Incorporated by reference to Exhibit 10.25(c) to the Company’s Annual Report on Form 10-K for the year ended December 31,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10.27(d)</w:t>
            </w:r>
          </w:p>
        </w:tc>
        <w:tc>
          <w:tcPr>
            <w:tcW w:w="10460" w:type="dxa"/>
            <w:vAlign w:val="bottom"/>
          </w:tcPr>
          <w:p>
            <w:pPr>
              <w:ind w:left="240"/>
              <w:spacing w:after="0"/>
              <w:rPr>
                <w:sz w:val="20"/>
                <w:szCs w:val="20"/>
                <w:color w:val="auto"/>
              </w:rPr>
            </w:pPr>
            <w:r>
              <w:rPr>
                <w:rFonts w:ascii="Arial" w:cs="Arial" w:eastAsia="Arial" w:hAnsi="Arial"/>
                <w:sz w:val="18"/>
                <w:szCs w:val="18"/>
                <w:color w:val="auto"/>
                <w:w w:val="92"/>
              </w:rPr>
              <w:t>Amendment 2011-1, dated as of May 17, 2011, to the Stuart M. Essig Contract Stock/Restricted Units Agreement dated as of July 24, 2004</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w w:val="98"/>
              </w:rPr>
              <w:t>(Incorporated by reference to Exhibit 10.6 to the Company’s Quarterly Report on Form 10-Q for the quarter ended June 30, 2011)*</w:t>
            </w:r>
          </w:p>
        </w:tc>
      </w:tr>
    </w:tbl>
    <w:p>
      <w:pPr>
        <w:sectPr>
          <w:pgSz w:w="11900" w:h="16838" w:orient="portrait"/>
          <w:cols w:equalWidth="0" w:num="1">
            <w:col w:w="11360"/>
          </w:cols>
          <w:pgMar w:left="280" w:top="692" w:right="25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Contract Stock/Units Agreement dated as of May 17, 2011 between the Company and Stuart M. Essig (Incorporated by reference to Exhibit</w:t>
            </w:r>
          </w:p>
        </w:tc>
      </w:tr>
      <w:tr>
        <w:trPr>
          <w:trHeight w:val="216"/>
        </w:trPr>
        <w:tc>
          <w:tcPr>
            <w:tcW w:w="88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10.2 to the Company’s Current Report on Form 8-K filed on</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May 23,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10.29</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Form of Amendment 2011-1 to Contract Stock/Restricted Units Agreements between the Company and Mr. Essig (Incorporated by reference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to Exhibit 10.5 to the Company’s Quarterly Report on Form 10-Q for the quarter ended June 30,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Form of Stock Option Grant and Agreement between the Company and Stuart M. Essig (Incorporated by reference to Exhibit 10.32 to the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Company’s Annual Report on Form 10-K for the year ended December 31,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10.31(a)</w:t>
            </w:r>
          </w:p>
        </w:tc>
        <w:tc>
          <w:tcPr>
            <w:tcW w:w="10480" w:type="dxa"/>
            <w:vAlign w:val="bottom"/>
          </w:tcPr>
          <w:p>
            <w:pPr>
              <w:ind w:left="260"/>
              <w:spacing w:after="0"/>
              <w:rPr>
                <w:sz w:val="20"/>
                <w:szCs w:val="20"/>
                <w:color w:val="auto"/>
              </w:rPr>
            </w:pPr>
            <w:r>
              <w:rPr>
                <w:rFonts w:ascii="Arial" w:cs="Arial" w:eastAsia="Arial" w:hAnsi="Arial"/>
                <w:sz w:val="18"/>
                <w:szCs w:val="18"/>
                <w:color w:val="auto"/>
                <w:w w:val="97"/>
              </w:rPr>
              <w:t>Form of Contract Stock/Restricted Units Agreement for Stuart M. Essig (Incorporated by reference to Exhibit 10.8 to the Company’s</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Quarterly Report on Form 10-Q for the quarter ended June 30,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10.31(b)</w:t>
            </w:r>
          </w:p>
        </w:tc>
        <w:tc>
          <w:tcPr>
            <w:tcW w:w="10480" w:type="dxa"/>
            <w:vAlign w:val="bottom"/>
          </w:tcPr>
          <w:p>
            <w:pPr>
              <w:ind w:left="260"/>
              <w:spacing w:after="0"/>
              <w:rPr>
                <w:sz w:val="20"/>
                <w:szCs w:val="20"/>
                <w:color w:val="auto"/>
              </w:rPr>
            </w:pPr>
            <w:r>
              <w:rPr>
                <w:rFonts w:ascii="Arial" w:cs="Arial" w:eastAsia="Arial" w:hAnsi="Arial"/>
                <w:sz w:val="18"/>
                <w:szCs w:val="18"/>
                <w:color w:val="auto"/>
                <w:w w:val="96"/>
              </w:rPr>
              <w:t>New Form of Contract Stock/Restricted Units Agreement (for Annual Equity Awards) for Stuart M. Essig (Incorporated by reference to</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Exhibit 10.28(b) to the Company’s Annual Report on Form 10-K for the year ended December 31, 2010)*</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10.31(c)</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Form of Amendment 2011-1 to Contract Stock/Restricted Units Agreement between the Company and Mr. Essig (Incorporated by reference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to Exhibit 10.4 to the Company’s Quarterly Report on Form 10-Q for the quarter ended June 30,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Form of Performance Stock Agreement for Stuart M. Essig (Incorporated by reference to Exhibit 10.9 to the Company’s Quarterly Report on</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Form 10-Q for the quarter ended June 30,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10480" w:type="dxa"/>
            <w:vAlign w:val="bottom"/>
          </w:tcPr>
          <w:p>
            <w:pPr>
              <w:ind w:left="260"/>
              <w:spacing w:after="0"/>
              <w:rPr>
                <w:sz w:val="20"/>
                <w:szCs w:val="20"/>
                <w:color w:val="auto"/>
              </w:rPr>
            </w:pPr>
            <w:r>
              <w:rPr>
                <w:rFonts w:ascii="Arial" w:cs="Arial" w:eastAsia="Arial" w:hAnsi="Arial"/>
                <w:sz w:val="18"/>
                <w:szCs w:val="18"/>
                <w:color w:val="auto"/>
                <w:w w:val="96"/>
              </w:rPr>
              <w:t>Form of Restricted Stock Agreement for Stuart M. Essig for 2009 (Incorporated by reference to Exhibit 10.3 to the Company’s Current</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Report on Form 8-K filed April 13, 2009)*</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Form of Performance Stock Agreement (Executive Officers) (Incorporated by reference to Exhibit 10.2 to the Company's Current Report on</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Form 8-K filed on February 25, 2013)*</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Performance Incentive Compensation Plan effective January 1, 2013 (Incorporated by reference to Exhibit 10.3 to the Company’s Quarterly</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Report on Form 10-Q for the quarter ended March 31, 2013)*</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10.36</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New Form of Contract Stock/Restricted Units Agreement pursuant to 2003 Equity Incentive Plan (for 2011) Annual Equity Award for Stuart</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M. Essig) (Incorporated by reference to Exhibit 10.3 to the Company’s Quarterly Report on Form 10-Q for the quarter ended June 30,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10.37</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Form of Notice of Grant of Stock Option and Stock Option Agreement (Incorporated by reference to Exhibit 10.1 to the Company’s Current</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Report on Form 8-K filed on July 29, 2005)*</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10480" w:type="dxa"/>
            <w:vAlign w:val="bottom"/>
          </w:tcPr>
          <w:p>
            <w:pPr>
              <w:ind w:left="260"/>
              <w:spacing w:after="0"/>
              <w:rPr>
                <w:sz w:val="20"/>
                <w:szCs w:val="20"/>
                <w:color w:val="auto"/>
              </w:rPr>
            </w:pPr>
            <w:r>
              <w:rPr>
                <w:rFonts w:ascii="Arial" w:cs="Arial" w:eastAsia="Arial" w:hAnsi="Arial"/>
                <w:sz w:val="18"/>
                <w:szCs w:val="18"/>
                <w:color w:val="auto"/>
                <w:w w:val="96"/>
              </w:rPr>
              <w:t>Form of Non-Qualified Stock Option Agreement (Non-Directors) (Incorporated by reference to Exhibit 10.35 to the Company’s Annual</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Report on Form 10-K for the year ended December 31,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10.39</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Form of Incentive Stock Option Agreement (Incorporated by reference to Exhibit 10.36 to the Company’s Annual Report on Form 10-K for</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the year ended December 31,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10.40</w:t>
            </w: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Form of Non-Qualified Stock Option Agreement (Directors) (Incorporated by reference to Exhibit 10.37 to the Company’s Annual Report on</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Form 10-K for the year ended December 31,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10.41(a)</w:t>
            </w:r>
          </w:p>
        </w:tc>
        <w:tc>
          <w:tcPr>
            <w:tcW w:w="10480" w:type="dxa"/>
            <w:vAlign w:val="bottom"/>
          </w:tcPr>
          <w:p>
            <w:pPr>
              <w:ind w:left="260"/>
              <w:spacing w:after="0"/>
              <w:rPr>
                <w:sz w:val="20"/>
                <w:szCs w:val="20"/>
                <w:color w:val="auto"/>
              </w:rPr>
            </w:pPr>
            <w:r>
              <w:rPr>
                <w:rFonts w:ascii="Arial" w:cs="Arial" w:eastAsia="Arial" w:hAnsi="Arial"/>
                <w:sz w:val="18"/>
                <w:szCs w:val="18"/>
                <w:color w:val="auto"/>
                <w:w w:val="94"/>
              </w:rPr>
              <w:t>Compensation of Directors of the Company effective May 17, 2011 (Incorporated by reference to Exhibit 10.1 to the Company’s Current</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Report on Form 8-K filed on December 16, 2010)*</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10.41(b)</w:t>
            </w:r>
          </w:p>
        </w:tc>
        <w:tc>
          <w:tcPr>
            <w:tcW w:w="10480" w:type="dxa"/>
            <w:vAlign w:val="bottom"/>
          </w:tcPr>
          <w:p>
            <w:pPr>
              <w:ind w:left="260"/>
              <w:spacing w:after="0"/>
              <w:rPr>
                <w:sz w:val="20"/>
                <w:szCs w:val="20"/>
                <w:color w:val="auto"/>
              </w:rPr>
            </w:pPr>
            <w:r>
              <w:rPr>
                <w:rFonts w:ascii="Arial" w:cs="Arial" w:eastAsia="Arial" w:hAnsi="Arial"/>
                <w:sz w:val="18"/>
                <w:szCs w:val="18"/>
                <w:color w:val="auto"/>
                <w:w w:val="97"/>
              </w:rPr>
              <w:t>Compensation of Non-Employee Directors of the Company effective May 17, 2012 (Incorporated by reference to Exhibit 10.1 to the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Company’s Current Report on Form 8-K filed on April 13,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10.41(c)</w:t>
            </w:r>
          </w:p>
        </w:tc>
        <w:tc>
          <w:tcPr>
            <w:tcW w:w="10480" w:type="dxa"/>
            <w:vAlign w:val="bottom"/>
          </w:tcPr>
          <w:p>
            <w:pPr>
              <w:ind w:left="260"/>
              <w:spacing w:after="0"/>
              <w:rPr>
                <w:sz w:val="20"/>
                <w:szCs w:val="20"/>
                <w:color w:val="auto"/>
              </w:rPr>
            </w:pPr>
            <w:r>
              <w:rPr>
                <w:rFonts w:ascii="Arial" w:cs="Arial" w:eastAsia="Arial" w:hAnsi="Arial"/>
                <w:sz w:val="18"/>
                <w:szCs w:val="18"/>
                <w:color w:val="auto"/>
                <w:w w:val="97"/>
              </w:rPr>
              <w:t>Compensation of Non-Employee Directors of the Company effective May 22, 2013 (Incorporated by reference to Exhibit 10.1 to the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Company’s Current Report on Form 8-K filed on December 14,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10.41(d)</w:t>
            </w:r>
          </w:p>
        </w:tc>
        <w:tc>
          <w:tcPr>
            <w:tcW w:w="10480" w:type="dxa"/>
            <w:vAlign w:val="bottom"/>
          </w:tcPr>
          <w:p>
            <w:pPr>
              <w:ind w:left="260"/>
              <w:spacing w:after="0"/>
              <w:rPr>
                <w:sz w:val="20"/>
                <w:szCs w:val="20"/>
                <w:color w:val="auto"/>
              </w:rPr>
            </w:pPr>
            <w:r>
              <w:rPr>
                <w:rFonts w:ascii="Arial" w:cs="Arial" w:eastAsia="Arial" w:hAnsi="Arial"/>
                <w:sz w:val="18"/>
                <w:szCs w:val="18"/>
                <w:color w:val="auto"/>
                <w:w w:val="98"/>
              </w:rPr>
              <w:t>Compensation of Non-Employee Directors of the Company effective July 24, 2013 (Incorporated by reference to Exhibit 10.1 to the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Company’s Current Report on Form 8-K filed on July 29, 2013)*</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10.42(a)</w:t>
            </w:r>
          </w:p>
        </w:tc>
        <w:tc>
          <w:tcPr>
            <w:tcW w:w="10480" w:type="dxa"/>
            <w:vAlign w:val="bottom"/>
          </w:tcPr>
          <w:p>
            <w:pPr>
              <w:ind w:left="260"/>
              <w:spacing w:after="0"/>
              <w:rPr>
                <w:sz w:val="20"/>
                <w:szCs w:val="20"/>
                <w:color w:val="auto"/>
              </w:rPr>
            </w:pPr>
            <w:r>
              <w:rPr>
                <w:rFonts w:ascii="Arial" w:cs="Arial" w:eastAsia="Arial" w:hAnsi="Arial"/>
                <w:sz w:val="18"/>
                <w:szCs w:val="18"/>
                <w:color w:val="auto"/>
                <w:w w:val="96"/>
              </w:rPr>
              <w:t>Form of Restricted Stock Agreement for Non-Employee Directors under the 2003 Equity Incentive Plan (Incorporated by reference to</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Exhibit 10.4 to the Company’s Quarterly Report on Form 10-Q for the quarter ended June 30,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10.42(b)</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New Form of Restricted Stock Agreement for Non-Employee Directors under the 2003 Equity Incentive Plan (Incorporated by reference to</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Exhibit 10.38(b) to the Company’s Annual Report on Form 10-K for the year ended December 31, 2012)*</w:t>
            </w:r>
          </w:p>
        </w:tc>
      </w:tr>
    </w:tbl>
    <w:p>
      <w:pPr>
        <w:sectPr>
          <w:pgSz w:w="11900" w:h="16838" w:orient="portrait"/>
          <w:cols w:equalWidth="0" w:num="1">
            <w:col w:w="11360"/>
          </w:cols>
          <w:pgMar w:left="280" w:top="530" w:right="25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10.42(c)</w:t>
            </w:r>
          </w:p>
        </w:tc>
        <w:tc>
          <w:tcPr>
            <w:tcW w:w="10460" w:type="dxa"/>
            <w:vAlign w:val="bottom"/>
          </w:tcPr>
          <w:p>
            <w:pPr>
              <w:ind w:left="240"/>
              <w:spacing w:after="0"/>
              <w:rPr>
                <w:sz w:val="20"/>
                <w:szCs w:val="20"/>
                <w:color w:val="auto"/>
              </w:rPr>
            </w:pPr>
            <w:r>
              <w:rPr>
                <w:rFonts w:ascii="Arial" w:cs="Arial" w:eastAsia="Arial" w:hAnsi="Arial"/>
                <w:sz w:val="18"/>
                <w:szCs w:val="18"/>
                <w:color w:val="auto"/>
                <w:w w:val="93"/>
              </w:rPr>
              <w:t>Form of Restricted Stock Agreement for Executive Officers - Annual Vesting (Incorporated by reference to Exhibit 10.1 to the Company’s</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Current Report on Form 8-K filed on February 25, 2009)*</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10.42(d)</w:t>
            </w:r>
          </w:p>
        </w:tc>
        <w:tc>
          <w:tcPr>
            <w:tcW w:w="10460" w:type="dxa"/>
            <w:vAlign w:val="bottom"/>
          </w:tcPr>
          <w:p>
            <w:pPr>
              <w:ind w:left="240"/>
              <w:spacing w:after="0"/>
              <w:rPr>
                <w:sz w:val="20"/>
                <w:szCs w:val="20"/>
                <w:color w:val="auto"/>
              </w:rPr>
            </w:pPr>
            <w:r>
              <w:rPr>
                <w:rFonts w:ascii="Arial" w:cs="Arial" w:eastAsia="Arial" w:hAnsi="Arial"/>
                <w:sz w:val="18"/>
                <w:szCs w:val="18"/>
                <w:color w:val="auto"/>
                <w:w w:val="93"/>
              </w:rPr>
              <w:t>Form of Restricted Stock Agreement for Executive Officers - Annual Vesting (Incorporated by reference to Exhibit 10.5 to the Company’s</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Quarterly Report on Form 10-Q for the quarter ended June 30,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10.42(e)</w:t>
            </w:r>
          </w:p>
        </w:tc>
        <w:tc>
          <w:tcPr>
            <w:tcW w:w="10460" w:type="dxa"/>
            <w:vAlign w:val="bottom"/>
          </w:tcPr>
          <w:p>
            <w:pPr>
              <w:ind w:left="240"/>
              <w:spacing w:after="0"/>
              <w:rPr>
                <w:sz w:val="20"/>
                <w:szCs w:val="20"/>
                <w:color w:val="auto"/>
              </w:rPr>
            </w:pPr>
            <w:r>
              <w:rPr>
                <w:rFonts w:ascii="Arial" w:cs="Arial" w:eastAsia="Arial" w:hAnsi="Arial"/>
                <w:sz w:val="18"/>
                <w:szCs w:val="18"/>
                <w:color w:val="auto"/>
                <w:w w:val="95"/>
              </w:rPr>
              <w:t>New Form of Restricted Stock Agreement for Executive Officers - Annual Vesting (Incorporated by reference to Exhibit 10.38(e) to the</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Company’s Annual Report on Form 10-K for the year ended December 31,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10.42(f)</w:t>
            </w:r>
          </w:p>
        </w:tc>
        <w:tc>
          <w:tcPr>
            <w:tcW w:w="10460" w:type="dxa"/>
            <w:vAlign w:val="bottom"/>
          </w:tcPr>
          <w:p>
            <w:pPr>
              <w:ind w:left="240"/>
              <w:spacing w:after="0"/>
              <w:rPr>
                <w:sz w:val="20"/>
                <w:szCs w:val="20"/>
                <w:color w:val="auto"/>
              </w:rPr>
            </w:pPr>
            <w:r>
              <w:rPr>
                <w:rFonts w:ascii="Arial" w:cs="Arial" w:eastAsia="Arial" w:hAnsi="Arial"/>
                <w:sz w:val="18"/>
                <w:szCs w:val="18"/>
                <w:color w:val="auto"/>
                <w:w w:val="96"/>
              </w:rPr>
              <w:t>Form of Restricted Stock Agreement for Executive Officers - Cliff Vesting (Incorporated by reference to Exhibit 10.8 to the Company’s</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Quarter Report on Form 10-Q for the quarter ended March 31, 2009)*</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10.42(g)</w:t>
            </w:r>
          </w:p>
        </w:tc>
        <w:tc>
          <w:tcPr>
            <w:tcW w:w="10460" w:type="dxa"/>
            <w:vAlign w:val="bottom"/>
          </w:tcPr>
          <w:p>
            <w:pPr>
              <w:ind w:left="240"/>
              <w:spacing w:after="0"/>
              <w:rPr>
                <w:sz w:val="20"/>
                <w:szCs w:val="20"/>
                <w:color w:val="auto"/>
              </w:rPr>
            </w:pPr>
            <w:r>
              <w:rPr>
                <w:rFonts w:ascii="Arial" w:cs="Arial" w:eastAsia="Arial" w:hAnsi="Arial"/>
                <w:sz w:val="18"/>
                <w:szCs w:val="18"/>
                <w:color w:val="auto"/>
                <w:w w:val="96"/>
              </w:rPr>
              <w:t>Form of Restricted Stock Agreement for Executive Officers - Cliff Vesting (Incorporated by reference to Exhibit 10.6 to the Company’s</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quarterly report on Form 10-Q for the quarter ended June 30,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10.42(h)</w:t>
            </w:r>
          </w:p>
        </w:tc>
        <w:tc>
          <w:tcPr>
            <w:tcW w:w="10460" w:type="dxa"/>
            <w:vAlign w:val="bottom"/>
          </w:tcPr>
          <w:p>
            <w:pPr>
              <w:ind w:left="240"/>
              <w:spacing w:after="0"/>
              <w:rPr>
                <w:sz w:val="20"/>
                <w:szCs w:val="20"/>
                <w:color w:val="auto"/>
              </w:rPr>
            </w:pPr>
            <w:r>
              <w:rPr>
                <w:rFonts w:ascii="Arial" w:cs="Arial" w:eastAsia="Arial" w:hAnsi="Arial"/>
                <w:sz w:val="18"/>
                <w:szCs w:val="18"/>
                <w:color w:val="auto"/>
                <w:w w:val="98"/>
              </w:rPr>
              <w:t>New Form of Restricted Stock Agreement for Executive Officers - Cliff Vesting (Incorporated by reference to Exhibit 10.38(h) to the</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Company’s Annual Report on Form 10-K for the year ended December 31,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10.42(i)</w:t>
            </w:r>
          </w:p>
        </w:tc>
        <w:tc>
          <w:tcPr>
            <w:tcW w:w="10460" w:type="dxa"/>
            <w:vAlign w:val="bottom"/>
          </w:tcPr>
          <w:p>
            <w:pPr>
              <w:ind w:left="240"/>
              <w:spacing w:after="0"/>
              <w:rPr>
                <w:sz w:val="20"/>
                <w:szCs w:val="20"/>
                <w:color w:val="auto"/>
              </w:rPr>
            </w:pPr>
            <w:r>
              <w:rPr>
                <w:rFonts w:ascii="Arial" w:cs="Arial" w:eastAsia="Arial" w:hAnsi="Arial"/>
                <w:sz w:val="18"/>
                <w:szCs w:val="18"/>
                <w:color w:val="auto"/>
                <w:w w:val="95"/>
              </w:rPr>
              <w:t>Form of Restricted Stock Agreement for Mr. Henneman for 2008 and 2009 (Incorporated by reference to Exhibit 10.6 to the Company’s</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Current Report on Form 8-K filed on April 13, 2009)*</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10.42(j)</w:t>
            </w:r>
          </w:p>
        </w:tc>
        <w:tc>
          <w:tcPr>
            <w:tcW w:w="10460" w:type="dxa"/>
            <w:vAlign w:val="bottom"/>
          </w:tcPr>
          <w:p>
            <w:pPr>
              <w:ind w:left="240"/>
              <w:spacing w:after="0"/>
              <w:rPr>
                <w:sz w:val="20"/>
                <w:szCs w:val="20"/>
                <w:color w:val="auto"/>
              </w:rPr>
            </w:pPr>
            <w:r>
              <w:rPr>
                <w:rFonts w:ascii="Arial" w:cs="Arial" w:eastAsia="Arial" w:hAnsi="Arial"/>
                <w:sz w:val="18"/>
                <w:szCs w:val="18"/>
                <w:color w:val="auto"/>
                <w:w w:val="91"/>
              </w:rPr>
              <w:t>Form of Contract Stock/Restricted Units Agreement pursuant to 2003 Equity Incentive Plan for Mr. Henneman (Incorporated by reference to</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Exhibit 10.4 to the Company’s Current Report on Form 8-K filed on December 24, 2008)*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10.42(k)</w:t>
            </w:r>
          </w:p>
        </w:tc>
        <w:tc>
          <w:tcPr>
            <w:tcW w:w="10460" w:type="dxa"/>
            <w:vAlign w:val="bottom"/>
          </w:tcPr>
          <w:p>
            <w:pPr>
              <w:ind w:left="240"/>
              <w:spacing w:after="0"/>
              <w:rPr>
                <w:sz w:val="20"/>
                <w:szCs w:val="20"/>
                <w:color w:val="auto"/>
              </w:rPr>
            </w:pPr>
            <w:r>
              <w:rPr>
                <w:rFonts w:ascii="Arial" w:cs="Arial" w:eastAsia="Arial" w:hAnsi="Arial"/>
                <w:sz w:val="18"/>
                <w:szCs w:val="18"/>
                <w:color w:val="auto"/>
                <w:w w:val="92"/>
              </w:rPr>
              <w:t>Form of Option Agreement for John B. Henneman, III (Incorporated by reference to Exhibit 10.1 to the Company’s Current Report on Form</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8-K filed on June 6, 2008)*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10.42(l)</w:t>
            </w:r>
          </w:p>
        </w:tc>
        <w:tc>
          <w:tcPr>
            <w:tcW w:w="10460" w:type="dxa"/>
            <w:vAlign w:val="bottom"/>
          </w:tcPr>
          <w:p>
            <w:pPr>
              <w:ind w:left="240"/>
              <w:spacing w:after="0"/>
              <w:rPr>
                <w:sz w:val="20"/>
                <w:szCs w:val="20"/>
                <w:color w:val="auto"/>
              </w:rPr>
            </w:pPr>
            <w:r>
              <w:rPr>
                <w:rFonts w:ascii="Arial" w:cs="Arial" w:eastAsia="Arial" w:hAnsi="Arial"/>
                <w:sz w:val="18"/>
                <w:szCs w:val="18"/>
                <w:color w:val="auto"/>
                <w:w w:val="92"/>
              </w:rPr>
              <w:t>Form of Performance Stock Agreement for John B. Henneman, III (Incorporated by reference to Exhibit 10.37(b) to the Company’s Annual</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Report on Form 10-K for the year ended December 31,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10.42(m)</w:t>
            </w:r>
          </w:p>
        </w:tc>
        <w:tc>
          <w:tcPr>
            <w:tcW w:w="10460" w:type="dxa"/>
            <w:vAlign w:val="bottom"/>
          </w:tcPr>
          <w:p>
            <w:pPr>
              <w:ind w:left="240"/>
              <w:spacing w:after="0"/>
              <w:rPr>
                <w:sz w:val="20"/>
                <w:szCs w:val="20"/>
                <w:color w:val="auto"/>
              </w:rPr>
            </w:pPr>
            <w:r>
              <w:rPr>
                <w:rFonts w:ascii="Arial" w:cs="Arial" w:eastAsia="Arial" w:hAnsi="Arial"/>
                <w:sz w:val="18"/>
                <w:szCs w:val="18"/>
                <w:color w:val="auto"/>
                <w:w w:val="95"/>
              </w:rPr>
              <w:t>Form of Contract Stock/Restricted Units Agreement (for Signing Grant) for Mr. Arduini (Incorporated by reference to Exhibit 10.4 to the</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Company’s Current Report on Form 8-K filed on October 12,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10.42(n)</w:t>
            </w:r>
          </w:p>
        </w:tc>
        <w:tc>
          <w:tcPr>
            <w:tcW w:w="10460" w:type="dxa"/>
            <w:vAlign w:val="bottom"/>
          </w:tcPr>
          <w:p>
            <w:pPr>
              <w:ind w:left="240"/>
              <w:spacing w:after="0"/>
              <w:rPr>
                <w:sz w:val="20"/>
                <w:szCs w:val="20"/>
                <w:color w:val="auto"/>
              </w:rPr>
            </w:pPr>
            <w:r>
              <w:rPr>
                <w:rFonts w:ascii="Arial" w:cs="Arial" w:eastAsia="Arial" w:hAnsi="Arial"/>
                <w:sz w:val="18"/>
                <w:szCs w:val="18"/>
                <w:color w:val="auto"/>
                <w:w w:val="94"/>
              </w:rPr>
              <w:t>Form of Contract Stock/Restricted Units Agreement (for Annual Equity Awards) for Mr. Arduini (Incorporated by reference to Exhibit 10.5</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to the Company’s Current Report on Form 8-K filed on October 12,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10.42(o)</w:t>
            </w:r>
          </w:p>
        </w:tc>
        <w:tc>
          <w:tcPr>
            <w:tcW w:w="10460" w:type="dxa"/>
            <w:vAlign w:val="bottom"/>
          </w:tcPr>
          <w:p>
            <w:pPr>
              <w:ind w:left="240"/>
              <w:spacing w:after="0"/>
              <w:rPr>
                <w:sz w:val="20"/>
                <w:szCs w:val="20"/>
                <w:color w:val="auto"/>
              </w:rPr>
            </w:pPr>
            <w:r>
              <w:rPr>
                <w:rFonts w:ascii="Arial" w:cs="Arial" w:eastAsia="Arial" w:hAnsi="Arial"/>
                <w:sz w:val="18"/>
                <w:szCs w:val="18"/>
                <w:color w:val="auto"/>
                <w:w w:val="97"/>
              </w:rPr>
              <w:t>Form of Non-Qualified Stock Option Agreement for Mr. Arduini (Incorporated by reference to Exhibit 10.6 to the Company’s Current</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Report on Form 8-K filed on October 12,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10.42(p)</w:t>
            </w:r>
          </w:p>
        </w:tc>
        <w:tc>
          <w:tcPr>
            <w:tcW w:w="10460" w:type="dxa"/>
            <w:vAlign w:val="bottom"/>
          </w:tcPr>
          <w:p>
            <w:pPr>
              <w:ind w:left="240"/>
              <w:spacing w:after="0"/>
              <w:rPr>
                <w:sz w:val="20"/>
                <w:szCs w:val="20"/>
                <w:color w:val="auto"/>
              </w:rPr>
            </w:pPr>
            <w:r>
              <w:rPr>
                <w:rFonts w:ascii="Arial" w:cs="Arial" w:eastAsia="Arial" w:hAnsi="Arial"/>
                <w:sz w:val="18"/>
                <w:szCs w:val="18"/>
                <w:color w:val="auto"/>
                <w:w w:val="95"/>
              </w:rPr>
              <w:t>Form of Restricted Stock Agreement for Mr. Henneman (Incorporated by reference to Exhibit 10.7 to the Company’s Current Report on</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Form 8-K filed on October 12,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10.42(q)</w:t>
            </w:r>
          </w:p>
        </w:tc>
        <w:tc>
          <w:tcPr>
            <w:tcW w:w="10460" w:type="dxa"/>
            <w:vAlign w:val="bottom"/>
          </w:tcPr>
          <w:p>
            <w:pPr>
              <w:ind w:left="240"/>
              <w:spacing w:after="0"/>
              <w:rPr>
                <w:sz w:val="20"/>
                <w:szCs w:val="20"/>
                <w:color w:val="auto"/>
              </w:rPr>
            </w:pPr>
            <w:r>
              <w:rPr>
                <w:rFonts w:ascii="Arial" w:cs="Arial" w:eastAsia="Arial" w:hAnsi="Arial"/>
                <w:sz w:val="18"/>
                <w:szCs w:val="18"/>
                <w:color w:val="auto"/>
                <w:w w:val="93"/>
              </w:rPr>
              <w:t>Form of Restricted Stock Agreement (Annual Vesting) for Mr. Henneman (Incorporated by reference to Exhibit 10.39(n) to the Company’s</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Annual Report on Form 10-K for the year ended December 31, 2011) *</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10.43</w:t>
            </w:r>
          </w:p>
        </w:tc>
        <w:tc>
          <w:tcPr>
            <w:tcW w:w="10460" w:type="dxa"/>
            <w:vAlign w:val="bottom"/>
          </w:tcPr>
          <w:p>
            <w:pPr>
              <w:ind w:left="240"/>
              <w:spacing w:after="0"/>
              <w:rPr>
                <w:sz w:val="20"/>
                <w:szCs w:val="20"/>
                <w:color w:val="auto"/>
              </w:rPr>
            </w:pPr>
            <w:r>
              <w:rPr>
                <w:rFonts w:ascii="Arial" w:cs="Arial" w:eastAsia="Arial" w:hAnsi="Arial"/>
                <w:sz w:val="18"/>
                <w:szCs w:val="18"/>
                <w:color w:val="auto"/>
                <w:w w:val="92"/>
              </w:rPr>
              <w:t>Annual Executive Physical Medical Exam Arrangement (Incorporated by reference to the Exhibit 10.2 to the Company’s Current Report on</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Form 8-K filed on July 29, 2013)*</w:t>
            </w:r>
          </w:p>
        </w:tc>
      </w:tr>
      <w:tr>
        <w:trPr>
          <w:trHeight w:val="256"/>
        </w:trPr>
        <w:tc>
          <w:tcPr>
            <w:tcW w:w="900" w:type="dxa"/>
            <w:vAlign w:val="bottom"/>
          </w:tcPr>
          <w:p>
            <w:pPr>
              <w:spacing w:after="0"/>
              <w:rPr>
                <w:sz w:val="20"/>
                <w:szCs w:val="20"/>
                <w:color w:val="auto"/>
              </w:rPr>
            </w:pPr>
            <w:r>
              <w:rPr>
                <w:rFonts w:ascii="Arial" w:cs="Arial" w:eastAsia="Arial" w:hAnsi="Arial"/>
                <w:sz w:val="18"/>
                <w:szCs w:val="18"/>
                <w:color w:val="auto"/>
              </w:rPr>
              <w:t>10.44</w:t>
            </w:r>
          </w:p>
        </w:tc>
        <w:tc>
          <w:tcPr>
            <w:tcW w:w="10460" w:type="dxa"/>
            <w:vAlign w:val="bottom"/>
          </w:tcPr>
          <w:p>
            <w:pPr>
              <w:ind w:left="240"/>
              <w:spacing w:after="0"/>
              <w:rPr>
                <w:sz w:val="20"/>
                <w:szCs w:val="20"/>
                <w:color w:val="auto"/>
              </w:rPr>
            </w:pPr>
            <w:r>
              <w:rPr>
                <w:rFonts w:ascii="Arial" w:cs="Arial" w:eastAsia="Arial" w:hAnsi="Arial"/>
                <w:sz w:val="18"/>
                <w:szCs w:val="18"/>
                <w:color w:val="auto"/>
                <w:w w:val="91"/>
              </w:rPr>
              <w:t>Reimbursement of Legal Fees Arrangement for CFO (Incorporated by reference to Exhibit 10.3 to the Company’s Current Report on Form 8-</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K filed on July 29, 2013) *</w:t>
            </w:r>
          </w:p>
        </w:tc>
      </w:tr>
      <w:tr>
        <w:trPr>
          <w:trHeight w:val="472"/>
        </w:trPr>
        <w:tc>
          <w:tcPr>
            <w:tcW w:w="900" w:type="dxa"/>
            <w:vAlign w:val="bottom"/>
          </w:tcPr>
          <w:p>
            <w:pPr>
              <w:spacing w:after="0"/>
              <w:rPr>
                <w:sz w:val="20"/>
                <w:szCs w:val="20"/>
                <w:color w:val="auto"/>
              </w:rPr>
            </w:pPr>
            <w:r>
              <w:rPr>
                <w:rFonts w:ascii="Arial" w:cs="Arial" w:eastAsia="Arial" w:hAnsi="Arial"/>
                <w:sz w:val="18"/>
                <w:szCs w:val="18"/>
                <w:color w:val="auto"/>
              </w:rPr>
              <w:t>10.45</w:t>
            </w:r>
          </w:p>
        </w:tc>
        <w:tc>
          <w:tcPr>
            <w:tcW w:w="10460" w:type="dxa"/>
            <w:vAlign w:val="bottom"/>
          </w:tcPr>
          <w:p>
            <w:pPr>
              <w:ind w:left="240"/>
              <w:spacing w:after="0"/>
              <w:rPr>
                <w:sz w:val="20"/>
                <w:szCs w:val="20"/>
                <w:color w:val="auto"/>
              </w:rPr>
            </w:pPr>
            <w:r>
              <w:rPr>
                <w:rFonts w:ascii="Arial" w:cs="Arial" w:eastAsia="Arial" w:hAnsi="Arial"/>
                <w:sz w:val="18"/>
                <w:szCs w:val="18"/>
                <w:color w:val="auto"/>
                <w:w w:val="92"/>
              </w:rPr>
              <w:t>Amended and Restated Management Incentive Compensation Plan, as of January 1, 2008 (Incorporated by reference to Exhibit 10.43(c) to</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the Company’s Annual Report on Form 10-K for the year ended December 31,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10.46</w:t>
            </w:r>
          </w:p>
        </w:tc>
        <w:tc>
          <w:tcPr>
            <w:tcW w:w="10460" w:type="dxa"/>
            <w:vAlign w:val="bottom"/>
          </w:tcPr>
          <w:p>
            <w:pPr>
              <w:ind w:left="240"/>
              <w:spacing w:after="0"/>
              <w:rPr>
                <w:sz w:val="20"/>
                <w:szCs w:val="20"/>
                <w:color w:val="auto"/>
              </w:rPr>
            </w:pPr>
            <w:r>
              <w:rPr>
                <w:rFonts w:ascii="Arial" w:cs="Arial" w:eastAsia="Arial" w:hAnsi="Arial"/>
                <w:sz w:val="18"/>
                <w:szCs w:val="18"/>
                <w:color w:val="auto"/>
                <w:w w:val="92"/>
              </w:rPr>
              <w:t>Form of 2010 Convertible Bond Hedge Transaction Confirmation, dated June 6, 2007, between Integra LifeSciences Holdings Corporation</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and dealer (Incorporated by reference to Exhibit 10.1 to the Company’s Current Report on Form 8-K filed on June 12,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10.47</w:t>
            </w:r>
          </w:p>
        </w:tc>
        <w:tc>
          <w:tcPr>
            <w:tcW w:w="10460" w:type="dxa"/>
            <w:vAlign w:val="bottom"/>
          </w:tcPr>
          <w:p>
            <w:pPr>
              <w:ind w:left="240"/>
              <w:spacing w:after="0"/>
              <w:rPr>
                <w:sz w:val="20"/>
                <w:szCs w:val="20"/>
                <w:color w:val="auto"/>
              </w:rPr>
            </w:pPr>
            <w:r>
              <w:rPr>
                <w:rFonts w:ascii="Arial" w:cs="Arial" w:eastAsia="Arial" w:hAnsi="Arial"/>
                <w:sz w:val="18"/>
                <w:szCs w:val="18"/>
                <w:color w:val="auto"/>
                <w:w w:val="92"/>
              </w:rPr>
              <w:t>Form of 2012 Convertible Bond Hedge Transaction Confirmation, dated June 6, 2007, between Integra LifeSciences Holdings Corporation</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and dealer (Incorporated by reference to Exhibit 10.2 to the Company’s Current Report on Form 8-K filed on June 12,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10.48</w:t>
            </w:r>
          </w:p>
        </w:tc>
        <w:tc>
          <w:tcPr>
            <w:tcW w:w="10460" w:type="dxa"/>
            <w:vAlign w:val="bottom"/>
          </w:tcPr>
          <w:p>
            <w:pPr>
              <w:ind w:left="240"/>
              <w:spacing w:after="0"/>
              <w:rPr>
                <w:sz w:val="20"/>
                <w:szCs w:val="20"/>
                <w:color w:val="auto"/>
              </w:rPr>
            </w:pPr>
            <w:r>
              <w:rPr>
                <w:rFonts w:ascii="Arial" w:cs="Arial" w:eastAsia="Arial" w:hAnsi="Arial"/>
                <w:sz w:val="18"/>
                <w:szCs w:val="18"/>
                <w:color w:val="auto"/>
                <w:w w:val="91"/>
              </w:rPr>
              <w:t>Form of 2010 Amended and Restated Issuer Warrant Transaction Confirmation, dated June 6, 2007, between Integra LifeSciences Holdings</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w w:val="94"/>
              </w:rPr>
              <w:t>Corporation and dealer (Incorporated by reference to Exhibit 10.3 to the Company’s Current Report on Form 8-K filed on June 12, 2007)</w:t>
            </w:r>
          </w:p>
        </w:tc>
      </w:tr>
    </w:tbl>
    <w:p>
      <w:pPr>
        <w:sectPr>
          <w:pgSz w:w="11900" w:h="16838" w:orient="portrait"/>
          <w:cols w:equalWidth="0" w:num="1">
            <w:col w:w="11360"/>
          </w:cols>
          <w:pgMar w:left="280" w:top="530" w:right="25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10.49</w:t>
            </w:r>
          </w:p>
        </w:tc>
        <w:tc>
          <w:tcPr>
            <w:tcW w:w="10580" w:type="dxa"/>
            <w:vAlign w:val="bottom"/>
          </w:tcPr>
          <w:p>
            <w:pPr>
              <w:ind w:left="360"/>
              <w:spacing w:after="0"/>
              <w:rPr>
                <w:sz w:val="20"/>
                <w:szCs w:val="20"/>
                <w:color w:val="auto"/>
              </w:rPr>
            </w:pPr>
            <w:r>
              <w:rPr>
                <w:rFonts w:ascii="Arial" w:cs="Arial" w:eastAsia="Arial" w:hAnsi="Arial"/>
                <w:sz w:val="18"/>
                <w:szCs w:val="18"/>
                <w:color w:val="auto"/>
                <w:w w:val="91"/>
              </w:rPr>
              <w:t>Form of 2012 Amended and Restated Issuer Warrant Transaction Confirmation, dated June 6, 2007, between Integra LifeSciences Holdings</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Corporation and dealer (Incorporated by reference to Exhibit 10.4 to the Company’s Current Report on Form 8-K filed on June 12, 2007)</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10.50</w:t>
            </w:r>
          </w:p>
        </w:tc>
        <w:tc>
          <w:tcPr>
            <w:tcW w:w="10580" w:type="dxa"/>
            <w:vAlign w:val="bottom"/>
          </w:tcPr>
          <w:p>
            <w:pPr>
              <w:ind w:left="360"/>
              <w:spacing w:after="0"/>
              <w:rPr>
                <w:sz w:val="20"/>
                <w:szCs w:val="20"/>
                <w:color w:val="auto"/>
              </w:rPr>
            </w:pPr>
            <w:r>
              <w:rPr>
                <w:rFonts w:ascii="Arial" w:cs="Arial" w:eastAsia="Arial" w:hAnsi="Arial"/>
                <w:sz w:val="18"/>
                <w:szCs w:val="18"/>
                <w:color w:val="auto"/>
                <w:w w:val="96"/>
              </w:rPr>
              <w:t>Letter Agreement, dated June 9, 2011, between Deutsche Bank AG, London Branch and Integra LifeSciences Holdings Corporation,</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regarding the Base Call Option Transaction (Incorporated by reference to Exhibit 10.4 to the Company’s Form 8-K filed on June 15, 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10.51</w:t>
            </w: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Letter Agreement, dated June 9, 2011, between Royal Bank of Canada and Integra LifeSciences Holdings Corporation, regarding the Base</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Call Option Transaction (Incorporated by reference to Exhibit 10.8 to the Company’s Form 8-K filed on June 15, 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10.52</w:t>
            </w: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Letter Agreement, dated June 9, 2011, between The Royal Bank of Scotland plc and Integra LifeSciences Holdings Corporation, regarding</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the Base Call Option Transaction (Incorporated by reference to Exhibit 10.6 to the Company’s Form 8-K filed on June 15, 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10.53</w:t>
            </w: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Letter Agreement, dated June 9, 2011, between Wells Fargo Bank, National Association and Integra LifeSciences Holdings Corporation,</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regarding the Base Call Option Transaction (Incorporated by reference to Exhibit 10.2 to the Company’s Form 8-K filed on June 15, 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10.54</w:t>
            </w:r>
          </w:p>
        </w:tc>
        <w:tc>
          <w:tcPr>
            <w:tcW w:w="10580" w:type="dxa"/>
            <w:vAlign w:val="bottom"/>
          </w:tcPr>
          <w:p>
            <w:pPr>
              <w:ind w:left="360"/>
              <w:spacing w:after="0"/>
              <w:rPr>
                <w:sz w:val="20"/>
                <w:szCs w:val="20"/>
                <w:color w:val="auto"/>
              </w:rPr>
            </w:pPr>
            <w:r>
              <w:rPr>
                <w:rFonts w:ascii="Arial" w:cs="Arial" w:eastAsia="Arial" w:hAnsi="Arial"/>
                <w:sz w:val="18"/>
                <w:szCs w:val="18"/>
                <w:color w:val="auto"/>
                <w:w w:val="96"/>
              </w:rPr>
              <w:t>Letter Agreement, dated June 9, 2011, between Deutsche Bank AG, London Branch and Integra LifeSciences Holdings Corporation,</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5"/>
              </w:rPr>
              <w:t>regarding the Base Warrant Transaction (Incorporated by reference to Exhibit 10.3 to the Company’s Form 8-K filed on June 15, 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10.55</w:t>
            </w: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Letter Agreement, dated June 9, 2011, between Royal Bank of Canada and Integra LifeSciences Holdings Corporation, regarding the Base</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Warrant Transaction (Incorporated by reference to Exhibit 10.7 to the Company’s Form 8-K filed on June 15, 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10.56</w:t>
            </w:r>
          </w:p>
        </w:tc>
        <w:tc>
          <w:tcPr>
            <w:tcW w:w="10580" w:type="dxa"/>
            <w:vAlign w:val="bottom"/>
          </w:tcPr>
          <w:p>
            <w:pPr>
              <w:ind w:left="360"/>
              <w:spacing w:after="0"/>
              <w:rPr>
                <w:sz w:val="20"/>
                <w:szCs w:val="20"/>
                <w:color w:val="auto"/>
              </w:rPr>
            </w:pPr>
            <w:r>
              <w:rPr>
                <w:rFonts w:ascii="Arial" w:cs="Arial" w:eastAsia="Arial" w:hAnsi="Arial"/>
                <w:sz w:val="18"/>
                <w:szCs w:val="18"/>
                <w:color w:val="auto"/>
                <w:w w:val="92"/>
              </w:rPr>
              <w:t>Letter Agreement, dated June 9, 2011, between The Royal Bank of Scotland plc and Integra LifeSciences Holdings Corporation, regarding</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the Base Warrant Transaction (Incorporated by reference to Exhibit 10.5 to the Company’s Form 8-K filed on June 15, 2011)</w:t>
            </w:r>
          </w:p>
        </w:tc>
      </w:tr>
      <w:tr>
        <w:trPr>
          <w:trHeight w:val="526"/>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10.57</w:t>
            </w: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Letter Agreement, dated June 9, 2011, between Wells Fargo Bank, National Association and Integra LifeSciences Holdings Corporation,</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5"/>
              </w:rPr>
              <w:t>regarding the Base Warrant Transaction (Incorporated by reference to Exhibit 10.1 to the Company’s Form 8-K filed on June 15, 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10.58</w:t>
            </w:r>
          </w:p>
        </w:tc>
        <w:tc>
          <w:tcPr>
            <w:tcW w:w="10580" w:type="dxa"/>
            <w:vAlign w:val="bottom"/>
          </w:tcPr>
          <w:p>
            <w:pPr>
              <w:ind w:left="360"/>
              <w:spacing w:after="0"/>
              <w:rPr>
                <w:sz w:val="20"/>
                <w:szCs w:val="20"/>
                <w:color w:val="auto"/>
              </w:rPr>
            </w:pPr>
            <w:r>
              <w:rPr>
                <w:rFonts w:ascii="Arial" w:cs="Arial" w:eastAsia="Arial" w:hAnsi="Arial"/>
                <w:sz w:val="18"/>
                <w:szCs w:val="18"/>
                <w:color w:val="auto"/>
                <w:w w:val="95"/>
              </w:rPr>
              <w:t>Letter Agreement, dated June 14, 2011, between Deutsche Bank AG, London Branch and Integra LifeSciences Holdings Corporation,</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4"/>
              </w:rPr>
              <w:t>regarding the Additional Call Option Transaction (Incorporated by reference to Exhibit 10.9 to the Company’s Form 8-K filed on June 15,</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10.59</w:t>
            </w:r>
          </w:p>
        </w:tc>
        <w:tc>
          <w:tcPr>
            <w:tcW w:w="10580" w:type="dxa"/>
            <w:vAlign w:val="bottom"/>
          </w:tcPr>
          <w:p>
            <w:pPr>
              <w:ind w:left="360"/>
              <w:spacing w:after="0"/>
              <w:rPr>
                <w:sz w:val="20"/>
                <w:szCs w:val="20"/>
                <w:color w:val="auto"/>
              </w:rPr>
            </w:pPr>
            <w:r>
              <w:rPr>
                <w:rFonts w:ascii="Arial" w:cs="Arial" w:eastAsia="Arial" w:hAnsi="Arial"/>
                <w:sz w:val="18"/>
                <w:szCs w:val="18"/>
                <w:color w:val="auto"/>
                <w:w w:val="95"/>
              </w:rPr>
              <w:t>Letter Agreement, dated June 14, 2011, between Royal Bank of Canada and Integra LifeSciences Holdings Corporation, regarding the</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8"/>
              </w:rPr>
              <w:t>Additional Call Option Transaction (Incorporated by reference to Exhibit 10.10 to the Company’s Form 8-K filed on June 15, 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10.60</w:t>
            </w:r>
          </w:p>
        </w:tc>
        <w:tc>
          <w:tcPr>
            <w:tcW w:w="10580" w:type="dxa"/>
            <w:vAlign w:val="bottom"/>
          </w:tcPr>
          <w:p>
            <w:pPr>
              <w:ind w:left="360"/>
              <w:spacing w:after="0"/>
              <w:rPr>
                <w:sz w:val="20"/>
                <w:szCs w:val="20"/>
                <w:color w:val="auto"/>
              </w:rPr>
            </w:pPr>
            <w:r>
              <w:rPr>
                <w:rFonts w:ascii="Arial" w:cs="Arial" w:eastAsia="Arial" w:hAnsi="Arial"/>
                <w:sz w:val="18"/>
                <w:szCs w:val="18"/>
                <w:color w:val="auto"/>
                <w:w w:val="91"/>
              </w:rPr>
              <w:t>Letter Agreement, dated June 14, 2011, between The Royal Bank of Scotland plc and Integra LifeSciences Holdings Corporation, regarding</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6"/>
              </w:rPr>
              <w:t>the Additional Call Option Transaction (Incorporated by reference to Exhibit 10.11 to the Company’s Form 8-K filed on June 15, 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10.61</w:t>
            </w: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Letter Agreement, dated June 14, 2011, between Wells Fargo Bank, National Association and Integra LifeSciences Holdings Corporation,</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regarding the Additional Call Option Transaction (Incorporated by reference to Exhibit 10.12 to the Company’s Form 8-K filed on June 15,</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10.62</w:t>
            </w:r>
          </w:p>
        </w:tc>
        <w:tc>
          <w:tcPr>
            <w:tcW w:w="10580" w:type="dxa"/>
            <w:vAlign w:val="bottom"/>
          </w:tcPr>
          <w:p>
            <w:pPr>
              <w:ind w:left="360"/>
              <w:spacing w:after="0"/>
              <w:rPr>
                <w:sz w:val="20"/>
                <w:szCs w:val="20"/>
                <w:color w:val="auto"/>
              </w:rPr>
            </w:pPr>
            <w:r>
              <w:rPr>
                <w:rFonts w:ascii="Arial" w:cs="Arial" w:eastAsia="Arial" w:hAnsi="Arial"/>
                <w:sz w:val="18"/>
                <w:szCs w:val="18"/>
                <w:color w:val="auto"/>
                <w:w w:val="95"/>
              </w:rPr>
              <w:t>Letter Agreement, dated June 14, 2011, between Deutsche Bank AG, London Branch and Integra LifeSciences Holdings Corporation,</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5"/>
              </w:rPr>
              <w:t>regarding the Additional Warrant Transaction (Incorporated by reference to Exhibit 10.13 to the Company’s Form 8-K filed on June 15,</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10.63</w:t>
            </w:r>
          </w:p>
        </w:tc>
        <w:tc>
          <w:tcPr>
            <w:tcW w:w="10580" w:type="dxa"/>
            <w:vAlign w:val="bottom"/>
          </w:tcPr>
          <w:p>
            <w:pPr>
              <w:ind w:left="360"/>
              <w:spacing w:after="0"/>
              <w:rPr>
                <w:sz w:val="20"/>
                <w:szCs w:val="20"/>
                <w:color w:val="auto"/>
              </w:rPr>
            </w:pPr>
            <w:r>
              <w:rPr>
                <w:rFonts w:ascii="Arial" w:cs="Arial" w:eastAsia="Arial" w:hAnsi="Arial"/>
                <w:sz w:val="18"/>
                <w:szCs w:val="18"/>
                <w:color w:val="auto"/>
                <w:w w:val="95"/>
              </w:rPr>
              <w:t>Letter Agreement, dated June 14, 2011, between Royal Bank of Canada and Integra LifeSciences Holdings Corporation, regarding the</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Additional Warrant Transaction (Incorporated by reference to Exhibit 10.14 to the Company’s Form 8-K filed on June 15, 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10.64</w:t>
            </w:r>
          </w:p>
        </w:tc>
        <w:tc>
          <w:tcPr>
            <w:tcW w:w="10580" w:type="dxa"/>
            <w:vAlign w:val="bottom"/>
          </w:tcPr>
          <w:p>
            <w:pPr>
              <w:ind w:left="360"/>
              <w:spacing w:after="0"/>
              <w:rPr>
                <w:sz w:val="20"/>
                <w:szCs w:val="20"/>
                <w:color w:val="auto"/>
              </w:rPr>
            </w:pPr>
            <w:r>
              <w:rPr>
                <w:rFonts w:ascii="Arial" w:cs="Arial" w:eastAsia="Arial" w:hAnsi="Arial"/>
                <w:sz w:val="18"/>
                <w:szCs w:val="18"/>
                <w:color w:val="auto"/>
                <w:w w:val="91"/>
              </w:rPr>
              <w:t>Letter Agreement, dated June 14, 2011, between The Royal Bank of Scotland plc and Integra LifeSciences Holdings Corporation, regarding</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8"/>
              </w:rPr>
              <w:t>the Additional Warrant Transaction (Incorporated by reference to Exhibit 10.15 to the Company’s Form 8-K filed on June 15, 2011)</w:t>
            </w:r>
          </w:p>
        </w:tc>
      </w:tr>
      <w:tr>
        <w:trPr>
          <w:trHeight w:val="418"/>
        </w:trPr>
        <w:tc>
          <w:tcPr>
            <w:tcW w:w="780" w:type="dxa"/>
            <w:vAlign w:val="bottom"/>
          </w:tcPr>
          <w:p>
            <w:pPr>
              <w:jc w:val="right"/>
              <w:ind w:right="290"/>
              <w:spacing w:after="0"/>
              <w:rPr>
                <w:sz w:val="20"/>
                <w:szCs w:val="20"/>
                <w:color w:val="auto"/>
              </w:rPr>
            </w:pPr>
            <w:r>
              <w:rPr>
                <w:rFonts w:ascii="Arial" w:cs="Arial" w:eastAsia="Arial" w:hAnsi="Arial"/>
                <w:sz w:val="18"/>
                <w:szCs w:val="18"/>
                <w:color w:val="auto"/>
                <w:w w:val="84"/>
              </w:rPr>
              <w:t>10.65</w:t>
            </w:r>
          </w:p>
        </w:tc>
        <w:tc>
          <w:tcPr>
            <w:tcW w:w="10580" w:type="dxa"/>
            <w:vAlign w:val="bottom"/>
          </w:tcPr>
          <w:p>
            <w:pPr>
              <w:ind w:left="360"/>
              <w:spacing w:after="0"/>
              <w:rPr>
                <w:sz w:val="20"/>
                <w:szCs w:val="20"/>
                <w:color w:val="auto"/>
              </w:rPr>
            </w:pPr>
            <w:r>
              <w:rPr>
                <w:rFonts w:ascii="Arial" w:cs="Arial" w:eastAsia="Arial" w:hAnsi="Arial"/>
                <w:sz w:val="18"/>
                <w:szCs w:val="18"/>
                <w:color w:val="auto"/>
                <w:w w:val="93"/>
              </w:rPr>
              <w:t>Letter Agreement, dated June 14, 2011, between Wells Fargo Bank, National Association and Integra LifeSciences Holdings Corporation,</w:t>
            </w:r>
          </w:p>
        </w:tc>
      </w:tr>
      <w:tr>
        <w:trPr>
          <w:trHeight w:val="216"/>
        </w:trPr>
        <w:tc>
          <w:tcPr>
            <w:tcW w:w="780" w:type="dxa"/>
            <w:vAlign w:val="bottom"/>
          </w:tcPr>
          <w:p>
            <w:pPr>
              <w:spacing w:after="0"/>
              <w:rPr>
                <w:sz w:val="18"/>
                <w:szCs w:val="18"/>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w w:val="95"/>
              </w:rPr>
              <w:t>regarding the Additional Warrant Transaction (Incorporated by reference to Exhibit 10.16 to the Company’s Form 8-K filed on June 15,</w:t>
            </w:r>
          </w:p>
        </w:tc>
      </w:tr>
      <w:tr>
        <w:trPr>
          <w:trHeight w:val="230"/>
        </w:trPr>
        <w:tc>
          <w:tcPr>
            <w:tcW w:w="780" w:type="dxa"/>
            <w:vAlign w:val="bottom"/>
          </w:tcPr>
          <w:p>
            <w:pPr>
              <w:spacing w:after="0"/>
              <w:rPr>
                <w:sz w:val="20"/>
                <w:szCs w:val="20"/>
                <w:color w:val="auto"/>
              </w:rPr>
            </w:pPr>
          </w:p>
        </w:tc>
        <w:tc>
          <w:tcPr>
            <w:tcW w:w="10580" w:type="dxa"/>
            <w:vAlign w:val="bottom"/>
          </w:tcPr>
          <w:p>
            <w:pPr>
              <w:ind w:left="360"/>
              <w:spacing w:after="0"/>
              <w:rPr>
                <w:sz w:val="20"/>
                <w:szCs w:val="20"/>
                <w:color w:val="auto"/>
              </w:rPr>
            </w:pPr>
            <w:r>
              <w:rPr>
                <w:rFonts w:ascii="Arial" w:cs="Arial" w:eastAsia="Arial" w:hAnsi="Arial"/>
                <w:sz w:val="18"/>
                <w:szCs w:val="18"/>
                <w:color w:val="auto"/>
              </w:rPr>
              <w:t>2011)</w:t>
            </w:r>
          </w:p>
        </w:tc>
      </w:tr>
    </w:tbl>
    <w:p>
      <w:pPr>
        <w:sectPr>
          <w:pgSz w:w="11900" w:h="16838" w:orient="portrait"/>
          <w:cols w:equalWidth="0" w:num="1">
            <w:col w:w="11360"/>
          </w:cols>
          <w:pgMar w:left="280" w:top="530" w:right="259" w:bottom="1440" w:gutter="0" w:footer="0" w:header="0"/>
        </w:sectPr>
      </w:pPr>
    </w:p>
    <w:bookmarkStart w:id="107" w:name="page108"/>
    <w:bookmarkEnd w:id="107"/>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10.66</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Unit Purchase Agreement, dated as of July 23, 2008, by and among Integra LifeSciences Holdings Corporation, Theken Spine LLC, Randall</w:t>
            </w:r>
          </w:p>
        </w:tc>
      </w:tr>
      <w:tr>
        <w:trPr>
          <w:trHeight w:val="216"/>
        </w:trPr>
        <w:tc>
          <w:tcPr>
            <w:tcW w:w="88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R. Theken and the other members of Theken Spine, LLC party thereto (Incorporated by reference to Exhibit 10.1 to the Company’s Current</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Report on Form 8-K filed on July 24,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10.67</w:t>
            </w:r>
          </w:p>
        </w:tc>
        <w:tc>
          <w:tcPr>
            <w:tcW w:w="10480" w:type="dxa"/>
            <w:vAlign w:val="bottom"/>
          </w:tcPr>
          <w:p>
            <w:pPr>
              <w:ind w:left="260"/>
              <w:spacing w:after="0"/>
              <w:rPr>
                <w:sz w:val="20"/>
                <w:szCs w:val="20"/>
                <w:color w:val="auto"/>
              </w:rPr>
            </w:pPr>
            <w:r>
              <w:rPr>
                <w:rFonts w:ascii="Arial" w:cs="Arial" w:eastAsia="Arial" w:hAnsi="Arial"/>
                <w:sz w:val="18"/>
                <w:szCs w:val="18"/>
                <w:color w:val="auto"/>
                <w:w w:val="93"/>
              </w:rPr>
              <w:t>Form of Indemnification Agreement for Non-Employee Directors and Officers (Incorporated by reference to Exhibit 10.1 to the Company’s</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Current Report on Form 8-K filed on December 24,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10.68</w:t>
            </w:r>
          </w:p>
        </w:tc>
        <w:tc>
          <w:tcPr>
            <w:tcW w:w="10480" w:type="dxa"/>
            <w:vAlign w:val="bottom"/>
          </w:tcPr>
          <w:p>
            <w:pPr>
              <w:ind w:left="260"/>
              <w:spacing w:after="0"/>
              <w:rPr>
                <w:sz w:val="20"/>
                <w:szCs w:val="20"/>
                <w:color w:val="auto"/>
              </w:rPr>
            </w:pPr>
            <w:r>
              <w:rPr>
                <w:rFonts w:ascii="Arial" w:cs="Arial" w:eastAsia="Arial" w:hAnsi="Arial"/>
                <w:sz w:val="18"/>
                <w:szCs w:val="18"/>
                <w:color w:val="auto"/>
                <w:w w:val="96"/>
              </w:rPr>
              <w:t>Piggyback Registration Rights Agreement dated December 22, 2008 between Integra LifeSciences Holdings Corporation and George</w:t>
            </w:r>
          </w:p>
        </w:tc>
      </w:tr>
      <w:tr>
        <w:trPr>
          <w:trHeight w:val="216"/>
        </w:trPr>
        <w:tc>
          <w:tcPr>
            <w:tcW w:w="88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6"/>
              </w:rPr>
              <w:t>Heenan, Thomas Gilliam and Michael Evers, as trustees of The Bruce A. LeVahn 2008 Trust and Steven M. LeVahn (Incorporated by</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reference to Exhibit 10.1 to the Company’s Current Report on Form 8-K filed on December 29,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10.69(a)</w:t>
            </w: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Lease Agreement between 109 Morgan Lane, LLC and Integra LifeSciences Corporation, dated May 15, 2008 (Incorporated by reference to</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Exhibit 10.10 to the Company’s Quarterly Report on Form 10-Q for the quarter ended June 30, 2008)</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10.69(b)</w:t>
            </w:r>
          </w:p>
        </w:tc>
        <w:tc>
          <w:tcPr>
            <w:tcW w:w="10480" w:type="dxa"/>
            <w:vAlign w:val="bottom"/>
          </w:tcPr>
          <w:p>
            <w:pPr>
              <w:ind w:left="260"/>
              <w:spacing w:after="0"/>
              <w:rPr>
                <w:sz w:val="20"/>
                <w:szCs w:val="20"/>
                <w:color w:val="auto"/>
              </w:rPr>
            </w:pPr>
            <w:r>
              <w:rPr>
                <w:rFonts w:ascii="Arial" w:cs="Arial" w:eastAsia="Arial" w:hAnsi="Arial"/>
                <w:sz w:val="18"/>
                <w:szCs w:val="18"/>
                <w:color w:val="auto"/>
                <w:w w:val="97"/>
              </w:rPr>
              <w:t>First Amendment to Lease Agreement between 109 Morgan Lane, LLC and Integra LifeSciences Corporation, dated March 9, 2009</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8"/>
              </w:rPr>
              <w:t>(Incorporated by reference to Exhibit 10.9 to the Company’s Quarterly Report on Form 10-Q for the quarter ended March 31, 2009)</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10.69(c)</w:t>
            </w:r>
          </w:p>
        </w:tc>
        <w:tc>
          <w:tcPr>
            <w:tcW w:w="10480" w:type="dxa"/>
            <w:vAlign w:val="bottom"/>
          </w:tcPr>
          <w:p>
            <w:pPr>
              <w:ind w:left="260"/>
              <w:spacing w:after="0"/>
              <w:rPr>
                <w:sz w:val="20"/>
                <w:szCs w:val="20"/>
                <w:color w:val="auto"/>
              </w:rPr>
            </w:pPr>
            <w:r>
              <w:rPr>
                <w:rFonts w:ascii="Arial" w:cs="Arial" w:eastAsia="Arial" w:hAnsi="Arial"/>
                <w:sz w:val="18"/>
                <w:szCs w:val="18"/>
                <w:color w:val="auto"/>
                <w:w w:val="90"/>
              </w:rPr>
              <w:t>Lease Agreement dated as of July 1, 2013, between 109 Morgan Lane, LLC and Integra LifeSciences Corporation (Incorporated by reference</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to Exhibit 10.1 to the Company's Current Report on Form 8-K filed on July 1, 2013)</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12.1</w:t>
            </w:r>
          </w:p>
        </w:tc>
        <w:tc>
          <w:tcPr>
            <w:tcW w:w="10480" w:type="dxa"/>
            <w:vAlign w:val="bottom"/>
          </w:tcPr>
          <w:p>
            <w:pPr>
              <w:ind w:left="260"/>
              <w:spacing w:after="0"/>
              <w:rPr>
                <w:sz w:val="20"/>
                <w:szCs w:val="20"/>
                <w:color w:val="auto"/>
              </w:rPr>
            </w:pPr>
            <w:r>
              <w:rPr>
                <w:rFonts w:ascii="Arial" w:cs="Arial" w:eastAsia="Arial" w:hAnsi="Arial"/>
                <w:sz w:val="18"/>
                <w:szCs w:val="18"/>
                <w:color w:val="auto"/>
                <w:w w:val="90"/>
              </w:rPr>
              <w:t>Statement Regarding the Computation of Ratio of Earnings to Fixed Charges and Preferred Share Dividends for the Years Ended 2008, 2009,</w:t>
            </w:r>
          </w:p>
        </w:tc>
      </w:tr>
      <w:tr>
        <w:trPr>
          <w:trHeight w:val="216"/>
        </w:trPr>
        <w:tc>
          <w:tcPr>
            <w:tcW w:w="88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6"/>
              </w:rPr>
              <w:t>2010, 2011 and 2012, and the Nine Months Ended September 30, 2013 (Incorporated by reference to Exhibit 12.1 to the Company’s</w:t>
            </w:r>
          </w:p>
        </w:tc>
      </w:tr>
      <w:tr>
        <w:trPr>
          <w:trHeight w:val="230"/>
        </w:trPr>
        <w:tc>
          <w:tcPr>
            <w:tcW w:w="88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Registration Statement on Form S-3 ASR filed November 4, 2013)</w:t>
            </w:r>
          </w:p>
        </w:tc>
      </w:tr>
    </w:tbl>
    <w:p>
      <w:pPr>
        <w:spacing w:after="0" w:line="202" w:lineRule="exact"/>
        <w:rPr>
          <w:sz w:val="20"/>
          <w:szCs w:val="20"/>
          <w:color w:val="auto"/>
        </w:rPr>
      </w:pPr>
    </w:p>
    <w:p>
      <w:pPr>
        <w:ind w:left="1145" w:hanging="1145"/>
        <w:spacing w:after="0" w:line="277" w:lineRule="auto"/>
        <w:tabs>
          <w:tab w:leader="none" w:pos="11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Preferability Letter of Independent Public Accounting Firm dated July 31, 2012 (Incorporated by reference to Exhibit 18.1 to the Company’s Quarterly Report on Form 10-Q for the quarter ended June 30, 2012)</w:t>
      </w:r>
    </w:p>
    <w:p>
      <w:pPr>
        <w:spacing w:after="0" w:line="170"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21</w:t>
            </w:r>
          </w:p>
        </w:tc>
        <w:tc>
          <w:tcPr>
            <w:tcW w:w="10460" w:type="dxa"/>
            <w:vAlign w:val="bottom"/>
          </w:tcPr>
          <w:p>
            <w:pPr>
              <w:ind w:left="240"/>
              <w:spacing w:after="0"/>
              <w:rPr>
                <w:sz w:val="20"/>
                <w:szCs w:val="20"/>
                <w:color w:val="auto"/>
              </w:rPr>
            </w:pPr>
            <w:r>
              <w:rPr>
                <w:rFonts w:ascii="Arial" w:cs="Arial" w:eastAsia="Arial" w:hAnsi="Arial"/>
                <w:sz w:val="18"/>
                <w:szCs w:val="18"/>
                <w:color w:val="auto"/>
              </w:rPr>
              <w:t>Subsidiaries of the Company+</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23</w:t>
            </w:r>
          </w:p>
        </w:tc>
        <w:tc>
          <w:tcPr>
            <w:tcW w:w="10460" w:type="dxa"/>
            <w:vAlign w:val="bottom"/>
          </w:tcPr>
          <w:p>
            <w:pPr>
              <w:ind w:left="240"/>
              <w:spacing w:after="0"/>
              <w:rPr>
                <w:sz w:val="20"/>
                <w:szCs w:val="20"/>
                <w:color w:val="auto"/>
              </w:rPr>
            </w:pPr>
            <w:r>
              <w:rPr>
                <w:rFonts w:ascii="Arial" w:cs="Arial" w:eastAsia="Arial" w:hAnsi="Arial"/>
                <w:sz w:val="18"/>
                <w:szCs w:val="18"/>
                <w:color w:val="auto"/>
              </w:rPr>
              <w:t>Consent of Pricewaterhouse Coopers LLP+</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460" w:type="dxa"/>
            <w:vAlign w:val="bottom"/>
          </w:tcPr>
          <w:p>
            <w:pPr>
              <w:ind w:left="2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460" w:type="dxa"/>
            <w:vAlign w:val="bottom"/>
          </w:tcPr>
          <w:p>
            <w:pPr>
              <w:ind w:left="2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460" w:type="dxa"/>
            <w:vAlign w:val="bottom"/>
          </w:tcPr>
          <w:p>
            <w:pPr>
              <w:ind w:left="24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460" w:type="dxa"/>
            <w:vAlign w:val="bottom"/>
          </w:tcPr>
          <w:p>
            <w:pPr>
              <w:ind w:left="24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99.1</w:t>
            </w:r>
          </w:p>
        </w:tc>
        <w:tc>
          <w:tcPr>
            <w:tcW w:w="10460" w:type="dxa"/>
            <w:vAlign w:val="bottom"/>
          </w:tcPr>
          <w:p>
            <w:pPr>
              <w:ind w:left="240"/>
              <w:spacing w:after="0"/>
              <w:rPr>
                <w:sz w:val="20"/>
                <w:szCs w:val="20"/>
                <w:color w:val="auto"/>
              </w:rPr>
            </w:pPr>
            <w:r>
              <w:rPr>
                <w:rFonts w:ascii="Arial" w:cs="Arial" w:eastAsia="Arial" w:hAnsi="Arial"/>
                <w:sz w:val="18"/>
                <w:szCs w:val="18"/>
                <w:color w:val="auto"/>
                <w:w w:val="93"/>
              </w:rPr>
              <w:t>Letter, dated December 21, 2011, from the United States Food and Drug Administration to Integra LifeSciences Corporation (Incorporated</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by reference to Exhibit 99.1 to the Company’s Current Report on Form 8-K filed on January 5,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99.2</w:t>
            </w:r>
          </w:p>
        </w:tc>
        <w:tc>
          <w:tcPr>
            <w:tcW w:w="10460" w:type="dxa"/>
            <w:vAlign w:val="bottom"/>
          </w:tcPr>
          <w:p>
            <w:pPr>
              <w:ind w:left="240"/>
              <w:spacing w:after="0"/>
              <w:rPr>
                <w:sz w:val="20"/>
                <w:szCs w:val="20"/>
                <w:color w:val="auto"/>
              </w:rPr>
            </w:pPr>
            <w:r>
              <w:rPr>
                <w:rFonts w:ascii="Arial" w:cs="Arial" w:eastAsia="Arial" w:hAnsi="Arial"/>
                <w:sz w:val="18"/>
                <w:szCs w:val="18"/>
                <w:color w:val="auto"/>
                <w:w w:val="99"/>
              </w:rPr>
              <w:t>Food and Drug Administration Form FDA-483, dated July 30, 2012, relating to inspection of Plainsboro, NJ manufacturing facility</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w w:val="99"/>
              </w:rPr>
              <w:t>(Incorporated by reference to Exhibit 99.1 to the Company’s Quarterly Report on Form 10-Q for the quarter ended June 30,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99.3</w:t>
            </w:r>
          </w:p>
        </w:tc>
        <w:tc>
          <w:tcPr>
            <w:tcW w:w="10460" w:type="dxa"/>
            <w:vAlign w:val="bottom"/>
          </w:tcPr>
          <w:p>
            <w:pPr>
              <w:ind w:left="240"/>
              <w:spacing w:after="0"/>
              <w:rPr>
                <w:sz w:val="20"/>
                <w:szCs w:val="20"/>
                <w:color w:val="auto"/>
              </w:rPr>
            </w:pPr>
            <w:r>
              <w:rPr>
                <w:rFonts w:ascii="Arial" w:cs="Arial" w:eastAsia="Arial" w:hAnsi="Arial"/>
                <w:sz w:val="18"/>
                <w:szCs w:val="18"/>
                <w:color w:val="auto"/>
                <w:w w:val="95"/>
              </w:rPr>
              <w:t>Letter, dated November 1, 2012, from the United States Food and Drug Administration to Integra NeuroSciences Ltd. (Incorporated by</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reference to Exhibit 99.1 to the Company’s Current Report on Form 8-K filed on November 13, 2012)</w:t>
            </w:r>
          </w:p>
        </w:tc>
      </w:tr>
      <w:tr>
        <w:trPr>
          <w:trHeight w:val="256"/>
        </w:trPr>
        <w:tc>
          <w:tcPr>
            <w:tcW w:w="900" w:type="dxa"/>
            <w:vAlign w:val="bottom"/>
          </w:tcPr>
          <w:p>
            <w:pPr>
              <w:spacing w:after="0"/>
              <w:rPr>
                <w:sz w:val="20"/>
                <w:szCs w:val="20"/>
                <w:color w:val="auto"/>
              </w:rPr>
            </w:pPr>
            <w:r>
              <w:rPr>
                <w:rFonts w:ascii="Arial" w:cs="Arial" w:eastAsia="Arial" w:hAnsi="Arial"/>
                <w:sz w:val="18"/>
                <w:szCs w:val="18"/>
                <w:color w:val="auto"/>
              </w:rPr>
              <w:t>99.4</w:t>
            </w:r>
          </w:p>
        </w:tc>
        <w:tc>
          <w:tcPr>
            <w:tcW w:w="10460" w:type="dxa"/>
            <w:vAlign w:val="bottom"/>
          </w:tcPr>
          <w:p>
            <w:pPr>
              <w:ind w:left="240"/>
              <w:spacing w:after="0"/>
              <w:rPr>
                <w:sz w:val="20"/>
                <w:szCs w:val="20"/>
                <w:color w:val="auto"/>
              </w:rPr>
            </w:pPr>
            <w:r>
              <w:rPr>
                <w:rFonts w:ascii="Arial" w:cs="Arial" w:eastAsia="Arial" w:hAnsi="Arial"/>
                <w:sz w:val="18"/>
                <w:szCs w:val="18"/>
                <w:color w:val="auto"/>
                <w:w w:val="93"/>
              </w:rPr>
              <w:t>Letter, dated February 13, 2013, from the United States Federal Drug Administration to Integra LifeSciences Corporation (Incorporated by</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reference to Exhibit 99.1 to the Company’s Current Report on Form 8-K filed on February 19, 2013)</w:t>
            </w:r>
          </w:p>
        </w:tc>
      </w:tr>
      <w:tr>
        <w:trPr>
          <w:trHeight w:val="256"/>
        </w:trPr>
        <w:tc>
          <w:tcPr>
            <w:tcW w:w="900" w:type="dxa"/>
            <w:vAlign w:val="bottom"/>
          </w:tcPr>
          <w:p>
            <w:pPr>
              <w:spacing w:after="0"/>
              <w:rPr>
                <w:sz w:val="20"/>
                <w:szCs w:val="20"/>
                <w:color w:val="auto"/>
              </w:rPr>
            </w:pPr>
            <w:r>
              <w:rPr>
                <w:rFonts w:ascii="Arial" w:cs="Arial" w:eastAsia="Arial" w:hAnsi="Arial"/>
                <w:sz w:val="18"/>
                <w:szCs w:val="18"/>
                <w:color w:val="auto"/>
              </w:rPr>
              <w:t>99.5</w:t>
            </w:r>
          </w:p>
        </w:tc>
        <w:tc>
          <w:tcPr>
            <w:tcW w:w="10460" w:type="dxa"/>
            <w:vAlign w:val="bottom"/>
          </w:tcPr>
          <w:p>
            <w:pPr>
              <w:ind w:left="240"/>
              <w:spacing w:after="0"/>
              <w:rPr>
                <w:sz w:val="20"/>
                <w:szCs w:val="20"/>
                <w:color w:val="auto"/>
              </w:rPr>
            </w:pPr>
            <w:r>
              <w:rPr>
                <w:rFonts w:ascii="Arial" w:cs="Arial" w:eastAsia="Arial" w:hAnsi="Arial"/>
                <w:sz w:val="18"/>
                <w:szCs w:val="18"/>
                <w:color w:val="auto"/>
                <w:w w:val="91"/>
              </w:rPr>
              <w:t>Letter, dated September 24, 2013, from the United States Federal Drug Administration to Integra LifeSciences Corporation (Incorporated by</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reference to Exhibit 99.1 to the Company’s Current Report on Form 8-K filed on September 27, 2013)</w:t>
            </w:r>
          </w:p>
        </w:tc>
      </w:tr>
      <w:tr>
        <w:trPr>
          <w:trHeight w:val="256"/>
        </w:trPr>
        <w:tc>
          <w:tcPr>
            <w:tcW w:w="900" w:type="dxa"/>
            <w:vAlign w:val="bottom"/>
          </w:tcPr>
          <w:p>
            <w:pPr>
              <w:spacing w:after="0"/>
              <w:rPr>
                <w:sz w:val="20"/>
                <w:szCs w:val="20"/>
                <w:color w:val="auto"/>
              </w:rPr>
            </w:pPr>
            <w:r>
              <w:rPr>
                <w:rFonts w:ascii="Arial" w:cs="Arial" w:eastAsia="Arial" w:hAnsi="Arial"/>
                <w:sz w:val="18"/>
                <w:szCs w:val="18"/>
                <w:color w:val="auto"/>
              </w:rPr>
              <w:t>99.6</w:t>
            </w:r>
          </w:p>
        </w:tc>
        <w:tc>
          <w:tcPr>
            <w:tcW w:w="10460" w:type="dxa"/>
            <w:vAlign w:val="bottom"/>
          </w:tcPr>
          <w:p>
            <w:pPr>
              <w:ind w:left="240"/>
              <w:spacing w:after="0"/>
              <w:rPr>
                <w:sz w:val="20"/>
                <w:szCs w:val="20"/>
                <w:color w:val="auto"/>
              </w:rPr>
            </w:pPr>
            <w:r>
              <w:rPr>
                <w:rFonts w:ascii="Arial" w:cs="Arial" w:eastAsia="Arial" w:hAnsi="Arial"/>
                <w:sz w:val="18"/>
                <w:szCs w:val="18"/>
                <w:color w:val="auto"/>
                <w:w w:val="92"/>
              </w:rPr>
              <w:t>Food and Drug Administration Form FDA-483, dated November 26, 2013, relating to the inspection of the Añasco Facility (Incorporated by</w:t>
            </w:r>
          </w:p>
        </w:tc>
      </w:tr>
      <w:tr>
        <w:trPr>
          <w:trHeight w:val="230"/>
        </w:trPr>
        <w:tc>
          <w:tcPr>
            <w:tcW w:w="90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reference to Exhibit 99.1 to the Company’s Current Report on Form 8-K filed on December 3, 2013)</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bl>
    <w:p>
      <w:pPr>
        <w:sectPr>
          <w:pgSz w:w="11900" w:h="16838" w:orient="portrait"/>
          <w:cols w:equalWidth="0" w:num="1">
            <w:col w:w="11365"/>
          </w:cols>
          <w:pgMar w:left="275" w:top="530" w:right="259" w:bottom="1440" w:gutter="0" w:footer="0" w:header="0"/>
        </w:sectPr>
      </w:pPr>
    </w:p>
    <w:bookmarkStart w:id="108" w:name="page109"/>
    <w:bookmarkEnd w:id="108"/>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92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920" w:type="dxa"/>
            <w:vAlign w:val="bottom"/>
          </w:tcPr>
          <w:p>
            <w:pPr>
              <w:ind w:left="240"/>
              <w:spacing w:after="0"/>
              <w:rPr>
                <w:sz w:val="20"/>
                <w:szCs w:val="20"/>
                <w:color w:val="auto"/>
              </w:rPr>
            </w:pPr>
            <w:r>
              <w:rPr>
                <w:rFonts w:ascii="Arial" w:cs="Arial" w:eastAsia="Arial" w:hAnsi="Arial"/>
                <w:sz w:val="18"/>
                <w:szCs w:val="18"/>
                <w:color w:val="auto"/>
              </w:rPr>
              <w:t>XBRL Definition Linkbase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920" w:type="dxa"/>
            <w:vAlign w:val="bottom"/>
          </w:tcPr>
          <w:p>
            <w:pPr>
              <w:ind w:left="240"/>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92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175" w:lineRule="exact"/>
        <w:rPr>
          <w:sz w:val="20"/>
          <w:szCs w:val="20"/>
          <w:color w:val="auto"/>
        </w:rPr>
      </w:pPr>
    </w:p>
    <w:p>
      <w:pPr>
        <w:ind w:left="40" w:right="5960" w:hanging="5"/>
        <w:spacing w:after="0" w:line="497" w:lineRule="auto"/>
        <w:tabs>
          <w:tab w:leader="none" w:pos="27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Indicates a management contract or compensatory plan or arrangement. + Indicates this document is filed as an exhibit herewith.</w:t>
      </w:r>
    </w:p>
    <w:p>
      <w:pPr>
        <w:spacing w:after="0" w:line="1" w:lineRule="exact"/>
        <w:rPr>
          <w:sz w:val="20"/>
          <w:szCs w:val="20"/>
          <w:color w:val="auto"/>
        </w:rPr>
      </w:pPr>
    </w:p>
    <w:p>
      <w:pPr>
        <w:jc w:val="both"/>
        <w:ind w:left="260" w:hanging="225"/>
        <w:spacing w:after="0" w:line="257" w:lineRule="auto"/>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Annual Report on Form 10-K for the year ended December 31, 2013 filed on February 26, 2014 formatted in XBRL (Extensible Business Reporting Language): (i) the Consolidated Statements of Operations, (ii) the Consolidated Statement of Comprehensive Income (Loss), (iii) the Consolidated Balance Sheets, (iv) Parenthetical Data to the Consolidated Balance Sheets, (v) the Consolidated Statements of Cash Flows, (vi) the Consolidated Statements of Changes in Stockholders’ Equity, and (vii) Notes to Consolidated Financial Statements, is furnished electronically herewith.</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Commission File Number for Reports on Form 10-K, Form 10-Q and Form 8-K is 0-26224.</w:t>
      </w:r>
    </w:p>
    <w:p>
      <w:pPr>
        <w:sectPr>
          <w:pgSz w:w="11900" w:h="16838" w:orient="portrait"/>
          <w:cols w:equalWidth="0" w:num="1">
            <w:col w:w="11380"/>
          </w:cols>
          <w:pgMar w:left="240" w:top="530" w:right="27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Integra LifeSciences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400" w:type="dxa"/>
            <w:vAlign w:val="bottom"/>
            <w:gridSpan w:val="2"/>
          </w:tcPr>
          <w:p>
            <w:pPr>
              <w:ind w:left="40"/>
              <w:spacing w:after="0"/>
              <w:rPr>
                <w:sz w:val="20"/>
                <w:szCs w:val="20"/>
                <w:color w:val="auto"/>
              </w:rPr>
            </w:pPr>
            <w:r>
              <w:rPr>
                <w:rFonts w:ascii="Arial" w:cs="Arial" w:eastAsia="Arial" w:hAnsi="Arial"/>
                <w:sz w:val="13"/>
                <w:szCs w:val="13"/>
                <w:b w:val="1"/>
                <w:bCs w:val="1"/>
                <w:color w:val="auto"/>
              </w:rPr>
              <w:t>Name of Subsidiary</w:t>
            </w:r>
          </w:p>
        </w:tc>
        <w:tc>
          <w:tcPr>
            <w:tcW w:w="4220" w:type="dxa"/>
            <w:vAlign w:val="bottom"/>
          </w:tcPr>
          <w:p>
            <w:pPr>
              <w:ind w:left="40"/>
              <w:spacing w:after="0"/>
              <w:rPr>
                <w:sz w:val="20"/>
                <w:szCs w:val="20"/>
                <w:color w:val="auto"/>
              </w:rPr>
            </w:pPr>
            <w:r>
              <w:rPr>
                <w:rFonts w:ascii="Arial" w:cs="Arial" w:eastAsia="Arial" w:hAnsi="Arial"/>
                <w:sz w:val="13"/>
                <w:szCs w:val="13"/>
                <w:b w:val="1"/>
                <w:bCs w:val="1"/>
                <w:color w:val="auto"/>
              </w:rPr>
              <w:t>State or Country of Incorporation or Organization</w:t>
            </w:r>
          </w:p>
        </w:tc>
      </w:tr>
      <w:tr>
        <w:trPr>
          <w:trHeight w:val="57"/>
        </w:trPr>
        <w:tc>
          <w:tcPr>
            <w:tcW w:w="61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Ascension Orthopedics,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Ascension Orthopedics, Ltd.</w:t>
            </w:r>
          </w:p>
        </w:tc>
        <w:tc>
          <w:tcPr>
            <w:tcW w:w="422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Bimeco, Inc.</w:t>
            </w:r>
          </w:p>
        </w:tc>
        <w:tc>
          <w:tcPr>
            <w:tcW w:w="4220" w:type="dxa"/>
            <w:vAlign w:val="bottom"/>
          </w:tcPr>
          <w:p>
            <w:pPr>
              <w:ind w:left="40"/>
              <w:spacing w:after="0"/>
              <w:rPr>
                <w:sz w:val="20"/>
                <w:szCs w:val="20"/>
                <w:color w:val="auto"/>
              </w:rPr>
            </w:pPr>
            <w:r>
              <w:rPr>
                <w:rFonts w:ascii="Arial" w:cs="Arial" w:eastAsia="Arial" w:hAnsi="Arial"/>
                <w:sz w:val="18"/>
                <w:szCs w:val="18"/>
                <w:color w:val="auto"/>
              </w:rPr>
              <w:t>Florida</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CardioDyne, Inc.</w:t>
            </w:r>
          </w:p>
        </w:tc>
        <w:tc>
          <w:tcPr>
            <w:tcW w:w="4220" w:type="dxa"/>
            <w:vAlign w:val="bottom"/>
          </w:tcPr>
          <w:p>
            <w:pPr>
              <w:ind w:left="40"/>
              <w:spacing w:after="0"/>
              <w:rPr>
                <w:sz w:val="20"/>
                <w:szCs w:val="20"/>
                <w:color w:val="auto"/>
              </w:rPr>
            </w:pPr>
            <w:r>
              <w:rPr>
                <w:rFonts w:ascii="Arial" w:cs="Arial" w:eastAsia="Arial" w:hAnsi="Arial"/>
                <w:sz w:val="18"/>
                <w:szCs w:val="18"/>
                <w:color w:val="auto"/>
              </w:rPr>
              <w:t>Massachusetts</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Cathtec, Incorporated</w:t>
            </w:r>
          </w:p>
        </w:tc>
        <w:tc>
          <w:tcPr>
            <w:tcW w:w="4220" w:type="dxa"/>
            <w:vAlign w:val="bottom"/>
          </w:tcPr>
          <w:p>
            <w:pPr>
              <w:ind w:left="40"/>
              <w:spacing w:after="0"/>
              <w:rPr>
                <w:sz w:val="20"/>
                <w:szCs w:val="20"/>
                <w:color w:val="auto"/>
              </w:rPr>
            </w:pPr>
            <w:r>
              <w:rPr>
                <w:rFonts w:ascii="Arial" w:cs="Arial" w:eastAsia="Arial" w:hAnsi="Arial"/>
                <w:sz w:val="18"/>
                <w:szCs w:val="18"/>
                <w:color w:val="auto"/>
              </w:rPr>
              <w:t>Massachusetts</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Caveangle Limited</w:t>
            </w:r>
          </w:p>
        </w:tc>
        <w:tc>
          <w:tcPr>
            <w:tcW w:w="422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Confluent Surgical,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EndoSolutions,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Fiber Imaging Technologies, Inc.</w:t>
            </w:r>
          </w:p>
        </w:tc>
        <w:tc>
          <w:tcPr>
            <w:tcW w:w="4220" w:type="dxa"/>
            <w:vAlign w:val="bottom"/>
          </w:tcPr>
          <w:p>
            <w:pPr>
              <w:ind w:left="40"/>
              <w:spacing w:after="0"/>
              <w:rPr>
                <w:sz w:val="20"/>
                <w:szCs w:val="20"/>
                <w:color w:val="auto"/>
              </w:rPr>
            </w:pPr>
            <w:r>
              <w:rPr>
                <w:rFonts w:ascii="Arial" w:cs="Arial" w:eastAsia="Arial" w:hAnsi="Arial"/>
                <w:sz w:val="18"/>
                <w:szCs w:val="18"/>
                <w:color w:val="auto"/>
              </w:rPr>
              <w:t>Massachusetts</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GMS, Gesellschaft für medizinische Sondentechnik mbH</w:t>
            </w:r>
          </w:p>
        </w:tc>
        <w:tc>
          <w:tcPr>
            <w:tcW w:w="4220" w:type="dxa"/>
            <w:vAlign w:val="bottom"/>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ILS Services Switzerland Ltd.</w:t>
            </w:r>
          </w:p>
        </w:tc>
        <w:tc>
          <w:tcPr>
            <w:tcW w:w="4220" w:type="dxa"/>
            <w:vAlign w:val="bottom"/>
          </w:tcPr>
          <w:p>
            <w:pPr>
              <w:ind w:left="40"/>
              <w:spacing w:after="0"/>
              <w:rPr>
                <w:sz w:val="20"/>
                <w:szCs w:val="20"/>
                <w:color w:val="auto"/>
              </w:rPr>
            </w:pPr>
            <w:r>
              <w:rPr>
                <w:rFonts w:ascii="Arial" w:cs="Arial" w:eastAsia="Arial" w:hAnsi="Arial"/>
                <w:sz w:val="18"/>
                <w:szCs w:val="18"/>
                <w:color w:val="auto"/>
              </w:rPr>
              <w:t>Switzerland</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Burlington MA, Inc. (formerly known as Integra Radionics,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Canada ULC (formerly known as Canada Microsurgical ULC)</w:t>
            </w:r>
          </w:p>
        </w:tc>
        <w:tc>
          <w:tcPr>
            <w:tcW w:w="4220" w:type="dxa"/>
            <w:vAlign w:val="bottom"/>
          </w:tcPr>
          <w:p>
            <w:pPr>
              <w:ind w:left="40"/>
              <w:spacing w:after="0"/>
              <w:rPr>
                <w:sz w:val="20"/>
                <w:szCs w:val="20"/>
                <w:color w:val="auto"/>
              </w:rPr>
            </w:pPr>
            <w:r>
              <w:rPr>
                <w:rFonts w:ascii="Arial" w:cs="Arial" w:eastAsia="Arial" w:hAnsi="Arial"/>
                <w:sz w:val="18"/>
                <w:szCs w:val="18"/>
                <w:color w:val="auto"/>
              </w:rPr>
              <w:t>Canada</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CI, Inc.</w:t>
            </w:r>
          </w:p>
        </w:tc>
        <w:tc>
          <w:tcPr>
            <w:tcW w:w="4220" w:type="dxa"/>
            <w:vAlign w:val="bottom"/>
          </w:tcPr>
          <w:p>
            <w:pPr>
              <w:ind w:left="40"/>
              <w:spacing w:after="0"/>
              <w:rPr>
                <w:sz w:val="20"/>
                <w:szCs w:val="20"/>
                <w:color w:val="auto"/>
              </w:rPr>
            </w:pPr>
            <w:r>
              <w:rPr>
                <w:rFonts w:ascii="Arial" w:cs="Arial" w:eastAsia="Arial" w:hAnsi="Arial"/>
                <w:sz w:val="18"/>
                <w:szCs w:val="18"/>
                <w:color w:val="auto"/>
              </w:rPr>
              <w:t>Cayman Islands</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Euro Holdings,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France Holdings SAS</w:t>
            </w:r>
          </w:p>
        </w:tc>
        <w:tc>
          <w:tcPr>
            <w:tcW w:w="4220" w:type="dxa"/>
            <w:vAlign w:val="bottom"/>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German Holdings GmbH</w:t>
            </w:r>
          </w:p>
        </w:tc>
        <w:tc>
          <w:tcPr>
            <w:tcW w:w="4220" w:type="dxa"/>
            <w:vAlign w:val="bottom"/>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GmbH</w:t>
            </w:r>
          </w:p>
        </w:tc>
        <w:tc>
          <w:tcPr>
            <w:tcW w:w="4220" w:type="dxa"/>
            <w:vAlign w:val="bottom"/>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Japan K.K.</w:t>
            </w:r>
          </w:p>
        </w:tc>
        <w:tc>
          <w:tcPr>
            <w:tcW w:w="4220" w:type="dxa"/>
            <w:vAlign w:val="bottom"/>
          </w:tcPr>
          <w:p>
            <w:pPr>
              <w:ind w:left="40"/>
              <w:spacing w:after="0"/>
              <w:rPr>
                <w:sz w:val="20"/>
                <w:szCs w:val="20"/>
                <w:color w:val="auto"/>
              </w:rPr>
            </w:pPr>
            <w:r>
              <w:rPr>
                <w:rFonts w:ascii="Arial" w:cs="Arial" w:eastAsia="Arial" w:hAnsi="Arial"/>
                <w:sz w:val="18"/>
                <w:szCs w:val="18"/>
                <w:color w:val="auto"/>
              </w:rPr>
              <w:t>Japan</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(Canada) Holdings,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(Ireland) Limited</w:t>
            </w:r>
          </w:p>
        </w:tc>
        <w:tc>
          <w:tcPr>
            <w:tcW w:w="4220" w:type="dxa"/>
            <w:vAlign w:val="bottom"/>
          </w:tcPr>
          <w:p>
            <w:pPr>
              <w:ind w:left="40"/>
              <w:spacing w:after="0"/>
              <w:rPr>
                <w:sz w:val="20"/>
                <w:szCs w:val="20"/>
                <w:color w:val="auto"/>
              </w:rPr>
            </w:pPr>
            <w:r>
              <w:rPr>
                <w:rFonts w:ascii="Arial" w:cs="Arial" w:eastAsia="Arial" w:hAnsi="Arial"/>
                <w:sz w:val="18"/>
                <w:szCs w:val="18"/>
                <w:color w:val="auto"/>
              </w:rPr>
              <w:t>Ireland</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Corporation</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NR Ireland Limited</w:t>
            </w:r>
          </w:p>
        </w:tc>
        <w:tc>
          <w:tcPr>
            <w:tcW w:w="4220" w:type="dxa"/>
            <w:vAlign w:val="bottom"/>
          </w:tcPr>
          <w:p>
            <w:pPr>
              <w:ind w:left="40"/>
              <w:spacing w:after="0"/>
              <w:rPr>
                <w:sz w:val="20"/>
                <w:szCs w:val="20"/>
                <w:color w:val="auto"/>
              </w:rPr>
            </w:pPr>
            <w:r>
              <w:rPr>
                <w:rFonts w:ascii="Arial" w:cs="Arial" w:eastAsia="Arial" w:hAnsi="Arial"/>
                <w:sz w:val="18"/>
                <w:szCs w:val="18"/>
                <w:color w:val="auto"/>
              </w:rPr>
              <w:t>Ireland</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Sales LLC (f/k/a Integra Healthcare Products LLC)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Sales (Ireland) Limited</w:t>
            </w:r>
          </w:p>
        </w:tc>
        <w:tc>
          <w:tcPr>
            <w:tcW w:w="4220" w:type="dxa"/>
            <w:vAlign w:val="bottom"/>
          </w:tcPr>
          <w:p>
            <w:pPr>
              <w:ind w:left="40"/>
              <w:spacing w:after="0"/>
              <w:rPr>
                <w:sz w:val="20"/>
                <w:szCs w:val="20"/>
                <w:color w:val="auto"/>
              </w:rPr>
            </w:pPr>
            <w:r>
              <w:rPr>
                <w:rFonts w:ascii="Arial" w:cs="Arial" w:eastAsia="Arial" w:hAnsi="Arial"/>
                <w:sz w:val="18"/>
                <w:szCs w:val="18"/>
                <w:color w:val="auto"/>
              </w:rPr>
              <w:t>Ireland</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Services (France) SAS</w:t>
            </w:r>
          </w:p>
        </w:tc>
        <w:tc>
          <w:tcPr>
            <w:tcW w:w="4220" w:type="dxa"/>
            <w:vAlign w:val="bottom"/>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Shared Services (Ireland) Limited</w:t>
            </w:r>
          </w:p>
        </w:tc>
        <w:tc>
          <w:tcPr>
            <w:tcW w:w="4220" w:type="dxa"/>
            <w:vAlign w:val="bottom"/>
          </w:tcPr>
          <w:p>
            <w:pPr>
              <w:ind w:left="40"/>
              <w:spacing w:after="0"/>
              <w:rPr>
                <w:sz w:val="20"/>
                <w:szCs w:val="20"/>
                <w:color w:val="auto"/>
              </w:rPr>
            </w:pPr>
            <w:r>
              <w:rPr>
                <w:rFonts w:ascii="Arial" w:cs="Arial" w:eastAsia="Arial" w:hAnsi="Arial"/>
                <w:sz w:val="18"/>
                <w:szCs w:val="18"/>
                <w:color w:val="auto"/>
              </w:rPr>
              <w:t>Ireland</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LifeSciences Singapore Pte. Ltd.</w:t>
            </w:r>
          </w:p>
        </w:tc>
        <w:tc>
          <w:tcPr>
            <w:tcW w:w="4220" w:type="dxa"/>
            <w:vAlign w:val="bottom"/>
          </w:tcPr>
          <w:p>
            <w:pPr>
              <w:ind w:left="40"/>
              <w:spacing w:after="0"/>
              <w:rPr>
                <w:sz w:val="20"/>
                <w:szCs w:val="20"/>
                <w:color w:val="auto"/>
              </w:rPr>
            </w:pPr>
            <w:r>
              <w:rPr>
                <w:rFonts w:ascii="Arial" w:cs="Arial" w:eastAsia="Arial" w:hAnsi="Arial"/>
                <w:sz w:val="18"/>
                <w:szCs w:val="18"/>
                <w:color w:val="auto"/>
              </w:rPr>
              <w:t>Singapore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LS (Benelux) NV</w:t>
            </w:r>
          </w:p>
        </w:tc>
        <w:tc>
          <w:tcPr>
            <w:tcW w:w="4220" w:type="dxa"/>
            <w:vAlign w:val="bottom"/>
          </w:tcPr>
          <w:p>
            <w:pPr>
              <w:ind w:left="40"/>
              <w:spacing w:after="0"/>
              <w:rPr>
                <w:sz w:val="20"/>
                <w:szCs w:val="20"/>
                <w:color w:val="auto"/>
              </w:rPr>
            </w:pPr>
            <w:r>
              <w:rPr>
                <w:rFonts w:ascii="Arial" w:cs="Arial" w:eastAsia="Arial" w:hAnsi="Arial"/>
                <w:sz w:val="18"/>
                <w:szCs w:val="18"/>
                <w:color w:val="auto"/>
              </w:rPr>
              <w:t>Belgium</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Luxtec, Inc.</w:t>
            </w:r>
          </w:p>
        </w:tc>
        <w:tc>
          <w:tcPr>
            <w:tcW w:w="4220" w:type="dxa"/>
            <w:vAlign w:val="bottom"/>
          </w:tcPr>
          <w:p>
            <w:pPr>
              <w:ind w:left="40"/>
              <w:spacing w:after="0"/>
              <w:rPr>
                <w:sz w:val="20"/>
                <w:szCs w:val="20"/>
                <w:color w:val="auto"/>
              </w:rPr>
            </w:pPr>
            <w:r>
              <w:rPr>
                <w:rFonts w:ascii="Arial" w:cs="Arial" w:eastAsia="Arial" w:hAnsi="Arial"/>
                <w:sz w:val="18"/>
                <w:szCs w:val="18"/>
                <w:color w:val="auto"/>
              </w:rPr>
              <w:t>Massachusetts</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ME GmbH</w:t>
            </w:r>
          </w:p>
        </w:tc>
        <w:tc>
          <w:tcPr>
            <w:tcW w:w="4220" w:type="dxa"/>
            <w:vAlign w:val="bottom"/>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NeuroSciences (International),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NeuroSciences Holdings (UK) Limited</w:t>
            </w:r>
          </w:p>
        </w:tc>
        <w:tc>
          <w:tcPr>
            <w:tcW w:w="422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NeuroSciences Holdings B.V.</w:t>
            </w:r>
          </w:p>
        </w:tc>
        <w:tc>
          <w:tcPr>
            <w:tcW w:w="4220" w:type="dxa"/>
            <w:vAlign w:val="bottom"/>
          </w:tcPr>
          <w:p>
            <w:pPr>
              <w:ind w:left="40"/>
              <w:spacing w:after="0"/>
              <w:rPr>
                <w:sz w:val="20"/>
                <w:szCs w:val="20"/>
                <w:color w:val="auto"/>
              </w:rPr>
            </w:pPr>
            <w:r>
              <w:rPr>
                <w:rFonts w:ascii="Arial" w:cs="Arial" w:eastAsia="Arial" w:hAnsi="Arial"/>
                <w:sz w:val="18"/>
                <w:szCs w:val="18"/>
                <w:color w:val="auto"/>
              </w:rPr>
              <w:t>Netherlands</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NeuroSciences Implants (France) SAS</w:t>
            </w:r>
          </w:p>
        </w:tc>
        <w:tc>
          <w:tcPr>
            <w:tcW w:w="4220" w:type="dxa"/>
            <w:vAlign w:val="bottom"/>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NeuroSciences Limited</w:t>
            </w:r>
          </w:p>
        </w:tc>
        <w:tc>
          <w:tcPr>
            <w:tcW w:w="422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Neurosciences Pty Ltd. (AUS)</w:t>
            </w:r>
          </w:p>
        </w:tc>
        <w:tc>
          <w:tcPr>
            <w:tcW w:w="4220" w:type="dxa"/>
            <w:vAlign w:val="bottom"/>
          </w:tcPr>
          <w:p>
            <w:pPr>
              <w:ind w:left="40"/>
              <w:spacing w:after="0"/>
              <w:rPr>
                <w:sz w:val="20"/>
                <w:szCs w:val="20"/>
                <w:color w:val="auto"/>
              </w:rPr>
            </w:pPr>
            <w:r>
              <w:rPr>
                <w:rFonts w:ascii="Arial" w:cs="Arial" w:eastAsia="Arial" w:hAnsi="Arial"/>
                <w:sz w:val="18"/>
                <w:szCs w:val="18"/>
                <w:color w:val="auto"/>
              </w:rPr>
              <w:t>Australia</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Neurosciences Pty Ltd. (NZ)</w:t>
            </w:r>
          </w:p>
        </w:tc>
        <w:tc>
          <w:tcPr>
            <w:tcW w:w="4220" w:type="dxa"/>
            <w:vAlign w:val="bottom"/>
          </w:tcPr>
          <w:p>
            <w:pPr>
              <w:ind w:left="40"/>
              <w:spacing w:after="0"/>
              <w:rPr>
                <w:sz w:val="20"/>
                <w:szCs w:val="20"/>
                <w:color w:val="auto"/>
              </w:rPr>
            </w:pPr>
            <w:r>
              <w:rPr>
                <w:rFonts w:ascii="Arial" w:cs="Arial" w:eastAsia="Arial" w:hAnsi="Arial"/>
                <w:sz w:val="18"/>
                <w:szCs w:val="18"/>
                <w:color w:val="auto"/>
              </w:rPr>
              <w:t>New Zealand</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Sales, Inc.</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Integra Selector Corporation</w:t>
            </w:r>
          </w:p>
        </w:tc>
        <w:tc>
          <w:tcPr>
            <w:tcW w:w="4220" w:type="dxa"/>
            <w:vAlign w:val="bottom"/>
          </w:tcPr>
          <w:p>
            <w:pPr>
              <w:ind w:left="4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580" w:right="23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color w:val="auto"/>
        </w:rPr>
        <w:t>Integra (Shanghai) Distribution Consulting Co. Ltd.</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Integra York PA, Inc. (formerly known as Miltex, Inc.)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IsoTis International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IsoTis NV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IsoTis OrthoBiologics,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IsoTis T.E. Facility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IsoTis,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 Jamner Surgical Instruments,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Jarit GmbH</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LXU Healthcare, Inc. - Medical Specialty Products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Miltex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Minnesota Scientific,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Newdeal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Newdeal,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Precise Dental Holding Corp.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Precise Dental Internacional, S.A.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Precise Dental Products,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Precision Dental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SeaSpine,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Spembly Cryosurgery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Spembly Medical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Tarsus Medical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Theken Spine,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Washington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Minnesota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Jersey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ectPr>
          <w:pgSz w:w="11900" w:h="16838" w:orient="portrait"/>
          <w:cols w:equalWidth="0" w:num="2">
            <w:col w:w="5680" w:space="720"/>
            <w:col w:w="3779"/>
          </w:cols>
          <w:pgMar w:left="280" w:top="746" w:right="1440" w:bottom="1440" w:gutter="0" w:footer="0" w:header="0"/>
        </w:sectPr>
      </w:pPr>
    </w:p>
    <w:bookmarkStart w:id="111" w:name="page112"/>
    <w:bookmarkEnd w:id="111"/>
    <w:p>
      <w:pPr>
        <w:ind w:left="7140"/>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3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(File Nos. 333-46024, 333-82233, 333-58235, 333-06577, 333-73512, 333-109042, 333-127488, 333-155263 and 333-170210) and Form S-3 (File No. 333-192079) of Integra LifeSciences Holdings Corporation and its Subsidiaries of our report dated February 26, 2014 relating to the consolidated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2014</w:t>
      </w:r>
    </w:p>
    <w:p>
      <w:pPr>
        <w:sectPr>
          <w:pgSz w:w="11900" w:h="16838" w:orient="portrait"/>
          <w:cols w:equalWidth="0" w:num="1">
            <w:col w:w="11420"/>
          </w:cols>
          <w:pgMar w:left="240" w:top="688"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20"/>
        <w:spacing w:after="0"/>
        <w:tabs>
          <w:tab w:leader="none" w:pos="1040" w:val="left"/>
          <w:tab w:leader="none" w:pos="5940" w:val="left"/>
        </w:tabs>
        <w:rPr>
          <w:sz w:val="20"/>
          <w:szCs w:val="20"/>
          <w:color w:val="auto"/>
        </w:rPr>
      </w:pPr>
      <w:r>
        <w:rPr>
          <w:rFonts w:ascii="Arial" w:cs="Arial" w:eastAsia="Arial" w:hAnsi="Arial"/>
          <w:sz w:val="18"/>
          <w:szCs w:val="18"/>
          <w:color w:val="auto"/>
        </w:rPr>
        <w:t>Date:</w:t>
        <w:tab/>
        <w:t>February 26, 2014</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31750</wp:posOffset>
            </wp:positionV>
            <wp:extent cx="32416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John B. Henneman, III, certify that:</w:t>
      </w:r>
    </w:p>
    <w:p>
      <w:pPr>
        <w:spacing w:after="0" w:line="117"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20"/>
        <w:spacing w:after="0"/>
        <w:tabs>
          <w:tab w:leader="none" w:pos="88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2014</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5077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John B. Henneman, III</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Corporate Vice President, Finance and Administration,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and Chief Financial Officer</w:t>
      </w:r>
    </w:p>
    <w:p>
      <w:pPr>
        <w:sectPr>
          <w:pgSz w:w="11900" w:h="16838" w:orient="portrait"/>
          <w:cols w:equalWidth="0" w:num="1">
            <w:col w:w="11420"/>
          </w:cols>
          <w:pgMar w:left="240" w:top="12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Peter J. Arduini, President and Chief Executive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2013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320"/>
        <w:spacing w:after="0"/>
        <w:tabs>
          <w:tab w:leader="none" w:pos="960" w:val="left"/>
          <w:tab w:leader="none" w:pos="5840" w:val="left"/>
        </w:tabs>
        <w:rPr>
          <w:sz w:val="20"/>
          <w:szCs w:val="20"/>
          <w:color w:val="auto"/>
        </w:rPr>
      </w:pPr>
      <w:r>
        <w:rPr>
          <w:rFonts w:ascii="Arial" w:cs="Arial" w:eastAsia="Arial" w:hAnsi="Arial"/>
          <w:sz w:val="18"/>
          <w:szCs w:val="18"/>
          <w:color w:val="auto"/>
        </w:rPr>
        <w:t>Date:</w:t>
        <w:tab/>
        <w:t>February 26, 2014</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3616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John B. Henneman, III, Corporate Vice President Finance and Administration and Chief Financial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2013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120"/>
        <w:spacing w:after="0"/>
        <w:tabs>
          <w:tab w:leader="none" w:pos="78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2014</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360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John B. Henneman, III</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Corporate Vice President, Finance and Administration,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and 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x"/>
      <w:numFmt w:val="bullet"/>
      <w:start w:val="1"/>
    </w:lvl>
  </w:abstractNum>
  <w:abstractNum w:abstractNumId="1">
    <w:nsid w:val="75A2A8D4"/>
    <w:multiLevelType w:val="hybridMultilevel"/>
    <w:lvl w:ilvl="0">
      <w:lvlJc w:val="left"/>
      <w:lvlText w:val="o"/>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1."/>
      <w:numFmt w:val="decimal"/>
      <w:start w:val="7"/>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2"/>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1)"/>
      <w:numFmt w:val="lowerLetter"/>
      <w:start w:val="24"/>
    </w:lvl>
  </w:abstractNum>
  <w:abstractNum w:abstractNumId="18">
    <w:nsid w:val="22221A70"/>
    <w:multiLevelType w:val="hybridMultilevel"/>
    <w:lvl w:ilvl="0">
      <w:lvlJc w:val="left"/>
      <w:lvlText w:val="(%1)"/>
      <w:numFmt w:val="lowerLetter"/>
      <w:start w:val="2"/>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1)"/>
      <w:numFmt w:val="lowerLetter"/>
      <w:start w:val="1"/>
    </w:lvl>
  </w:abstractNum>
  <w:abstractNum w:abstractNumId="22">
    <w:nsid w:val="419AC241"/>
    <w:multiLevelType w:val="hybridMultilevel"/>
    <w:lvl w:ilvl="0">
      <w:lvlJc w:val="left"/>
      <w:lvlText w:val="%1"/>
      <w:numFmt w:val="decimal"/>
      <w:start w:val="18"/>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1."/>
      <w:numFmt w:val="decimal"/>
      <w:start w:val="3"/>
    </w:lvl>
  </w:abstractNum>
  <w:abstractNum w:abstractNumId="27">
    <w:nsid w:val="77465F01"/>
    <w:multiLevelType w:val="hybridMultilevel"/>
    <w:lvl w:ilvl="0">
      <w:lvlJc w:val="left"/>
      <w:lvlText w:val="(%1)"/>
      <w:numFmt w:val="lowerRoman"/>
      <w:start w:val="3"/>
    </w:lvl>
  </w:abstractNum>
  <w:abstractNum w:abstractNumId="28">
    <w:nsid w:val="7724C67E"/>
    <w:multiLevelType w:val="hybridMultilevel"/>
    <w:lvl w:ilvl="0">
      <w:lvlJc w:val="left"/>
      <w:lvlText w:val="%1."/>
      <w:numFmt w:val="lowerRoman"/>
      <w:start w:val="1"/>
    </w:lvl>
  </w:abstractNum>
  <w:abstractNum w:abstractNumId="29">
    <w:nsid w:val="5C482A97"/>
    <w:multiLevelType w:val="hybridMultilevel"/>
    <w:lvl w:ilvl="0">
      <w:lvlJc w:val="left"/>
      <w:lvlText w:val="(%1)"/>
      <w:numFmt w:val="lowerLetter"/>
      <w:start w:val="24"/>
    </w:lvl>
  </w:abstractNum>
  <w:abstractNum w:abstractNumId="30">
    <w:nsid w:val="2463B9EA"/>
    <w:multiLevelType w:val="hybridMultilevel"/>
    <w:lvl w:ilvl="0">
      <w:lvlJc w:val="left"/>
      <w:lvlText w:val="(%1)"/>
      <w:numFmt w:val="lowerLetter"/>
      <w:start w:val="2"/>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lowerLetter"/>
      <w:start w:val="1"/>
    </w:lvl>
  </w:abstractNum>
  <w:abstractNum w:abstractNumId="34">
    <w:nsid w:val="580BD78F"/>
    <w:multiLevelType w:val="hybridMultilevel"/>
    <w:lvl w:ilvl="0">
      <w:lvlJc w:val="left"/>
      <w:lvlText w:val="•"/>
      <w:numFmt w:val="bullet"/>
      <w:start w:val="1"/>
    </w:lvl>
    <w:lvl w:ilvl="1">
      <w:lvlJc w:val="left"/>
      <w:lvlText w:val="(%2)"/>
      <w:numFmt w:val="lowerRoman"/>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1"/>
    </w:lvl>
    <w:lvl w:ilvl="1">
      <w:lvlJc w:val="left"/>
      <w:lvlText w:val="(%2)"/>
      <w:numFmt w:val="decimal"/>
      <w:start w:val="2"/>
    </w:lvl>
  </w:abstractNum>
  <w:abstractNum w:abstractNumId="37">
    <w:nsid w:val="70A64E2A"/>
    <w:multiLevelType w:val="hybridMultilevel"/>
    <w:lvl w:ilvl="0">
      <w:lvlJc w:val="left"/>
      <w:lvlText w:val="%1."/>
      <w:numFmt w:val="decimal"/>
      <w:start w:val="16"/>
    </w:lvl>
    <w:lvl w:ilvl="1">
      <w:lvlJc w:val="left"/>
      <w:lvlText w:val="%2"/>
      <w:numFmt w:val="decimal"/>
      <w:start w:val="1"/>
    </w:lvl>
  </w:abstractNum>
  <w:abstractNum w:abstractNumId="38">
    <w:nsid w:val="6A2342EC"/>
    <w:multiLevelType w:val="hybridMultilevel"/>
    <w:lvl w:ilvl="0">
      <w:lvlJc w:val="left"/>
      <w:lvlText w:val="(%1)"/>
      <w:numFmt w:val="decimal"/>
      <w:start w:val="1"/>
    </w:lvl>
  </w:abstractNum>
  <w:abstractNum w:abstractNumId="39">
    <w:nsid w:val="2A487CB0"/>
    <w:multiLevelType w:val="hybridMultilevel"/>
    <w:lvl w:ilvl="0">
      <w:lvlJc w:val="left"/>
      <w:lvlText w:val="%1"/>
      <w:numFmt w:val="decimal"/>
      <w:start w:val="18"/>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2019-12-06T10:13:07Z</dcterms:created>
  <dcterms:modified xsi:type="dcterms:W3CDTF">2019-12-06T10:13:07Z</dcterms:modified>
</cp:coreProperties>
</file>