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3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248"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469265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512445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205740</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TO BE HELD ON MAY 17, 2018</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44"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NOTICE IS HEREBY GIVEN that the 2018 Annual Meeting of Stockholders (the “Meeting”) of Integra LifeSciences Holdings Corporation (the “Company”) will be held as, and for the purposes, set forth below:</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TIME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9:15 a.m. local time on Thursday, May 17, 2018</w:t>
            </w:r>
          </w:p>
        </w:tc>
      </w:tr>
      <w:tr>
        <w:trPr>
          <w:trHeight w:val="378"/>
        </w:trPr>
        <w:tc>
          <w:tcPr>
            <w:tcW w:w="2220" w:type="dxa"/>
            <w:vAlign w:val="bottom"/>
          </w:tcPr>
          <w:p>
            <w:pPr>
              <w:spacing w:after="0"/>
              <w:rPr>
                <w:sz w:val="20"/>
                <w:szCs w:val="20"/>
                <w:color w:val="auto"/>
              </w:rPr>
            </w:pPr>
            <w:r>
              <w:rPr>
                <w:rFonts w:ascii="Arial" w:cs="Arial" w:eastAsia="Arial" w:hAnsi="Arial"/>
                <w:sz w:val="18"/>
                <w:szCs w:val="18"/>
                <w:color w:val="auto"/>
              </w:rPr>
              <w:t>PLACE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Integra LifeSciences Holdings Corporation, 315 Enterprise Drive, Plainsboro, New Jersey 08536</w:t>
            </w:r>
          </w:p>
        </w:tc>
      </w:tr>
      <w:tr>
        <w:trPr>
          <w:trHeight w:val="372"/>
        </w:trPr>
        <w:tc>
          <w:tcPr>
            <w:tcW w:w="2220" w:type="dxa"/>
            <w:vAlign w:val="bottom"/>
          </w:tcPr>
          <w:p>
            <w:pPr>
              <w:spacing w:after="0"/>
              <w:rPr>
                <w:sz w:val="20"/>
                <w:szCs w:val="20"/>
                <w:color w:val="auto"/>
              </w:rPr>
            </w:pPr>
            <w:r>
              <w:rPr>
                <w:rFonts w:ascii="Arial" w:cs="Arial" w:eastAsia="Arial" w:hAnsi="Arial"/>
                <w:sz w:val="18"/>
                <w:szCs w:val="18"/>
                <w:color w:val="auto"/>
              </w:rPr>
              <w:t>ITEMS OF BUSINESS</w:t>
            </w:r>
          </w:p>
        </w:tc>
        <w:tc>
          <w:tcPr>
            <w:tcW w:w="700" w:type="dxa"/>
            <w:vAlign w:val="bottom"/>
          </w:tcPr>
          <w:p>
            <w:pPr>
              <w:ind w:left="540"/>
              <w:spacing w:after="0"/>
              <w:rPr>
                <w:sz w:val="20"/>
                <w:szCs w:val="20"/>
                <w:color w:val="auto"/>
              </w:rPr>
            </w:pPr>
            <w:r>
              <w:rPr>
                <w:rFonts w:ascii="Arial" w:cs="Arial" w:eastAsia="Arial" w:hAnsi="Arial"/>
                <w:sz w:val="18"/>
                <w:szCs w:val="18"/>
                <w:color w:val="auto"/>
                <w:w w:val="92"/>
              </w:rPr>
              <w:t>1.</w:t>
            </w:r>
          </w:p>
        </w:tc>
        <w:tc>
          <w:tcPr>
            <w:tcW w:w="8100" w:type="dxa"/>
            <w:vAlign w:val="bottom"/>
          </w:tcPr>
          <w:p>
            <w:pPr>
              <w:ind w:left="20"/>
              <w:spacing w:after="0"/>
              <w:rPr>
                <w:sz w:val="20"/>
                <w:szCs w:val="20"/>
                <w:color w:val="auto"/>
              </w:rPr>
            </w:pPr>
            <w:r>
              <w:rPr>
                <w:rFonts w:ascii="Arial" w:cs="Arial" w:eastAsia="Arial" w:hAnsi="Arial"/>
                <w:sz w:val="18"/>
                <w:szCs w:val="18"/>
                <w:color w:val="auto"/>
                <w:w w:val="94"/>
              </w:rPr>
              <w:t>To elect nine directors of the Company to serve until the next annual meeting of stockholders and until their</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successors are duly elected and qualified.</w:t>
            </w:r>
          </w:p>
        </w:tc>
      </w:tr>
      <w:tr>
        <w:trPr>
          <w:trHeight w:val="358"/>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2.</w:t>
            </w:r>
          </w:p>
        </w:tc>
        <w:tc>
          <w:tcPr>
            <w:tcW w:w="8100" w:type="dxa"/>
            <w:vAlign w:val="bottom"/>
          </w:tcPr>
          <w:p>
            <w:pPr>
              <w:ind w:left="20"/>
              <w:spacing w:after="0"/>
              <w:rPr>
                <w:sz w:val="20"/>
                <w:szCs w:val="20"/>
                <w:color w:val="auto"/>
              </w:rPr>
            </w:pPr>
            <w:r>
              <w:rPr>
                <w:rFonts w:ascii="Arial" w:cs="Arial" w:eastAsia="Arial" w:hAnsi="Arial"/>
                <w:sz w:val="18"/>
                <w:szCs w:val="18"/>
                <w:color w:val="auto"/>
                <w:w w:val="94"/>
              </w:rPr>
              <w:t>To ratify the appointment of PricewaterhouseCoopers LLP as the Company’s independent registered public</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accounting firm for the fiscal year 2018.</w:t>
            </w:r>
          </w:p>
        </w:tc>
      </w:tr>
      <w:tr>
        <w:trPr>
          <w:trHeight w:val="365"/>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3.</w:t>
            </w:r>
          </w:p>
        </w:tc>
        <w:tc>
          <w:tcPr>
            <w:tcW w:w="8100" w:type="dxa"/>
            <w:vAlign w:val="bottom"/>
          </w:tcPr>
          <w:p>
            <w:pPr>
              <w:ind w:left="2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365"/>
        </w:trPr>
        <w:tc>
          <w:tcPr>
            <w:tcW w:w="222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w w:val="92"/>
              </w:rPr>
              <w:t>4.</w:t>
            </w:r>
          </w:p>
        </w:tc>
        <w:tc>
          <w:tcPr>
            <w:tcW w:w="8100" w:type="dxa"/>
            <w:vAlign w:val="bottom"/>
          </w:tcPr>
          <w:p>
            <w:pPr>
              <w:ind w:left="20"/>
              <w:spacing w:after="0"/>
              <w:rPr>
                <w:sz w:val="20"/>
                <w:szCs w:val="20"/>
                <w:color w:val="auto"/>
              </w:rPr>
            </w:pPr>
            <w:r>
              <w:rPr>
                <w:rFonts w:ascii="Arial" w:cs="Arial" w:eastAsia="Arial" w:hAnsi="Arial"/>
                <w:sz w:val="18"/>
                <w:szCs w:val="18"/>
                <w:color w:val="auto"/>
                <w:w w:val="90"/>
              </w:rPr>
              <w:t>To act upon any other matters properly coming before the Meeting or any adjournment or postponement thereof.</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RECORD DATE</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Holders of record of the Company’s common stock at the close of business on March 30, 2018 are entitled to notice</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8"/>
              </w:rPr>
              <w:t>of, and to vote at, the Meeting and any adjournment or postponement thereof. A complete list of stockholders entitled</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to vote at the Meeting will be available for inspection by any stockholder for any purpose germane to the Meeting for</w:t>
            </w:r>
          </w:p>
        </w:tc>
      </w:tr>
      <w:tr>
        <w:trPr>
          <w:trHeight w:val="216"/>
        </w:trPr>
        <w:tc>
          <w:tcPr>
            <w:tcW w:w="2220" w:type="dxa"/>
            <w:vAlign w:val="bottom"/>
          </w:tcPr>
          <w:p>
            <w:pPr>
              <w:spacing w:after="0"/>
              <w:rPr>
                <w:sz w:val="18"/>
                <w:szCs w:val="18"/>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7"/>
              </w:rPr>
              <w:t>ten days prior to the Meeting during ordinary business hours at the Company’s headquarters located at 311 Enterprise</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Drive, Plainsboro, New Jersey.</w:t>
            </w: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ANNUAL REPORT</w:t>
            </w: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w w:val="89"/>
              </w:rPr>
              <w:t>The 2017 Annual Report of Integra LifeSciences Holdings Corporation is being mailed simultaneously herewith. The</w:t>
            </w:r>
          </w:p>
        </w:tc>
      </w:tr>
      <w:tr>
        <w:trPr>
          <w:trHeight w:val="222"/>
        </w:trPr>
        <w:tc>
          <w:tcPr>
            <w:tcW w:w="2220" w:type="dxa"/>
            <w:vAlign w:val="bottom"/>
          </w:tcPr>
          <w:p>
            <w:pPr>
              <w:spacing w:after="0"/>
              <w:rPr>
                <w:sz w:val="19"/>
                <w:szCs w:val="19"/>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Annual Report is not to be considered part of the proxy solicitation materials.</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IMPORTANT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93" w:lineRule="exact"/>
        <w:rPr>
          <w:sz w:val="20"/>
          <w:szCs w:val="20"/>
          <w:color w:val="auto"/>
        </w:rPr>
      </w:pPr>
    </w:p>
    <w:p>
      <w:pPr>
        <w:sectPr>
          <w:pgSz w:w="11900" w:h="16838" w:orient="portrait"/>
          <w:cols w:equalWidth="0" w:num="2">
            <w:col w:w="2240" w:space="720"/>
            <w:col w:w="8220"/>
          </w:cols>
          <w:pgMar w:left="240" w:top="459" w:right="479" w:bottom="1440" w:gutter="0" w:footer="0" w:header="0"/>
          <w:type w:val="continuous"/>
        </w:sect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880"/>
        <w:spacing w:after="0"/>
        <w:tabs>
          <w:tab w:leader="none" w:pos="7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11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If you do not vote your shares on the Election of Directors, your brokerage firm may not vote them for you; your shares will remain unvoted.</w:t>
      </w:r>
    </w:p>
    <w:p>
      <w:pPr>
        <w:spacing w:after="0" w:line="125" w:lineRule="exact"/>
        <w:rPr>
          <w:sz w:val="20"/>
          <w:szCs w:val="20"/>
          <w:color w:val="auto"/>
        </w:rPr>
      </w:pPr>
    </w:p>
    <w:p>
      <w:pPr>
        <w:ind w:left="200" w:right="460" w:firstLine="441"/>
        <w:spacing w:after="0" w:line="310" w:lineRule="auto"/>
        <w:rPr>
          <w:sz w:val="20"/>
          <w:szCs w:val="20"/>
          <w:color w:val="auto"/>
        </w:rPr>
      </w:pPr>
      <w:r>
        <w:rPr>
          <w:rFonts w:ascii="Arial" w:cs="Arial" w:eastAsia="Arial" w:hAnsi="Arial"/>
          <w:sz w:val="16"/>
          <w:szCs w:val="16"/>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80"/>
          </w:cols>
          <w:pgMar w:left="24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59"/>
        </w:trPr>
        <w:tc>
          <w:tcPr>
            <w:tcW w:w="858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Purpose of Meeting</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3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Record Date</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Voting and Revocability of Proxies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Proposal 1: Election of Directors</w:t>
              </w:r>
            </w:hyperlink>
          </w:p>
        </w:tc>
        <w:tc>
          <w:tcPr>
            <w:tcW w:w="140" w:type="dxa"/>
            <w:vAlign w:val="bottom"/>
            <w:tcBorders>
              <w:top w:val="single" w:sz="8" w:color="0000EE"/>
            </w:tcBorders>
            <w:gridSpan w:val="2"/>
          </w:tcPr>
          <w:p>
            <w:pPr>
              <w:spacing w:after="0"/>
              <w:rPr>
                <w:sz w:val="17"/>
                <w:szCs w:val="17"/>
                <w:color w:val="auto"/>
              </w:rPr>
            </w:pPr>
          </w:p>
        </w:tc>
        <w:tc>
          <w:tcPr>
            <w:tcW w:w="612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6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Information Concerning Meetings, Executive Sessions and Certain Committees</w:t>
              </w:r>
            </w:hyperlink>
          </w:p>
        </w:tc>
        <w:tc>
          <w:tcPr>
            <w:tcW w:w="29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Qualifications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The Board’s Role in Risk Oversight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Assessment Regarding Compensation Policies and Practices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61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Director Attendance at Annual Meetings: Shareholder Communications with Directors</w:t>
              </w:r>
            </w:hyperlink>
          </w:p>
        </w:tc>
        <w:tc>
          <w:tcPr>
            <w:tcW w:w="24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Information About Executive Officers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2: Ratification of Independent Registered Public Accounting Firm</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30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Proposal 3: Advisory Vote on Named Executive Officer Compensation</w:t>
              </w:r>
            </w:hyperlink>
          </w:p>
        </w:tc>
        <w:tc>
          <w:tcPr>
            <w:tcW w:w="32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9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Discussion and Analysis</w:t>
              </w:r>
            </w:hyperlink>
          </w:p>
        </w:tc>
        <w:tc>
          <w:tcPr>
            <w:tcW w:w="36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Compensation Committee Report</w:t>
              </w:r>
            </w:hyperlink>
          </w:p>
        </w:tc>
        <w:tc>
          <w:tcPr>
            <w:tcW w:w="580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Compensation of Executive Officers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Director Compensation</w:t>
              </w:r>
            </w:hyperlink>
          </w:p>
        </w:tc>
        <w:tc>
          <w:tcPr>
            <w:tcW w:w="602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Equity Compensation Plan Information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Compensation Committee Interlocks and Insider Participation</w:t>
              </w:r>
            </w:hyperlink>
          </w:p>
        </w:tc>
        <w:tc>
          <w:tcPr>
            <w:tcW w:w="42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334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Certain Relationships and Related Transactions</w:t>
              </w:r>
            </w:hyperlink>
          </w:p>
        </w:tc>
        <w:tc>
          <w:tcPr>
            <w:tcW w:w="524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Audit Committee Report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Principal Stockholders</w:t>
              </w:r>
            </w:hyperlink>
          </w:p>
        </w:tc>
        <w:tc>
          <w:tcPr>
            <w:tcW w:w="120" w:type="dxa"/>
            <w:vAlign w:val="bottom"/>
            <w:tcBorders>
              <w:top w:val="single" w:sz="8" w:color="0000EE"/>
            </w:tcBorders>
          </w:tcPr>
          <w:p>
            <w:pPr>
              <w:spacing w:after="0"/>
              <w:rPr>
                <w:sz w:val="17"/>
                <w:szCs w:val="17"/>
                <w:color w:val="auto"/>
              </w:rPr>
            </w:pPr>
          </w:p>
        </w:tc>
        <w:tc>
          <w:tcPr>
            <w:tcW w:w="68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Section 16(a) Beneficial Ownership Reporting Compliance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Stockholder Proposals</w:t>
              </w:r>
            </w:hyperlink>
          </w:p>
        </w:tc>
        <w:tc>
          <w:tcPr>
            <w:tcW w:w="2580" w:type="dxa"/>
            <w:vAlign w:val="bottom"/>
            <w:tcBorders>
              <w:top w:val="single" w:sz="8" w:color="0000EE"/>
            </w:tcBorders>
            <w:gridSpan w:val="13"/>
          </w:tcPr>
          <w:p>
            <w:pPr>
              <w:spacing w:after="0"/>
              <w:rPr>
                <w:sz w:val="17"/>
                <w:szCs w:val="17"/>
                <w:color w:val="auto"/>
              </w:rPr>
            </w:pPr>
          </w:p>
        </w:tc>
        <w:tc>
          <w:tcPr>
            <w:tcW w:w="442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720" w:type="dxa"/>
            <w:vAlign w:val="bottom"/>
            <w:gridSpan w:val="18"/>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80" w:type="dxa"/>
            <w:vAlign w:val="bottom"/>
            <w:gridSpan w:val="2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Appendix A — Reconciliations of Non-GAAP Financial Measures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118745</wp:posOffset>
            </wp:positionV>
            <wp:extent cx="1260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114300</wp:posOffset>
            </wp:positionV>
            <wp:extent cx="1260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TO BE HELD ON MAY 17, 2018</w:t>
      </w:r>
    </w:p>
    <w:p>
      <w:pPr>
        <w:spacing w:after="0" w:line="60" w:lineRule="exact"/>
        <w:rPr>
          <w:sz w:val="20"/>
          <w:szCs w:val="20"/>
          <w:color w:val="auto"/>
        </w:rPr>
      </w:pPr>
    </w:p>
    <w:p>
      <w:pPr>
        <w:jc w:val="center"/>
        <w:ind w:left="480" w:right="170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17, 2018.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are providing this Proxy Statement to holders of our common stock in connection with the solicitation by the Board of Directors of Integra LifeSciences Holdings Corporation (the “Company”) of proxies to be voted at the Company’s 2018 Annual Meeting of Stockholders (the “Meeting”) and at any adjournments or postponements thereof. The Meeting will begin at 9:15 a.m. local time on Thursday, May 17, 2018 at the Company’s Plainsboro Facility, 315 Enterprise Drive, Plainsboro, New Jersey, 08536. We are first mailing this Proxy Statement, the Notice of Annual Meeting of Stockholders and the form of proxy to stockholders of the Company on or about April 6, 2018.</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640" w:right="160" w:firstLine="428"/>
        <w:spacing w:after="0" w:line="268" w:lineRule="auto"/>
        <w:tabs>
          <w:tab w:leader="none" w:pos="127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nine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640" w:right="40" w:firstLine="428"/>
        <w:spacing w:after="0" w:line="268" w:lineRule="auto"/>
        <w:tabs>
          <w:tab w:leader="none" w:pos="1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2018 (see “Proposal 2. Ratification of Independent Registered Public Accounting Firm”); and</w:t>
      </w:r>
    </w:p>
    <w:p>
      <w:pPr>
        <w:spacing w:after="0" w:line="50" w:lineRule="exact"/>
        <w:rPr>
          <w:rFonts w:ascii="Arial" w:cs="Arial" w:eastAsia="Arial" w:hAnsi="Arial"/>
          <w:sz w:val="18"/>
          <w:szCs w:val="18"/>
          <w:color w:val="auto"/>
        </w:rPr>
      </w:pPr>
    </w:p>
    <w:p>
      <w:pPr>
        <w:ind w:left="640" w:right="660" w:firstLine="428"/>
        <w:spacing w:after="0" w:line="268" w:lineRule="auto"/>
        <w:tabs>
          <w:tab w:leader="none" w:pos="13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3. Advisory Vote on Named Executive Officer Compensation”).</w:t>
      </w:r>
    </w:p>
    <w:p>
      <w:pPr>
        <w:spacing w:after="0" w:line="5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As of March 30, 2018, the record date for the Meeting, 78,961,281 shares of our common stock were outstanding. Only holders of record of our common stock as of the close of business on the record date are entitled to notice of, and to vote at, the Meeting or at any adjournment or postponement thereof.</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2018 fiscal year (Proposal 2). In all other instances, brokers and other shareowners of record who serve as nominees for a beneficial owner may not vote on a proposal without having voting instructions from the beneficial owner.</w:t>
      </w:r>
    </w:p>
    <w:p>
      <w:pPr>
        <w:spacing w:after="0" w:line="6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 ELECTION OF DIRECTORS</w:t>
      </w:r>
    </w:p>
    <w:p>
      <w:pPr>
        <w:spacing w:after="0" w:line="9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The Board of Directors has nominated the following nine persons for election as directors who will serve until the next annual meeting of stockholders and until their successors are duly elected and qualified: Peter J. Arduini, Keith Bradley, Ph.D., Stuart M. Essig, Ph.D., Barbara B. Hill, Lloyd W. Howell, Jr., Donald E. Morel, Jr., Ph.D., Raymond G. Murphy, Christian S. Schade and James M. Sullivan, each of whom are currently directors of the Company.</w:t>
      </w:r>
    </w:p>
    <w:p>
      <w:pPr>
        <w:spacing w:after="0" w:line="62"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6"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currently serves on the Board of Directors of Bristol-Myers Squibb Company, where he is a member of the audit committee. He serves on the Board of Directors of ADVAMED, the Advanced Medical Technology Association, the Medical Device Innovation Consortium, and the National Italian American Foundation. He also serves on the Board of Trustees of Susquehanna University. Mr. Arduini received his bachelor’s degree in marketing from Susquehanna University and a master’s in management from Northwestern University’s Kellogg School of Management. Mr. Arduini is 53 years old.</w:t>
      </w:r>
    </w:p>
    <w:p>
      <w:pPr>
        <w:spacing w:after="0" w:line="4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 Highway Insurance plc, an</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was formerly an adviser to RPH Capital, Canada. He currently serves on the Board of Directors of SeaSpine Holdings Corporation, where he is a member of the compensation committee. In addition, he previously served as a director and chair of North Star Capital Management Limited and GRS Financial Solutions Limited. Dr. Bradley is 73 years old.</w:t>
      </w:r>
    </w:p>
    <w:p>
      <w:pPr>
        <w:spacing w:after="0" w:line="3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i w:val="1"/>
          <w:iCs w:val="1"/>
          <w:color w:val="auto"/>
        </w:rPr>
        <w:t xml:space="preserve">STUART M. ESSIG, PH.D., </w:t>
      </w:r>
      <w:r>
        <w:rPr>
          <w:rFonts w:ascii="Arial" w:cs="Arial" w:eastAsia="Arial" w:hAnsi="Arial"/>
          <w:sz w:val="16"/>
          <w:szCs w:val="16"/>
          <w:color w:val="auto"/>
        </w:rPr>
        <w:t>is Integra’s Chairman of the Board of Directors. He has been our Chairman since January 2012 and a director since he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Integra in December 1997. He also served as our Chief Executive Officer from December 1997 until January 2012. In addition, he served as our President from December 1997 until November 2010. He currently serves as Managing Director of Prettybrook Partners LLC.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 Dr. Essig has chaired audit, compensation, and nominating and governance committees and served on the boards of several NASDAQ and NYSE listed companies ranging in size from several hundred million dollars to $20 billion in market capitalization. Dr. Essig currently serves on the Board of Directors of IDEXX Laboratories, Owens &amp; Minor Inc., and SeaSpine Holdings Corporation, and as Chairman of the Board of Directors of Breg, Inc. He previously served on the Board of Directors of St. Jude Medical Corporation prior to its sale to Abbott Laboratories. He is a founding investor member of Tigerlabs, a Princeton-based business accelerator. He is an Executive in Residence at Cardinal Partners and a Venture Partner at Wellington Partners Advisory AG, both venture capital firms, and serves as a Senior Advisor to TowerBrook</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Capital Partners and Water Street Healthcare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and has, from time to time, served on the boards of such organizations. Dr. Essig also serves on the Leadership Council, School of Engineering and Applied Sciences, Princeton University, and as a member of the Compensation Committee Chair Advisory Council of the National Association of Corporate Directors (NACD). Dr. Essig received an A.B. degree, and graduated with magna cum laude honors, from the Woodrow Wilson School of Public and International Affairs at Princeton University and an M.B.A. and Ph.D. in Financial Economics from the University of Chicago, Graduate School of Business. Dr. Essig is 56 years old.</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 NexPhase Capital, a private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equity firm, where she focuses on healthcare related investments and providing strategic operating support for its healthcare portfolio companies. Ms. Hill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has served as an Operating Partner of NexPhase Capital since January 2016. Prior to that, Ms. Hill served as an Operating Partner of Moelis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Partners, a private equity firm, where she focused on healthcare-related investments and providing strategic operating support for its healthcare portfolio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She served as an Operating Partner of Moelis Capital Partners from March 2011 to January 2016. From March 2006 to September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Ms. Hill served as Chief Executive Officer and a director of ValueOptions, Inc., a managed behavioral health company, and FHC Health Systems, Inc.,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parent company. In addition, from 2002 to 2003, Ms. Hill served as President and a director of Express Scripts, Inc., a pharmacy benefits management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In previous positions, Ms. Hill was responsible for operations nationally for Cigna HealthCare, and also served as the CEO of health plans owned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by Prudential, Aetna and the Johns Hopkins Health System. She was active with the boards or committees of the Association of Health Insurance Plans and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health insurance industry groups. Currently, she serves as a board member as well as a member of the compensation committee of Owens &amp; Minor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 a healthcare product distribution company. In addition, Ms. Hill serves as a board member and a member of the compensation committee of Omega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Healthcare Investors, Inc., a Maryland real estate investment trust. Until 2017, Ms. Hill also served as a board member of Revera Inc., a Canadian company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seniors’ facilities throughout Canada, Great Britain, and the United States, and as a board member of St. Jude Medical Corporation, a medical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device company. Ms. Hill received B.A and M.S. degrees from the Johns Hopkins University. She is 65 years old.</w:t>
      </w:r>
    </w:p>
    <w:p>
      <w:pPr>
        <w:spacing w:after="0" w:line="84"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LLOYD W. HOWELL, JR. </w:t>
      </w:r>
      <w:r>
        <w:rPr>
          <w:rFonts w:ascii="Arial" w:cs="Arial" w:eastAsia="Arial" w:hAnsi="Arial"/>
          <w:sz w:val="16"/>
          <w:szCs w:val="16"/>
          <w:color w:val="auto"/>
        </w:rPr>
        <w:t>has been a director of the Company since March 2013. Mr. Howell is an Executive Vice President at Booz Allen Hamilton,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held a variety of leadership positions since originally joining the firm in 1988 as a consultant. He currently serves as the Chief Financial Officer and Treasurer of Booz Allen Hamilton. From April 2009 to April 2013, Mr. Howell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of which he has been a member since 1995. Prior to that, from 1993 to 1995, he worked at Goldman Sachs as an Associate in their Investment Banking Division. Currently, Mr. Howell is a board member of the Partnership for Public Service, Capital Partners for Education, the University of Pennsylvania’s Engineering School, and a member of the Executive Leadership Council. Mr. Howell received a B.S. in Electrical Engineering from the University of Pennsylvania and an M.B.A. from Harvard University. Mr. Howell is 51 years old.</w:t>
      </w:r>
    </w:p>
    <w:p>
      <w:pPr>
        <w:spacing w:after="0" w:line="3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until April 2015, was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until June 2015, was Chairman of the Board of Directors of West Pharmaceutical Services, Inc., a manufacturer of components and systems for the packaging and delivery of injectable drugs as well as delivery system components for the pharmaceutical, healthcare and consumer products industries. Dr. Morel served as the Chief Executive Officer of West Pharmaceutical Services, Inc. from May 2002 to April 2015, Chairman of the Board of Directors of West Pharmaceutical Services, Inc. from March 2003 to June 2015 and a director of West Pharmaceutical Services, Inc. from March 2002 to June 2015. In addition, he served as President of West Pharmaceutical Services, Inc. from April 2002 to June 2005. Dr. Morel</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served on the Board of Directors of Kensey Nash Corporation, a medical device product development and manufacturing company, from March 2010 to June 2012, where he was a member of the audit and compensation committees. He also serves on the Board of Directors of Catalent, Inc. He serves as Chairman of the Board of Directors of the American Oncologic Hospital of the Fox Chase Cancer Center and as Chairman of the Board of Trustees of The Franklin Institute and a Trustee of Lafayette College. Dr. Morel received a B.S. in Engineering from Lafayette College and an M.S. and Ph.D. in Materials Science from Cornell University. Dr. Morel is 60 years old.</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70 years old.</w:t>
      </w:r>
    </w:p>
    <w:p>
      <w:pPr>
        <w:spacing w:after="0" w:line="42"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currently serves as the President and Chief Executive Officer of Aprea</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AB, a privately held, clinical-stage biopharmaceutical company developing novel anticancer therapies targeting the tumor suppressor protein p53, positions he has held since April 2016. Prior to that, Mr. Schade was the Chief Executive Officer of Novira Therapeutics, Inc., an antiviral drug discovery company focused on first-in-class therapeutics for chronic HBV infection from March 2014 to December 2015 until it was acquired by Johnson &amp; Johnson. Before joining Novira Therapeutics, Inc.,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on the Board of Directors of Indivior, a UK listed spinoff of the pharmaceutical division of the consumer products conglomerate, Reckitt Benckiser. Mr. Schade received an A.B. degree from Princeton University, and received an M.B.A. from the Wharton School at the University of Pennsylvania. Mr. Schade is 57 years old.</w:t>
      </w:r>
    </w:p>
    <w:p>
      <w:pPr>
        <w:spacing w:after="0" w:line="52"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i w:val="1"/>
          <w:iCs w:val="1"/>
          <w:color w:val="auto"/>
        </w:rPr>
        <w:t xml:space="preserve">JAMES M. SULLIVAN </w:t>
      </w:r>
      <w:r>
        <w:rPr>
          <w:rFonts w:ascii="Arial" w:cs="Arial" w:eastAsia="Arial" w:hAnsi="Arial"/>
          <w:sz w:val="16"/>
          <w:szCs w:val="16"/>
          <w:color w:val="auto"/>
        </w:rPr>
        <w:t>has been a director of the Company since 1992. He is a Co-Founder of, and currently the Principal Advisor to, the Clover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Group. Between 1980 and 1982, he was Vice President of Finance for the Marriott Restaurant Operations and Marriott Theme Parks. From 1982 to 1986, Mr. Sullivan was Chairman, President and Chief Executive Officer of Tenly Enterprises, Inc., a privately held company operating 105 restaurants. Between 1986 and April 2009, he held several positions with Marriott International, Inc. (and its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predecessor, Marriott Corp.), including Vice President of Mergers and Acquisitions and Executive Vice President of Lodging Development. Prior to 1980, he held senior management positions with Harrah’s Entertainment, Inc., Holiday Inns, Inc., Kentucky Fried Chicken Corp. and Heublein, Inc. He also was employed as a senior auditor with Arthur Andersen &amp; Co. and served on the Board of Directors of Classic Vacation Group, Inc. until its acquisition by Expedia, Inc. in March 2002. Mr. Sullivan currently serves as a member of the Board of Directors of SeaSpine Holdings Corporation, where he serves as a member of the audit committee and nominating and corporate governance committee. Mr. Sullivan received a B.S. degree in Accounting from Boston College and an M.B.A. degree from the University of Connecticut. Mr. Sullivan is 74 years old.</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then will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1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INFORMATION CONCERNING MEETINGS, EXECUTIVE SESSIONS AND CERTAIN COMMITTEES</w:t>
      </w:r>
    </w:p>
    <w:p>
      <w:pPr>
        <w:spacing w:after="0" w:line="96"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The Board of Directors held five regularly scheduled and six special meetings during 2017.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w:t>
      </w:r>
    </w:p>
    <w:p>
      <w:pPr>
        <w:spacing w:after="0" w:line="26"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Dr. Richard E. Caruso served as a director of the Company for a portion of 2017 but did not stand for reelection. The Board of Directors also had determined that he was an independent director as defined by the applicable NASDAQ Stock Market listing standards and the rules of the Securities and Exchange Commission.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w:t>
      </w:r>
    </w:p>
    <w:p>
      <w:pPr>
        <w:spacing w:after="0" w:line="3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2017, each incumbent director attended in person or by teleconference at least 75% of the total number of meetings of the Board of Directors and of each committee of the Board of Directors on which he or she served. The following chart and narrative set forth the composition of our committees of the Board of Directors, the chairs of each committee, the directors who served on them following the 2017 annual meeting, and the number of committee meetings held in 2017:</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006590" cy="2058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6590" cy="2058035"/>
                    </a:xfrm>
                    <a:prstGeom prst="rect">
                      <a:avLst/>
                    </a:prstGeom>
                    <a:noFill/>
                  </pic:spPr>
                </pic:pic>
              </a:graphicData>
            </a:graphic>
          </wp:anchor>
        </w:drawing>
      </w:r>
    </w:p>
    <w:p>
      <w:pPr>
        <w:spacing w:after="0" w:line="73"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98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Nominating and Corporate</w:t>
            </w:r>
          </w:p>
        </w:tc>
        <w:tc>
          <w:tcPr>
            <w:tcW w:w="1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4"/>
        </w:trPr>
        <w:tc>
          <w:tcPr>
            <w:tcW w:w="1000" w:type="dxa"/>
            <w:vAlign w:val="bottom"/>
          </w:tcPr>
          <w:p>
            <w:pPr>
              <w:spacing w:after="0"/>
              <w:rPr>
                <w:sz w:val="20"/>
                <w:szCs w:val="20"/>
                <w:color w:val="auto"/>
              </w:rPr>
            </w:pPr>
            <w:r>
              <w:rPr>
                <w:rFonts w:ascii="Arial" w:cs="Arial" w:eastAsia="Arial" w:hAnsi="Arial"/>
                <w:sz w:val="14"/>
                <w:szCs w:val="14"/>
                <w:b w:val="1"/>
                <w:bCs w:val="1"/>
                <w:color w:val="auto"/>
              </w:rPr>
              <w:t>Audit</w:t>
            </w:r>
          </w:p>
        </w:tc>
        <w:tc>
          <w:tcPr>
            <w:tcW w:w="298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Governance</w:t>
            </w:r>
          </w:p>
        </w:tc>
        <w:tc>
          <w:tcPr>
            <w:tcW w:w="1860" w:type="dxa"/>
            <w:vAlign w:val="bottom"/>
          </w:tcPr>
          <w:p>
            <w:pPr>
              <w:ind w:left="740"/>
              <w:spacing w:after="0"/>
              <w:rPr>
                <w:sz w:val="20"/>
                <w:szCs w:val="20"/>
                <w:color w:val="auto"/>
              </w:rPr>
            </w:pPr>
            <w:r>
              <w:rPr>
                <w:rFonts w:ascii="Arial" w:cs="Arial" w:eastAsia="Arial" w:hAnsi="Arial"/>
                <w:sz w:val="14"/>
                <w:szCs w:val="14"/>
                <w:b w:val="1"/>
                <w:bCs w:val="1"/>
                <w:color w:val="auto"/>
              </w:rPr>
              <w:t>Compensation</w:t>
            </w: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w w:val="83"/>
              </w:rPr>
              <w:t>Finance</w:t>
            </w:r>
          </w:p>
        </w:tc>
      </w:tr>
    </w:tbl>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Stuart M. Essig, Ph.D. </w:t>
      </w:r>
      <w:r>
        <w:rPr>
          <w:sz w:val="1"/>
          <w:szCs w:val="1"/>
          <w:color w:val="auto"/>
        </w:rPr>
        <w:drawing>
          <wp:inline distT="0" distB="0" distL="0" distR="0">
            <wp:extent cx="68580" cy="1028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drawing>
          <wp:inline distT="0" distB="0" distL="0" distR="0">
            <wp:extent cx="94615"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Peter J. Arduini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Keith Bradley, Ph.D. </w:t>
      </w:r>
      <w:r>
        <w:rPr>
          <w:sz w:val="1"/>
          <w:szCs w:val="1"/>
          <w:color w:val="auto"/>
        </w:rPr>
        <w:drawing>
          <wp:inline distT="0" distB="0" distL="0" distR="0">
            <wp:extent cx="68580" cy="1028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Barbara B. Hill </w:t>
      </w:r>
      <w:r>
        <w:rPr>
          <w:sz w:val="1"/>
          <w:szCs w:val="1"/>
          <w:color w:val="auto"/>
        </w:rPr>
        <w:drawing>
          <wp:inline distT="0" distB="0" distL="0" distR="0">
            <wp:extent cx="68580"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Lloyd W. Howell, Jr. </w:t>
      </w:r>
      <w:r>
        <w:rPr>
          <w:sz w:val="1"/>
          <w:szCs w:val="1"/>
          <w:color w:val="auto"/>
        </w:rPr>
        <w:drawing>
          <wp:inline distT="0" distB="0" distL="0" distR="0">
            <wp:extent cx="68580" cy="102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Donald E. Morel, Jr., Ph.D. </w:t>
      </w:r>
      <w:r>
        <w:rPr>
          <w:sz w:val="1"/>
          <w:szCs w:val="1"/>
          <w:color w:val="auto"/>
        </w:rPr>
        <w:drawing>
          <wp:inline distT="0" distB="0" distL="0" distR="0">
            <wp:extent cx="68580" cy="1028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Raymond G. Murphy </w:t>
      </w:r>
      <w:r>
        <w:rPr>
          <w:sz w:val="1"/>
          <w:szCs w:val="1"/>
          <w:color w:val="auto"/>
        </w:rPr>
        <w:drawing>
          <wp:inline distT="0" distB="0" distL="0" distR="0">
            <wp:extent cx="68580"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Christian S. Schade </w:t>
      </w:r>
      <w:r>
        <w:rPr>
          <w:sz w:val="1"/>
          <w:szCs w:val="1"/>
          <w:color w:val="auto"/>
        </w:rPr>
        <w:drawing>
          <wp:inline distT="0" distB="0" distL="0" distR="0">
            <wp:extent cx="68580"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James M. Sullivan </w:t>
      </w:r>
      <w:r>
        <w:rPr>
          <w:sz w:val="1"/>
          <w:szCs w:val="1"/>
          <w:color w:val="auto"/>
        </w:rPr>
        <w:drawing>
          <wp:inline distT="0" distB="0" distL="0" distR="0">
            <wp:extent cx="68580"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18" w:lineRule="exact"/>
        <w:rPr>
          <w:sz w:val="20"/>
          <w:szCs w:val="20"/>
          <w:color w:val="auto"/>
        </w:rPr>
      </w:pPr>
    </w:p>
    <w:p>
      <w:pPr>
        <w:jc w:val="center"/>
        <w:ind w:right="-219"/>
        <w:spacing w:after="0"/>
        <w:rPr>
          <w:sz w:val="20"/>
          <w:szCs w:val="20"/>
          <w:color w:val="auto"/>
        </w:rPr>
      </w:pPr>
      <w:r>
        <w:rPr>
          <w:sz w:val="1"/>
          <w:szCs w:val="1"/>
          <w:color w:val="auto"/>
        </w:rPr>
        <w:drawing>
          <wp:inline distT="0" distB="0" distL="0" distR="0">
            <wp:extent cx="94615" cy="857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 Chairman of the Board </w:t>
      </w:r>
      <w:r>
        <w:rPr>
          <w:sz w:val="1"/>
          <w:szCs w:val="1"/>
          <w:color w:val="auto"/>
        </w:rPr>
        <w:drawing>
          <wp:inline distT="0" distB="0" distL="0" distR="0">
            <wp:extent cx="85725"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Chair </w:t>
      </w:r>
      <w:r>
        <w:rPr>
          <w:sz w:val="1"/>
          <w:szCs w:val="1"/>
          <w:color w:val="auto"/>
        </w:rPr>
        <w:drawing>
          <wp:inline distT="0" distB="0" distL="0" distR="0">
            <wp:extent cx="85725"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Member </w:t>
      </w:r>
      <w:r>
        <w:rPr>
          <w:sz w:val="1"/>
          <w:szCs w:val="1"/>
          <w:color w:val="auto"/>
        </w:rPr>
        <w:drawing>
          <wp:inline distT="0" distB="0" distL="0" distR="0">
            <wp:extent cx="68580"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02870"/>
                    </a:xfrm>
                    <a:prstGeom prst="rect">
                      <a:avLst/>
                    </a:prstGeom>
                    <a:noFill/>
                    <a:ln>
                      <a:noFill/>
                    </a:ln>
                  </pic:spPr>
                </pic:pic>
              </a:graphicData>
            </a:graphic>
          </wp:inline>
        </w:drawing>
      </w:r>
      <w:r>
        <w:rPr>
          <w:rFonts w:ascii="Arial" w:cs="Arial" w:eastAsia="Arial" w:hAnsi="Arial"/>
          <w:sz w:val="14"/>
          <w:szCs w:val="14"/>
          <w:color w:val="auto"/>
        </w:rPr>
        <w:t xml:space="preserve"> = Independent Under NASDAQ Listing Standards #=Presiding Director</w:t>
      </w:r>
    </w:p>
    <w:p>
      <w:pPr>
        <w:spacing w:after="0" w:line="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Schade and Mr. Sullivan. The Committee met seven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also has determined that Mr. Murphy, Mr. Schade and Mr. Sullivan are “audit committee financial experts,” as defined under Item 407(d) of Regulation S-K, and that each of them is “financially sophisticated” in accordance with NASDAQ Stock Market listing standards.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members of the Nominating and Corporate Governance Committee are Mr. Sullivan (chair),</w:t>
      </w:r>
      <w:r>
        <w:rPr>
          <w:rFonts w:ascii="Arial" w:cs="Arial" w:eastAsia="Arial" w:hAnsi="Arial"/>
          <w:sz w:val="16"/>
          <w:szCs w:val="16"/>
          <w:i w:val="1"/>
          <w:iCs w:val="1"/>
          <w:color w:val="auto"/>
        </w:rPr>
        <w:t xml:space="preserve"> </w:t>
      </w:r>
      <w:r>
        <w:rPr>
          <w:rFonts w:ascii="Arial" w:cs="Arial" w:eastAsia="Arial" w:hAnsi="Arial"/>
          <w:sz w:val="16"/>
          <w:szCs w:val="16"/>
          <w:color w:val="auto"/>
        </w:rPr>
        <w:t>Dr. Bradley and Ms. Hill. The Committee met five times in 2017.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3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That said,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4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7"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37"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Bradley (chair), Ms. Hill and Dr. Morel. The Committee met six</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2017.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62"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63" w:lineRule="exact"/>
        <w:rPr>
          <w:sz w:val="20"/>
          <w:szCs w:val="20"/>
          <w:color w:val="auto"/>
        </w:rPr>
      </w:pPr>
    </w:p>
    <w:p>
      <w:pPr>
        <w:ind w:left="200" w:right="20" w:firstLine="441"/>
        <w:spacing w:after="0" w:line="318" w:lineRule="auto"/>
        <w:rPr>
          <w:sz w:val="20"/>
          <w:szCs w:val="20"/>
          <w:color w:val="auto"/>
        </w:rPr>
      </w:pPr>
      <w:r>
        <w:rPr>
          <w:rFonts w:ascii="Arial" w:cs="Arial" w:eastAsia="Arial" w:hAnsi="Arial"/>
          <w:sz w:val="15"/>
          <w:szCs w:val="15"/>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or employees whose grants would result in their receiving more than 7,500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450,000 shares of awards during the one-year period beginning May 22, 2017.</w:t>
      </w:r>
    </w:p>
    <w:p>
      <w:pPr>
        <w:spacing w:after="0" w:line="19"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32"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26"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2018, the Compensation Committee of the Board of Directors engaged Willis Towers Watson to provide consulting services on (i) the Compensation Discussion and Analysis and Say on Pay Proposal, (ii) shareholder advisory matters, (iii) compensation arrangements for the Chief Executive Officer, Chief Financial Officer and other executive officers for their performance for 2017calendar year, and (iv) disclosures regarding the CEO pay ratio. During 2017, the Compensation Committee of the Board of Directors engaged Willis Towers Watson to provide consulting services on (i) the Compensation Discussion and Analysis, the Say on Pay Proposal, and the Say on Pay frequency Proposal, (ii) shareholder advisory matters, (iii) 2018 Performance Incentive Compensation Plan and the Fourth Amended &amp; Restated 2003 Equity Incentive Plan, (iv) compensation arrangements for the Chief Executive Officer, Chief Financial Officer and other executive officers for their performance for 2016 calendar year, and (v) Mr. Arduini’s amended and restated employment agreement.</w:t>
      </w:r>
    </w:p>
    <w:p>
      <w:pPr>
        <w:spacing w:after="0" w:line="37" w:lineRule="exact"/>
        <w:rPr>
          <w:sz w:val="20"/>
          <w:szCs w:val="20"/>
          <w:color w:val="auto"/>
        </w:rPr>
      </w:pPr>
    </w:p>
    <w:p>
      <w:pPr>
        <w:jc w:val="both"/>
        <w:ind w:left="200" w:right="180" w:firstLine="441"/>
        <w:spacing w:after="0" w:line="256" w:lineRule="auto"/>
        <w:rPr>
          <w:sz w:val="20"/>
          <w:szCs w:val="20"/>
          <w:color w:val="auto"/>
        </w:rPr>
      </w:pPr>
      <w:r>
        <w:rPr>
          <w:rFonts w:ascii="Arial" w:cs="Arial" w:eastAsia="Arial" w:hAnsi="Arial"/>
          <w:sz w:val="18"/>
          <w:szCs w:val="18"/>
          <w:i w:val="1"/>
          <w:iCs w:val="1"/>
          <w:color w:val="auto"/>
        </w:rPr>
        <w:t xml:space="preserve">Finance Committee. </w:t>
      </w:r>
      <w:r>
        <w:rPr>
          <w:rFonts w:ascii="Arial" w:cs="Arial" w:eastAsia="Arial" w:hAnsi="Arial"/>
          <w:sz w:val="18"/>
          <w:szCs w:val="18"/>
          <w:color w:val="auto"/>
        </w:rPr>
        <w:t>The members of the Finance Committee are Mr. Schade (chair), Mr. Howell and Mr. Murphy. The Committee met one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jc w:val="both"/>
        <w:ind w:left="200" w:right="40" w:firstLine="441"/>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3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experience with public companies when evaluating candidates to serve on the Board of Directors.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3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Mr. Arduini has served as our President and Chief Executive Officer and as a director since January 2012. He joined the Company in November 2010 as President and Chief Operating Officer. He has experience as a director of Bristol Myers Squibb, a company listed on the NASDAQ, where he is a member of the audit committee.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and experience with sales, marketing, operations, international and human resources matters and overall business acumen.</w:t>
      </w:r>
    </w:p>
    <w:p>
      <w:pPr>
        <w:spacing w:after="0" w:line="3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Dr. Bradley has been a director of the Company since 1992. He has experience as a director of SeaSpine Holdings Corporation, a medical device company listed on the NASDAQ and Highway Insurance plc, a company listed on the London Stock Exchange, and as a consultant to a number of business, government and international organizations and significant international academic experience and outside board and chair experience. Dr. Bradley’s experience and knowledge of the Company, his experience in international business, accounting and executive compensation matters, consulting and teaching background in management and management strategy, as well as outside board experience, enable him to make significant contributions to the Board.</w:t>
      </w:r>
    </w:p>
    <w:p>
      <w:pPr>
        <w:spacing w:after="0" w:line="6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Dr. Essig, as indicated below under “Board Leadership Structure,”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director of IDEXX Laboratories, Owens &amp; Minor Inc., and SeaSpine Holdings Corporation, and as Chairman of the Board of Directors of Breg, Inc. He previously served as a director of St. Jude Medical, prior to its acquisition by Abbott Laboratories, Zimmer Holdings, Inc., a NYSE-listed medical device company, and ADVAMED, a trade association that represents the medical device industry. Dr. Essig’s significant experience in serving as an investment banker and member of the board of directors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member of, and Chairman of, the Board.</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Ms. Hill is an Operating Partner of NexPhase Capital, a private equity firm. She previously served as an Operating Partner of Moelis Capital Partners, a private equity firm. In addition, she previously served as Chief Executive Officer and a director of ValueOptions, Inc., and as President and a director of Express Scripts. She also serves as a director of Owens &amp; Minor Inc. and Omega Healthcare Investors, Inc., a NYSE-listed real estate investment trust. Her experience in the healthcare and medical device industry, in leadership and management roles and her outside board experience enables her to provide valuable contributions to the Board.</w:t>
      </w:r>
    </w:p>
    <w:p>
      <w:pPr>
        <w:spacing w:after="0" w:line="6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Mr. Howell is an Executive Vice President as well as the Chief Financial Officer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business expertise. His management and leadership experience, along with his knowledge of information systems and cyber-related matters, enable him to provide valuable contributions to the Board.</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Dr. Morel was the Chief Executive Officer of West Pharmaceutical Services, Inc., a manufacturer of components and systems for the packaging and delivery of injectable drugs as well as delivery system components for the pharmaceutical, healthcare and consumer products industries between May 2002 and April 2015. He has significant biomedical and pharmaceutical experience with over 20 years of experience developing and managing programs involving advanced materials for aerospace, biomedical and pharmaceutical applications. In addition, having served in a variety of roles at West Pharmaceutical Services, Inc., with increasing responsibilities, including Chief Operating Officer, head of the drug delivery division and Vice President of Research and Development, Dr. Morel has considerable experience identifying and implementing strategic priorities. Dr. Morel’s experience as the Chief Executive Officer of a publicly held life sciences company and as a director of public companies as well as his leadership and management experience make him well qualified to serve on the Board.</w:t>
      </w:r>
    </w:p>
    <w:p>
      <w:pPr>
        <w:spacing w:after="0" w:line="37"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62"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Mr. Schade currently serves as the President and Chief Executive Officer of Aprea AB, a privately held, clinical-stage biopharmaceutical company developing novel anticancer therapies targeting the tumor suppressor protein p53, positions he has held since June 2016. Prior to that he was the Chief Executive Officer of Novira Therapeutics, Inc., an antiviral drug discovery company, from March 2014 to December 2015 until it was acquired by Johnson &amp; Johnson. In addition, he served as Executive Vice President and Chief Financial Officer of Omthera Pharmaceuticals, Inc., a former public company that is an emerging specialty pharmaceuticals company from September 2011 to July 2013.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4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He has experience as a director of SeaSpine Holdings Corporation, a medical device company listed on the NASDAQ.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The Company currently has nine members of the Board of Directors, who will serve until the next annual meeting of stockholders and until their successors are duly elected and qualified. The current directors are Peter J. Arduini, Keith Bradley, Ph.D., Stuart M. Essig, Ph.D., Barbara B. Hill, Lloyd W. Howell, Jr., Donald E. Morel, Jr., Ph.D., Raymond G. Murphy, Christian S. Schade and James M. Sullivan. All current members of the Board are nominees for election to the Board at the 2018 annual meeting of stockholders.</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the Chairman position separate from the CEO as putting the Company in the best position to oversee all executives of the Company and set a pro-stockholder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ind w:left="200" w:right="280" w:firstLine="441"/>
        <w:spacing w:after="0" w:line="294" w:lineRule="auto"/>
        <w:rPr>
          <w:sz w:val="20"/>
          <w:szCs w:val="20"/>
          <w:color w:val="auto"/>
        </w:rPr>
      </w:pPr>
      <w:r>
        <w:rPr>
          <w:rFonts w:ascii="Arial" w:cs="Arial" w:eastAsia="Arial" w:hAnsi="Arial"/>
          <w:sz w:val="16"/>
          <w:szCs w:val="16"/>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that we benefit greatly by having a Chairman with his level of experience and knowledge of the Company and whose interests are strongly aligned with those of our stockholders.</w:t>
      </w:r>
    </w:p>
    <w:p>
      <w:pPr>
        <w:spacing w:after="0" w:line="3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Board of Directors appointed Mr. Sullivan Presiding Director, effective as of May 17, 2012, and he has been a director since 1992. Mr. Sullivan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39" w:lineRule="exact"/>
        <w:rPr>
          <w:sz w:val="20"/>
          <w:szCs w:val="20"/>
          <w:color w:val="auto"/>
        </w:rPr>
      </w:pPr>
    </w:p>
    <w:p>
      <w:pPr>
        <w:ind w:left="200" w:right="380" w:firstLine="441"/>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62" w:lineRule="exact"/>
        <w:rPr>
          <w:sz w:val="20"/>
          <w:szCs w:val="20"/>
          <w:color w:val="auto"/>
        </w:rPr>
      </w:pPr>
    </w:p>
    <w:p>
      <w:pPr>
        <w:ind w:left="200" w:right="640" w:firstLine="441"/>
        <w:spacing w:after="0" w:line="268" w:lineRule="auto"/>
        <w:rPr>
          <w:sz w:val="20"/>
          <w:szCs w:val="20"/>
          <w:color w:val="auto"/>
        </w:rPr>
      </w:pPr>
      <w:r>
        <w:rPr>
          <w:rFonts w:ascii="Arial" w:cs="Arial" w:eastAsia="Arial" w:hAnsi="Arial"/>
          <w:sz w:val="18"/>
          <w:szCs w:val="18"/>
          <w:color w:val="auto"/>
        </w:rPr>
        <w:t>In addition, we believe that the size of the Board and Board Committees is appropriate, given the size, nature, structure and complexity of the Company.</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left="200" w:right="620" w:firstLine="441"/>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9" w:lineRule="exact"/>
        <w:rPr>
          <w:sz w:val="20"/>
          <w:szCs w:val="20"/>
          <w:color w:val="auto"/>
        </w:rPr>
      </w:pPr>
    </w:p>
    <w:p>
      <w:pPr>
        <w:ind w:left="200" w:right="800" w:firstLine="441"/>
        <w:spacing w:after="0" w:line="268" w:lineRule="auto"/>
        <w:rPr>
          <w:sz w:val="20"/>
          <w:szCs w:val="20"/>
          <w:color w:val="auto"/>
        </w:rPr>
      </w:pPr>
      <w:r>
        <w:rPr>
          <w:rFonts w:ascii="Arial" w:cs="Arial" w:eastAsia="Arial" w:hAnsi="Arial"/>
          <w:sz w:val="18"/>
          <w:szCs w:val="18"/>
          <w:color w:val="auto"/>
        </w:rPr>
        <w:t>The Audit Committee oversees the accounting and financial reporting processes of the Company and the audits of our financial statements. Management meets regularly with the Audit Committee to discuss and review</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the financial risk management processes. These discussions address compliance with Sarbanes-Oxley (including discussions regarding internal controls and procedures), disclosure controls and procedures and accounting and reporting compliance, as well as tax, treasury and compliance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3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Compensation Committee oversees risk relating to executive compensation and other incentive programs in the Company. The Compensation Committee considers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2018 incentive compensation programs (which cover the executive officers and certain other employees globally) and presented a report to the Board on this subject at its meeting in February of 2018. The Compensation Committee reviewed this report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37" w:lineRule="exact"/>
        <w:rPr>
          <w:sz w:val="20"/>
          <w:szCs w:val="20"/>
          <w:color w:val="auto"/>
        </w:rPr>
      </w:pPr>
    </w:p>
    <w:p>
      <w:pPr>
        <w:ind w:left="200" w:right="520" w:firstLine="441"/>
        <w:spacing w:after="0" w:line="332" w:lineRule="auto"/>
        <w:rPr>
          <w:sz w:val="20"/>
          <w:szCs w:val="20"/>
          <w:color w:val="auto"/>
        </w:rPr>
      </w:pPr>
      <w:r>
        <w:rPr>
          <w:rFonts w:ascii="Arial" w:cs="Arial" w:eastAsia="Arial" w:hAnsi="Arial"/>
          <w:sz w:val="16"/>
          <w:szCs w:val="16"/>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Finance Committee has oversight on matters related to financing strategy, as well as the Company’s capital structure, capital allocation initiatives and other financial matters.</w:t>
      </w:r>
    </w:p>
    <w:p>
      <w:pPr>
        <w:spacing w:after="0" w:line="5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9"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3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Finance Department and the internal audit team meet with our senior leadership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Company recently conducted a risk assessment of our compensation policies and programs, including our executive compensation programs. We reviewed and discussed the findings of the assessment with the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35" w:lineRule="exact"/>
        <w:rPr>
          <w:sz w:val="20"/>
          <w:szCs w:val="20"/>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between annual and long-term performance opportunities;</w:t>
      </w:r>
    </w:p>
    <w:p>
      <w:pPr>
        <w:spacing w:after="0" w:line="90" w:lineRule="exact"/>
        <w:rPr>
          <w:rFonts w:ascii="Arial" w:cs="Arial" w:eastAsia="Arial" w:hAnsi="Arial"/>
          <w:sz w:val="18"/>
          <w:szCs w:val="18"/>
          <w:color w:val="auto"/>
        </w:rPr>
      </w:pPr>
    </w:p>
    <w:p>
      <w:pPr>
        <w:ind w:left="860" w:right="500" w:hanging="224"/>
        <w:spacing w:after="0" w:line="268"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860" w:right="280" w:hanging="224"/>
        <w:spacing w:after="0" w:line="332"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long-term sustainability of our business;</w:t>
      </w:r>
    </w:p>
    <w:p>
      <w:pPr>
        <w:spacing w:after="0" w:line="4" w:lineRule="exact"/>
        <w:rPr>
          <w:rFonts w:ascii="Arial" w:cs="Arial" w:eastAsia="Arial" w:hAnsi="Arial"/>
          <w:sz w:val="16"/>
          <w:szCs w:val="16"/>
          <w:color w:val="auto"/>
        </w:rPr>
      </w:pPr>
    </w:p>
    <w:p>
      <w:pPr>
        <w:ind w:left="860" w:right="80" w:hanging="224"/>
        <w:spacing w:after="0" w:line="25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long-term consequences; and</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90" w:lineRule="exact"/>
        <w:rPr>
          <w:sz w:val="20"/>
          <w:szCs w:val="20"/>
          <w:color w:val="auto"/>
        </w:rPr>
      </w:pPr>
    </w:p>
    <w:p>
      <w:pPr>
        <w:ind w:left="200" w:right="40" w:firstLine="441"/>
        <w:spacing w:after="0" w:line="370" w:lineRule="auto"/>
        <w:rPr>
          <w:sz w:val="20"/>
          <w:szCs w:val="20"/>
          <w:color w:val="auto"/>
        </w:rPr>
      </w:pPr>
      <w:r>
        <w:rPr>
          <w:rFonts w:ascii="Arial" w:cs="Arial" w:eastAsia="Arial" w:hAnsi="Arial"/>
          <w:sz w:val="15"/>
          <w:szCs w:val="15"/>
          <w:color w:val="auto"/>
        </w:rPr>
        <w:t>Our Compensation Committee considered the implications of our compensation practices during its deliberations on the design of our 2018 executive compensation programs, with the goal of appropriately balancing short-term incentives and long-term performance, in order to appropriately address risk.</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All of our incumbent nominee directors and Dr. Caruso attended the 2017 Annual Meeting of Stockholders.</w:t>
      </w:r>
    </w:p>
    <w:p>
      <w:pPr>
        <w:spacing w:after="0" w:line="51"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5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53</w:t>
            </w:r>
          </w:p>
        </w:tc>
        <w:tc>
          <w:tcPr>
            <w:tcW w:w="72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Kenneth Burhop, Ph.D.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Chief Scientific Officer</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President — Orthopedics and Tissue Technologies</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Evoli</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Chief Human Resources Officer</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General Counsel, Administration and Secretary</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Global Operations and Supply Chain</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Jeffrey Mosebrook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Vice President, Principal Accounting Officer, Corporate Controller</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E. O’Grady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Global Regulatory Affairs</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Corporate Vice President, President — Codman Specialty Surgical</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Vinhais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Corporate Vice President, Global Quality Assurance</w:t>
            </w:r>
          </w:p>
        </w:tc>
      </w:tr>
    </w:tbl>
    <w:p>
      <w:pPr>
        <w:spacing w:after="0" w:line="73"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of Bristol-Myers Squibb Company, where he is a member of the audit committee. He serves on the Board of Directors of ADVAMED, the Advanced Medical Technology Association, the Medical Device Innovation Consortium and the National Italian American Foundation. Mr. Arduini received his bachelor’s degree in marketing from Susquehanna University and a master’s in management from Northwestern University’s Kellogg School of Management.</w:t>
      </w:r>
    </w:p>
    <w:p>
      <w:pPr>
        <w:spacing w:after="0" w:line="255"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i w:val="1"/>
          <w:iCs w:val="1"/>
          <w:color w:val="auto"/>
        </w:rPr>
        <w:t xml:space="preserve">KENNETH BURHOP, PH.D. </w:t>
      </w:r>
      <w:r>
        <w:rPr>
          <w:rFonts w:ascii="Arial" w:cs="Arial" w:eastAsia="Arial" w:hAnsi="Arial"/>
          <w:sz w:val="16"/>
          <w:szCs w:val="16"/>
          <w:color w:val="auto"/>
        </w:rPr>
        <w:t>is Integra’s Corporate Vice President, Chief Scientific Officer. Dr. Burhop is responsible for setting Integra’s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 vision and roadmap, as well as leading the Company’s portfolio prioritization and management and the scientific evaluation of corporate development and new product 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 Ph.D. and M.S. in Veterinary Science from the University of Wisconsin-Madison, and his B.A. in Zoology from the University of Wisconsin-Milwaukee.</w:t>
      </w:r>
    </w:p>
    <w:p>
      <w:pPr>
        <w:spacing w:after="0" w:line="37" w:lineRule="exact"/>
        <w:rPr>
          <w:sz w:val="20"/>
          <w:szCs w:val="20"/>
          <w:color w:val="auto"/>
        </w:rPr>
      </w:pPr>
    </w:p>
    <w:p>
      <w:pPr>
        <w:ind w:left="200" w:right="680" w:firstLine="441"/>
        <w:spacing w:after="0" w:line="286"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Corporate Vice President, Chief Financial Officer. Mr. Coleman is responsible for the Company’s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including accounting and financial reporting, budgeting, internal audit, tax, treasury, investor relations, and information technology.</w:t>
      </w:r>
    </w:p>
    <w:p>
      <w:pPr>
        <w:ind w:left="200" w:right="20"/>
        <w:spacing w:after="0" w:line="254" w:lineRule="auto"/>
        <w:rPr>
          <w:sz w:val="20"/>
          <w:szCs w:val="20"/>
          <w:color w:val="auto"/>
        </w:rPr>
      </w:pPr>
      <w:r>
        <w:rPr>
          <w:rFonts w:ascii="Arial" w:cs="Arial" w:eastAsia="Arial" w:hAnsi="Arial"/>
          <w:sz w:val="18"/>
          <w:szCs w:val="18"/>
          <w:color w:val="auto"/>
        </w:rPr>
        <w:t>Mr. Coleman is also responsible for overseeing the commercial operations of the international business. He joined Integra in May 2014 as Corporate Vice President, Chief Financial Officer, and has 25 years of experience in financial management positions with leading global businesses. Prior to joining the Company, from 2008 to May 2014, Mr. Coleman served as Vice President Finance, Corporate Controller at Curtiss-Wright Corporation, a $2.5 billion global company</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headquartered in Charlotte, North Carolina that delivers highly-engineered, critical function products and services to the commercial, industrial, defense and energy markets. Prior to joining Curtiss-Wright in 2008, Mr. Coleman worked at Alcatel-Lucent from 1997 to 2007, in various finance executive leadership positions, including Vice President for the Wireless and Wireline Business Groups, Controller for the Americas region, Vice President of Internal Audit and Finance Director of External and Internal Reporting. Mr. Coleman also was instrumental in several significant corporate strategic projects at Alcatel-Lucent, including a multi-billion-dollar restructuring program, spin-off of an $8 billion publicly traded entity, and numerous acquisitions. Prior to that, Mr. Coleman began his career at PricewaterhouseCoopers LLP where he spent 8 years. Mr. Coleman received his B.S. degree from Montclair State University and has also been a CPA in New Jersey for more than 25 years.</w:t>
      </w:r>
    </w:p>
    <w:p>
      <w:pPr>
        <w:spacing w:after="0" w:line="3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Orthopedics and Tissue Technologies. Mr. Davis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Orthopedics and Tissue Technologies global division, which includes orthopedic extremity implants, and regenerative tissue products. His responsibilities include leadership of sales, commercial operations, marketing and strategy, product development, regulatory affairs, quality assurance, manufacturing services and repair, and business development of the orthopedic extremity implants and regenerative tissue portfolio.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42"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Corporate Vice President, Chief Human Resources Officer. Ms. Evoli is responsible for providing leadership in developing</w:t>
      </w:r>
      <w:r>
        <w:rPr>
          <w:rFonts w:ascii="Arial" w:cs="Arial" w:eastAsia="Arial" w:hAnsi="Arial"/>
          <w:sz w:val="16"/>
          <w:szCs w:val="16"/>
          <w:i w:val="1"/>
          <w:iCs w:val="1"/>
          <w:color w:val="auto"/>
        </w:rPr>
        <w:t xml:space="preserve"> </w:t>
      </w:r>
      <w:r>
        <w:rPr>
          <w:rFonts w:ascii="Arial" w:cs="Arial" w:eastAsia="Arial" w:hAnsi="Arial"/>
          <w:sz w:val="16"/>
          <w:szCs w:val="16"/>
          <w:color w:val="auto"/>
        </w:rPr>
        <w:t>and executing human resources strategy in support of the overall business plan and strategic direction of the organization. She joined Integra as Corporate Vice President, Chief Human Resources Officer in January 2016. Ms. Evoli brings significant global Human Resources leadership experience. Prior to joining Integra, she served as Vice President, Human Resources for the Data &amp; Devices division of TE Connectivity (formerly Tyco Electronics) from September 2012 through December 2015. Prior to working for TE Connectivity, Ms. Evoli held senior global human resources leadership positions with Johnson &amp; Johnson from 2004 through December 2011 in both the Pharmaceutical and Consumer sectors. She held various global human resources leadership roles at Motorola specifically in their Broadband Communications and Automotive groups from 1997 through 2004, and again in April 2011 through August 2012 serving in a Talent Management &amp; Organizational Development leadership role. Ms. Evoli received her B.S. in Business Administration from California University of Pennsylvania and an M.S. in Human Resources / Organizational Development from Villanova University.</w:t>
      </w:r>
    </w:p>
    <w:p>
      <w:pPr>
        <w:spacing w:after="0" w:line="3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is Integra’s Corporate Vice President, General Counsel, Administration and Secretary. Mr. Gorelick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Integra’s Corporate Vice President in December 2012. He joined Integra as Vice President and General Counsel in 2000, and was appointed Senior Vice President and Corporate Secretary in 2006. Mr. Gorelick also chaired the Human Resources Department from 2008 to 2011. Prior to joining Integra, he spent four and a half years at Aventis Behring LLC, a global leader in biologics (plasma proteins) as Associate General Counsel, where his practice focused on technology licensing, strategic alliances, acquisitions and managing commercial litigation. Before that, Mr. Gorelick worked in the Business and Finance Section of Morgan, Lewis &amp; Bockius LLP, in Philadelphia, where his practice concentrated on corporate reorganizations, creditors’ rights, secured transactions, bankruptcy and transactional matters. Mr. Gorelick received his A.B. degree from Princeton University and a J.D. degree from the University of California at Berkeley School of Law.</w:t>
      </w:r>
    </w:p>
    <w:p>
      <w:pPr>
        <w:spacing w:after="0" w:line="37"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i w:val="1"/>
          <w:iCs w:val="1"/>
          <w:color w:val="auto"/>
        </w:rPr>
        <w:t xml:space="preserve">JOHN MOORADIAN </w:t>
      </w:r>
      <w:r>
        <w:rPr>
          <w:rFonts w:ascii="Arial" w:cs="Arial" w:eastAsia="Arial" w:hAnsi="Arial"/>
          <w:sz w:val="16"/>
          <w:szCs w:val="16"/>
          <w:color w:val="auto"/>
        </w:rPr>
        <w:t>is Integra’s Corporate Vice President, Global Operations and Supply Chain. His responsibilities include global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supply chain. Mr. Mooradian was appointed Integra’s Corporate Vice President in December 2012. He joined Integra in September 2012 as Senior Vice President, Global Operations and Supply Chain. Before coming to Integra, Mr. Mooradian spent 24 years at Abbott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Laboratories in a series of leadership roles, including managing the Hematology and Point of Care businesses and, later,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59"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 xml:space="preserve">JEFFREY MOSEBROOK </w:t>
      </w:r>
      <w:r>
        <w:rPr>
          <w:rFonts w:ascii="Arial" w:cs="Arial" w:eastAsia="Arial" w:hAnsi="Arial"/>
          <w:sz w:val="16"/>
          <w:szCs w:val="16"/>
          <w:color w:val="auto"/>
        </w:rPr>
        <w:t>is Integra’s Vice President, Principal Accounting Officer and Corporate Controller. He was appointed Principal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Since September 2014, Mr. Mosebrook has served in his current role as Vice President, Corporate Controller and, from February to October 2017, assumed an additional role as Vice President, Finance for Integra’s specialty surgical solutions segment. Prior to Miltex, Inc., Mr. Mosebrook spent four years at Beard Miller Company, LLP (now known as Baker Tilly Virchow Krause, LLP) in various accounting roles. Mr. Mosebrook received a bachelor of science degree in accounting from York College and is a CPA licensed in Pennsylvania.</w:t>
      </w:r>
    </w:p>
    <w:p>
      <w:pPr>
        <w:spacing w:after="0" w:line="3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Corporate Vice President, Global Regulatory Affairs. She was appointed Integra’s Corporate Vice President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In addition, Ms. O’Grady was Corporate Vice President, Global Regulatory Affairs and Corporate Compliance Officer from December 2012 to June 2014,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4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i w:val="1"/>
          <w:iCs w:val="1"/>
          <w:color w:val="auto"/>
        </w:rPr>
        <w:t xml:space="preserve">DANIEL L. REUVERS </w:t>
      </w:r>
      <w:r>
        <w:rPr>
          <w:rFonts w:ascii="Arial" w:cs="Arial" w:eastAsia="Arial" w:hAnsi="Arial"/>
          <w:sz w:val="16"/>
          <w:szCs w:val="16"/>
          <w:color w:val="auto"/>
        </w:rPr>
        <w:t>is Integra’s Corporate Vice President, President, Codman Specialty Surgical. His responsibilities within Codman Specialty</w:t>
      </w:r>
      <w:r>
        <w:rPr>
          <w:rFonts w:ascii="Arial" w:cs="Arial" w:eastAsia="Arial" w:hAnsi="Arial"/>
          <w:sz w:val="16"/>
          <w:szCs w:val="16"/>
          <w:i w:val="1"/>
          <w:iCs w:val="1"/>
          <w:color w:val="auto"/>
        </w:rPr>
        <w:t xml:space="preserve"> </w:t>
      </w:r>
      <w:r>
        <w:rPr>
          <w:rFonts w:ascii="Arial" w:cs="Arial" w:eastAsia="Arial" w:hAnsi="Arial"/>
          <w:sz w:val="16"/>
          <w:szCs w:val="16"/>
          <w:color w:val="auto"/>
        </w:rPr>
        <w:t>Surgical include leadership of sales, marketing, product development, regulatory affairs, quality assurance, Global Services and Repair and manufacturing worldwide. He joined Integra in 2008 as Vice President of Marketing and Product Development for Integra’s surgical instruments business and was promoted to President of the acute surgical instruments business in June 2010. He was appointed President, Instruments in 2011, Corporate Vice President in December 2012, and President, International in November 2013. Mr. Reuvers was President of Omni-Tract Surgical from September 2005 until December 2008, when the company was acquired by Integra. Mr. Reuvers has over 30 years of experience in the medical technology field, including holding various executive level positions in sales, marketing and general management.</w:t>
      </w:r>
    </w:p>
    <w:p>
      <w:pPr>
        <w:spacing w:after="0" w:line="3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and quality systems. Mr. Vinhais was appointed Integra’s Corporate Vice President in December 2012. Mr. Vinhais joined Integra in September 2012 as Senior Vice President, Global Quality Assurance, and was appointed Corporate Vice President in December 2012. Mr. Vinhais has over 25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96"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The firm of PricewaterhouseCoopers LLP served as our independent registered public accounting firm for fiscal year 2017 and has been selected by the Audit Committee to serve in the same capacity for fiscal year 2018.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32"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During fiscal year 2017, PricewaterhouseCoopers LLP not only provided audit services, but also rendered other services, including tax compliance and planning services.</w:t>
      </w:r>
    </w:p>
    <w:p>
      <w:pPr>
        <w:spacing w:after="0" w:line="51" w:lineRule="exact"/>
        <w:rPr>
          <w:sz w:val="20"/>
          <w:szCs w:val="20"/>
          <w:color w:val="auto"/>
        </w:rPr>
      </w:pPr>
    </w:p>
    <w:p>
      <w:pPr>
        <w:jc w:val="both"/>
        <w:ind w:left="200" w:right="240" w:firstLine="441"/>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2016</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8"/>
              </w:rPr>
              <w:t>4,024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Audit-Related Fees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rPr>
              <w:t>267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Audit and Audit-Related Fees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88"/>
              </w:rPr>
              <w:t>4,261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Tax Fees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w w:val="88"/>
              </w:rPr>
              <w:t>3,765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 Fees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9"/>
              <w:spacing w:after="0"/>
              <w:rPr>
                <w:sz w:val="20"/>
                <w:szCs w:val="20"/>
                <w:color w:val="auto"/>
              </w:rPr>
            </w:pPr>
            <w:r>
              <w:rPr>
                <w:rFonts w:ascii="Arial" w:cs="Arial" w:eastAsia="Arial" w:hAnsi="Arial"/>
                <w:sz w:val="18"/>
                <w:szCs w:val="18"/>
                <w:color w:val="auto"/>
                <w:w w:val="88"/>
              </w:rPr>
              <w:t>8,070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3,717</w:t>
            </w:r>
          </w:p>
        </w:tc>
        <w:tc>
          <w:tcPr>
            <w:tcW w:w="80" w:type="dxa"/>
            <w:vAlign w:val="bottom"/>
          </w:tcPr>
          <w:p>
            <w:pPr>
              <w:spacing w:after="0"/>
              <w:rPr>
                <w:sz w:val="19"/>
                <w:szCs w:val="19"/>
                <w:color w:val="auto"/>
              </w:rPr>
            </w:pPr>
          </w:p>
        </w:tc>
      </w:tr>
    </w:tbl>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90" w:lineRule="exact"/>
        <w:rPr>
          <w:sz w:val="20"/>
          <w:szCs w:val="20"/>
          <w:color w:val="auto"/>
        </w:rPr>
      </w:pPr>
    </w:p>
    <w:p>
      <w:pPr>
        <w:ind w:left="200" w:right="260" w:firstLine="441"/>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4"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accounting consultations in connection with acquisitions and consultations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51" w:lineRule="exact"/>
        <w:rPr>
          <w:sz w:val="20"/>
          <w:szCs w:val="20"/>
          <w:color w:val="auto"/>
        </w:rPr>
      </w:pPr>
    </w:p>
    <w:p>
      <w:pPr>
        <w:ind w:left="200" w:right="460" w:firstLine="441"/>
        <w:spacing w:after="0" w:line="306"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 Consists of tax compliance (review of corporate tax returns, assistance with tax audits and review of the tax treatment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state, local and international tax planning and consultations with respect to various domestic and international tax planning matters. The increase in fees for 2017 relate to tax planning and consultation expenses for the Derma Sciences Inc. and Codman Neurosurgery acquisitions.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and the licensing of accounting research software.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other fees were incurred to PricewaterhouseCoopers LLP during 2016 or 2017.</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63" w:lineRule="exact"/>
        <w:rPr>
          <w:sz w:val="20"/>
          <w:szCs w:val="20"/>
          <w:color w:val="auto"/>
        </w:rPr>
      </w:pPr>
    </w:p>
    <w:p>
      <w:pPr>
        <w:ind w:left="200" w:right="220" w:firstLine="441"/>
        <w:spacing w:after="0" w:line="256" w:lineRule="auto"/>
        <w:rPr>
          <w:sz w:val="20"/>
          <w:szCs w:val="20"/>
          <w:color w:val="auto"/>
        </w:rPr>
      </w:pPr>
      <w:r>
        <w:rPr>
          <w:rFonts w:ascii="Arial" w:cs="Arial" w:eastAsia="Arial" w:hAnsi="Arial"/>
          <w:sz w:val="18"/>
          <w:szCs w:val="18"/>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62"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2018.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ind w:left="200" w:right="180" w:firstLine="441"/>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2018.</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3. ADVISORY VOTE ON NAMED EXECUTIVE OFFICER COMPENSATION</w:t>
      </w:r>
    </w:p>
    <w:p>
      <w:pPr>
        <w:spacing w:after="0" w:line="9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(“NEOs”), as described in the “Executive Compensation” section of this proxy statement beginning on page 22. In deciding how to vote on this proposal, the Board and the Compensation Committee (the “Committee”) invite you to consider the actions that we have implemented to our executive compensation programs as stated below. In addition, we summarize our compensation programs more fully in the Compensation Discussion and Analysis section of this proxy statement (the “CD&amp;A”).</w:t>
      </w:r>
    </w:p>
    <w:p>
      <w:pPr>
        <w:spacing w:after="0" w:line="62"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5"/>
          <w:szCs w:val="15"/>
          <w:color w:val="auto"/>
        </w:rPr>
        <w:t>At our annual meeting of stockholders held in May 2017, we submitted a non-binding advisory vote to our stockholders to approve our executive compensation (“Say on Pay”). Approximately 95.3% of the stockholders who voted on our Say on Pay proposal voted in favor of it. We attribute that broad support in part to our continued efforts to understand and address the feedback that we received from our stockholders. Specifically, the Company makes its directors available to institutional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ten institutional investor conferences at which we discussed our strategic plans and growth prospects. In December 2017, we held an Investor Day in New York City to discuss our long-term strategic direction, including one, three, and five-year financial targets. Integra’s Board, including members of the Committee, received updates on, and feedback from stockholders at these investor meetings throughout the course of 2017, which included discussions on Integra’s executive compensation program. The Committee considered the feedback obtained from our investor outreach program when making decisions relating to compensation for our named executive officers for 2017 and 2018.</w:t>
      </w:r>
    </w:p>
    <w:p>
      <w:pPr>
        <w:spacing w:after="0" w:line="2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compensation awarded to our Chief Executive Officer (“CEO”) and other NEOs for 2017 recognizes the positive financial, operational and shareholder return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2017 pay decisions made by the Committee and the correlation to Company performance.</w:t>
      </w:r>
    </w:p>
    <w:p>
      <w:pPr>
        <w:spacing w:after="0" w:line="62"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2017, we continued the following compensation actions:</w:t>
      </w:r>
    </w:p>
    <w:p>
      <w:pPr>
        <w:spacing w:after="0" w:line="59" w:lineRule="exact"/>
        <w:rPr>
          <w:sz w:val="20"/>
          <w:szCs w:val="20"/>
          <w:color w:val="auto"/>
        </w:rPr>
      </w:pPr>
    </w:p>
    <w:p>
      <w:pPr>
        <w:ind w:left="860" w:right="380" w:hanging="224"/>
        <w:spacing w:after="0" w:line="33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CFO, and the other NEOs in the form of performance stock units, 30% in the form of non-qualified stock options, and 20% in the form of restricted shares.</w:t>
      </w:r>
    </w:p>
    <w:p>
      <w:pPr>
        <w:spacing w:after="0" w:line="4" w:lineRule="exact"/>
        <w:rPr>
          <w:rFonts w:ascii="Arial" w:cs="Arial" w:eastAsia="Arial" w:hAnsi="Arial"/>
          <w:sz w:val="16"/>
          <w:szCs w:val="16"/>
          <w:color w:val="auto"/>
        </w:rPr>
      </w:pPr>
    </w:p>
    <w:p>
      <w:pPr>
        <w:ind w:left="860" w:right="80" w:hanging="224"/>
        <w:spacing w:after="0" w:line="306"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Peer Group: As a result of continued consolidation in the medical device industry, the Company amended its peer group to remove two companies and add a new company to the group in order to align itself with companies that are similar in size (revenue and market capitalization) and in the same industry as Integra, and with whom Integra may compete for executive talent.</w:t>
      </w:r>
    </w:p>
    <w:p>
      <w:pPr>
        <w:spacing w:after="0" w:line="26"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In addition to the actions stated above, we maintain and continuously review our existing compensation practices through strong corporate governance practices, which feature the following:</w:t>
      </w:r>
    </w:p>
    <w:p>
      <w:pPr>
        <w:spacing w:after="0" w:line="5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ownership guidelines that align director and executive officer interests with those of our stockholders;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90"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2018 Annual Meeting:</w:t>
      </w:r>
    </w:p>
    <w:p>
      <w:pPr>
        <w:spacing w:after="0" w:line="5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59"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2019 annual meeting of stockholders.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This Compensation Discussion and Analysis (“CD&amp;A”) describes our executive compensation program for 2017,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2017 compensation decisions for our 2017 NEOs:</w:t>
      </w:r>
    </w:p>
    <w:p>
      <w:pPr>
        <w:spacing w:after="0" w:line="32" w:lineRule="exact"/>
        <w:rPr>
          <w:sz w:val="20"/>
          <w:szCs w:val="20"/>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(“CEO”);</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Glenn G. Coleman, our Corporate Vice President and Chief Financial Officer (“CFO”);</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Robert T. Davis, Jr., our Corporate Vice President, President — Orthopedics and Tissue Technologies;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Richard D. Gorelick, our Corporate Vice President, General Counsel, Administration and Secretary;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Daniel L. Reuvers, our Corporate Vice President, Codman Surgical Solutions.</w:t>
      </w:r>
    </w:p>
    <w:p>
      <w:pPr>
        <w:spacing w:after="0" w:line="9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programs. The report of the Committee appears at the end of this section. In addition to the Company continuing its investor outreach program, the Committee has continued to evolve the core elements of its executive compensation programs, as follows:</w:t>
      </w:r>
    </w:p>
    <w:p>
      <w:pPr>
        <w:spacing w:after="0" w:line="59" w:lineRule="exact"/>
        <w:rPr>
          <w:sz w:val="20"/>
          <w:szCs w:val="20"/>
          <w:color w:val="auto"/>
        </w:rPr>
      </w:pPr>
    </w:p>
    <w:p>
      <w:pPr>
        <w:ind w:left="860" w:right="560" w:hanging="224"/>
        <w:spacing w:after="0" w:line="268"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Utilized a Performance Incentive Compensation Plan (the “Bonus Plan”) containing a formulaic funding mechanism (based on quantitative metrics) for annual cash bonuses;</w:t>
      </w:r>
    </w:p>
    <w:p>
      <w:pPr>
        <w:spacing w:after="0" w:line="50" w:lineRule="exact"/>
        <w:rPr>
          <w:rFonts w:ascii="Arial" w:cs="Arial" w:eastAsia="Arial" w:hAnsi="Arial"/>
          <w:sz w:val="18"/>
          <w:szCs w:val="18"/>
          <w:color w:val="auto"/>
        </w:rPr>
      </w:pPr>
    </w:p>
    <w:p>
      <w:pPr>
        <w:ind w:left="860" w:right="180" w:hanging="224"/>
        <w:spacing w:after="0" w:line="268"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continued its practice of granting 50% of its annual equity awards to the NEOs in the form of performance stock units and 30% in the form of non-qualified stock options;</w:t>
      </w:r>
    </w:p>
    <w:p>
      <w:pPr>
        <w:spacing w:after="0" w:line="50" w:lineRule="exact"/>
        <w:rPr>
          <w:rFonts w:ascii="Arial" w:cs="Arial" w:eastAsia="Arial" w:hAnsi="Arial"/>
          <w:sz w:val="18"/>
          <w:szCs w:val="18"/>
          <w:color w:val="auto"/>
        </w:rPr>
      </w:pPr>
    </w:p>
    <w:p>
      <w:pPr>
        <w:ind w:left="860" w:right="600" w:hanging="224"/>
        <w:spacing w:after="0" w:line="268"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Granted equity pursuant to the Long-Term Equity Incentive Plan that includes a double-trigger change in control provision and a clawback provision; and</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implement ownership stock retention requirements for executive officers and directors.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some key highlights about the Company’s performance in 2017:</w:t>
      </w:r>
    </w:p>
    <w:p>
      <w:pPr>
        <w:spacing w:after="0" w:line="90"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Three-year total return to stockholders for 2015, 2016 and 2017 was 95.3% (compared to 89.4% for our peer group);</w:t>
      </w:r>
    </w:p>
    <w:p>
      <w:pPr>
        <w:spacing w:after="0" w:line="90" w:lineRule="exact"/>
        <w:rPr>
          <w:rFonts w:ascii="Arial" w:cs="Arial" w:eastAsia="Arial" w:hAnsi="Arial"/>
          <w:sz w:val="18"/>
          <w:szCs w:val="18"/>
          <w:color w:val="auto"/>
        </w:rPr>
      </w:pPr>
    </w:p>
    <w:p>
      <w:pPr>
        <w:ind w:left="860" w:right="42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and integrated Derma Sciences Inc., expanding our advanced wound care franchise with a broad set of market leading products and nearly doubling the size of our outpatient wound care sales channel;</w:t>
      </w:r>
    </w:p>
    <w:p>
      <w:pPr>
        <w:spacing w:after="0" w:line="50" w:lineRule="exact"/>
        <w:rPr>
          <w:rFonts w:ascii="Arial" w:cs="Arial" w:eastAsia="Arial" w:hAnsi="Arial"/>
          <w:sz w:val="18"/>
          <w:szCs w:val="18"/>
          <w:color w:val="auto"/>
        </w:rPr>
      </w:pPr>
    </w:p>
    <w:p>
      <w:pPr>
        <w:ind w:left="86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Closed the acquisition of the Codman Neurosurgery business from Johnson &amp; Johnson. This is the largest acquisition in the Company’s history and is transformational for Integra; and</w:t>
      </w:r>
    </w:p>
    <w:p>
      <w:pPr>
        <w:spacing w:after="0" w:line="50" w:lineRule="exact"/>
        <w:rPr>
          <w:rFonts w:ascii="Arial" w:cs="Arial" w:eastAsia="Arial" w:hAnsi="Arial"/>
          <w:sz w:val="18"/>
          <w:szCs w:val="18"/>
          <w:color w:val="auto"/>
        </w:rPr>
      </w:pPr>
    </w:p>
    <w:p>
      <w:pPr>
        <w:ind w:left="860" w:hanging="224"/>
        <w:spacing w:after="0" w:line="268"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Achieved reported revenue growth of 19.8% and organic revenue growth of 4.6% for the full year 2017, while planning for closing and integrating, and then closing and integrating the two largest acquisitions in the Company’s history.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Listening to Our Stockholders</w:t>
      </w:r>
    </w:p>
    <w:p>
      <w:pPr>
        <w:spacing w:after="0" w:line="9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At our 2017 Annual Meeting, approximately 95.3% of the stockholders who voted on our 2017 Say-on-Pay proposal voted in favor of the proposal. We believe that this support resulted largely from the continuous improvements that we have made and continue to make in our executive compensation programs and the effect that they have had on the performance of the Company. The Company has achieved strong results over the past few years, and we believe that investors support our pay-for-performance philosophy in growing the Company. The Company makes its directors available to institutional investors who wish to discuss the Company’s policies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and practices, including with respect to executive compensation. Continuing our investor outreach efforts, we gained feedback with respect to our executive compensation programs over the course of the year in a number of different settings. Integra’s management team participated in ten institutional investor conferences at which we discussed our strategic plans and growth prospects, and met with over 425 institutional investors in 2017. In December 2017, we held an Investor Day in New York City to discuss our long-term strategic direction, including one, three and five-year financial targets. Integra’s Board, including members of the Committee, received updates on, and feedback from stockholders at these investor meetings throughout the course of 2017. These discussions often included Integra’s executive compensation program. The Committee considered the feedback obtained from our investor outreach program when making decisions relating to compensation for our named executive officers for 2017 and 2018.</w:t>
      </w:r>
    </w:p>
    <w:p>
      <w:pPr>
        <w:spacing w:after="0" w:line="37" w:lineRule="exact"/>
        <w:rPr>
          <w:sz w:val="20"/>
          <w:szCs w:val="20"/>
          <w:color w:val="auto"/>
        </w:rPr>
      </w:pPr>
    </w:p>
    <w:p>
      <w:pPr>
        <w:ind w:left="200" w:right="300" w:firstLine="441"/>
        <w:spacing w:after="0" w:line="256" w:lineRule="auto"/>
        <w:rPr>
          <w:sz w:val="20"/>
          <w:szCs w:val="20"/>
          <w:color w:val="auto"/>
        </w:rPr>
      </w:pPr>
      <w:r>
        <w:rPr>
          <w:rFonts w:ascii="Arial" w:cs="Arial" w:eastAsia="Arial" w:hAnsi="Arial"/>
          <w:sz w:val="18"/>
          <w:szCs w:val="18"/>
          <w:color w:val="auto"/>
        </w:rPr>
        <w:t>As a result of the stockholder outreach conducted during the past several years and the Committee’s own deliberations with the assistance of third-party advisers, we continue to evolve the executive compensation programs. We continue these practices in 2018 in order to reinforce a culture that emphasizes pay for performance. The table below provides a summary of (i) the program elements from 2017 and (ii) how we applied those elements in 2018 for performance in 2018 and beyond.</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Link between performance</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All compensation decisions made in 2017 for 2016</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compensation</w:t>
            </w: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performance reflect company-wide performance against</w:t>
            </w: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Because the Company met its 2017 financial</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2"/>
              </w:rPr>
              <w:t>pre-established metrics and goals and an assessment of</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metrics provided in the Bonus Plan as described</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0"/>
              </w:rPr>
              <w:t>each NEO’s performance against goals established at the</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below, the Company paid cash bonuses to the</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beginning of 2016.</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NEOs in 2018 for 2017 performance.</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   Specific financial objectives for funding the pool for cash</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incentives, and for each NEO’s division or function, were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established within the first 90 days of 2017.</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   The Company continued its practice of granting 50% of its</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annual equity awards to its NEOs in the form of</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performance stock units (“PSUs”), and 30% was in the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form of non-qualified stock options.</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   The restricted stock units granted to the CEO in 2017 are</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deferred and will not be delivered until after the CEO’s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departure from the Company.</w:t>
            </w:r>
          </w:p>
        </w:tc>
        <w:tc>
          <w:tcPr>
            <w:tcW w:w="4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260" w:type="dxa"/>
            <w:vAlign w:val="bottom"/>
            <w:tcBorders>
              <w:left w:val="single" w:sz="8" w:color="auto"/>
              <w:right w:val="single" w:sz="8" w:color="auto"/>
            </w:tcBorders>
          </w:tcPr>
          <w:p>
            <w:pPr>
              <w:spacing w:after="0"/>
              <w:rPr>
                <w:sz w:val="24"/>
                <w:szCs w:val="24"/>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Because the Company met its 2016 financial metrics</w:t>
            </w:r>
          </w:p>
        </w:tc>
        <w:tc>
          <w:tcPr>
            <w:tcW w:w="4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provided in the Performance Incentive Compensation Plan</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8"/>
              </w:rPr>
              <w:t>(the “Bonus Plan”), the Company paid cash bonuses to the</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NEOs in 2017 for 2016 performance under the Bonus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Plan.</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23</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Use of discretion</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6"/>
              </w:rPr>
              <w:t>•   The Bonus Plan approved by stockholders provides the</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Committee with only negative discretion to reduce (but not</w:t>
            </w: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9"/>
              </w:rPr>
              <w:t>•   The Company funded the overall annual cash</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1"/>
              </w:rPr>
              <w:t>increase) cash incentive payments intended to constitute</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incentive pool for 2017 performance pursuant to</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“qualified performance-based compensation.”</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continue"/>
          </w:tcPr>
          <w:p>
            <w:pPr>
              <w:spacing w:after="0"/>
              <w:rPr>
                <w:sz w:val="12"/>
                <w:szCs w:val="12"/>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the Bonus Plan at 121% of target.</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Includes a clawback provision.</w:t>
            </w: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8"/>
              </w:rPr>
              <w:t>•   Based on strong financial and other qualitative</w:t>
            </w:r>
          </w:p>
        </w:tc>
        <w:tc>
          <w:tcPr>
            <w:tcW w:w="0" w:type="dxa"/>
            <w:vAlign w:val="bottom"/>
          </w:tcPr>
          <w:p>
            <w:pPr>
              <w:spacing w:after="0"/>
              <w:rPr>
                <w:sz w:val="1"/>
                <w:szCs w:val="1"/>
                <w:color w:val="auto"/>
              </w:rPr>
            </w:pPr>
          </w:p>
        </w:tc>
      </w:tr>
      <w:tr>
        <w:trPr>
          <w:trHeight w:val="75"/>
        </w:trPr>
        <w:tc>
          <w:tcPr>
            <w:tcW w:w="2260" w:type="dxa"/>
            <w:vAlign w:val="bottom"/>
            <w:tcBorders>
              <w:left w:val="single" w:sz="8" w:color="auto"/>
              <w:right w:val="single" w:sz="8" w:color="auto"/>
            </w:tcBorders>
          </w:tcPr>
          <w:p>
            <w:pPr>
              <w:spacing w:after="0"/>
              <w:rPr>
                <w:sz w:val="6"/>
                <w:szCs w:val="6"/>
                <w:color w:val="auto"/>
              </w:rPr>
            </w:pPr>
          </w:p>
        </w:tc>
        <w:tc>
          <w:tcPr>
            <w:tcW w:w="470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   The Company funded the overall annual cash incentive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measures of performance in 2017, the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1"/>
              </w:rPr>
              <w:t>pool for 2016 performance pursuant to the Bonus Plan at</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Company’s NEOs earned cash bonuses for 2017</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117% of target.</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performance paid in March 2018 up to 135% of</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0"/>
              </w:rPr>
              <w:t>•   Based on strong financial and other qualitative measures in</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each NEO’s respective target. The Committee</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determined such cash bonuses based upon the</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88"/>
              </w:rPr>
              <w:t>2016, the Company’s NEOs earned cash bonuses for 2016</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strong individual performance of each of the</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9"/>
              </w:rPr>
              <w:t>performance paid in March 2017 up to 150% of each</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NEOs, achievement of several critical business</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0"/>
              </w:rPr>
              <w:t>NEO’s respective target. The Committee determined such</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priorities ahead of expectations, successfully</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cash bonuses based upon the strong individual</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meeting or exceeding strategic objectives,</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89"/>
              </w:rPr>
              <w:t>performance of each of the NEOs, achievement of several</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optimizing the Company’s organizational</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critical business priorities ahead of expectations,</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structure, systems and processes, and meeting</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5"/>
              </w:rPr>
              <w:t>successfully meeting or exceeding strategic objectives,</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the objectives to enhance overall commitment to</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optimizing the Company’s organizational structure,</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quality and regulatory compliance.</w:t>
            </w: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6"/>
              </w:rPr>
              <w:t>systems and processes, and meeting the objectives to</w:t>
            </w: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60" w:type="dxa"/>
            <w:vAlign w:val="bottom"/>
            <w:tcBorders>
              <w:left w:val="single" w:sz="8" w:color="auto"/>
              <w:right w:val="single" w:sz="8" w:color="auto"/>
            </w:tcBorders>
          </w:tcPr>
          <w:p>
            <w:pPr>
              <w:spacing w:after="0"/>
              <w:rPr>
                <w:sz w:val="6"/>
                <w:szCs w:val="6"/>
                <w:color w:val="auto"/>
              </w:rPr>
            </w:pPr>
          </w:p>
        </w:tc>
        <w:tc>
          <w:tcPr>
            <w:tcW w:w="4700" w:type="dxa"/>
            <w:vAlign w:val="bottom"/>
            <w:tcBorders>
              <w:right w:val="single" w:sz="8" w:color="auto"/>
            </w:tcBorders>
            <w:vMerge w:val="continue"/>
          </w:tcPr>
          <w:p>
            <w:pPr>
              <w:spacing w:after="0"/>
              <w:rPr>
                <w:sz w:val="6"/>
                <w:szCs w:val="6"/>
                <w:color w:val="auto"/>
              </w:rPr>
            </w:pPr>
          </w:p>
        </w:tc>
        <w:tc>
          <w:tcPr>
            <w:tcW w:w="4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enhance overall commitment to quality and regulatory</w:t>
            </w:r>
          </w:p>
        </w:tc>
        <w:tc>
          <w:tcPr>
            <w:tcW w:w="40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   In addition, based on the achievement of certain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compliance.</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performance metrics pertaining to the successful</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Based on competitive practices, the Compensation</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acquisition and integration of Codman</w:t>
            </w: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Neurosurgery, the Company funded a one-time</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1"/>
              </w:rPr>
              <w:t>Committee amended the Bonus Plan in February 2017 to</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cash bonus modifier for certain NEOs.</w:t>
            </w:r>
          </w:p>
        </w:tc>
        <w:tc>
          <w:tcPr>
            <w:tcW w:w="0" w:type="dxa"/>
            <w:vAlign w:val="bottom"/>
          </w:tcPr>
          <w:p>
            <w:pPr>
              <w:spacing w:after="0"/>
              <w:rPr>
                <w:sz w:val="1"/>
                <w:szCs w:val="1"/>
                <w:color w:val="auto"/>
              </w:rPr>
            </w:pPr>
          </w:p>
        </w:tc>
      </w:tr>
      <w:tr>
        <w:trPr>
          <w:trHeight w:val="141"/>
        </w:trPr>
        <w:tc>
          <w:tcPr>
            <w:tcW w:w="2260" w:type="dxa"/>
            <w:vAlign w:val="bottom"/>
            <w:tcBorders>
              <w:left w:val="single" w:sz="8" w:color="auto"/>
              <w:right w:val="single" w:sz="8" w:color="auto"/>
            </w:tcBorders>
          </w:tcPr>
          <w:p>
            <w:pPr>
              <w:spacing w:after="0"/>
              <w:rPr>
                <w:sz w:val="12"/>
                <w:szCs w:val="12"/>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89"/>
              </w:rPr>
              <w:t>fund cash bonuses for NEOs up to a maximum of 200% of</w:t>
            </w: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60" w:type="dxa"/>
            <w:vAlign w:val="bottom"/>
            <w:tcBorders>
              <w:left w:val="single" w:sz="8" w:color="auto"/>
              <w:right w:val="single" w:sz="8" w:color="auto"/>
            </w:tcBorders>
          </w:tcPr>
          <w:p>
            <w:pPr>
              <w:spacing w:after="0"/>
              <w:rPr>
                <w:sz w:val="6"/>
                <w:szCs w:val="6"/>
                <w:color w:val="auto"/>
              </w:rPr>
            </w:pPr>
          </w:p>
        </w:tc>
        <w:tc>
          <w:tcPr>
            <w:tcW w:w="4700" w:type="dxa"/>
            <w:vAlign w:val="bottom"/>
            <w:tcBorders>
              <w:right w:val="single" w:sz="8" w:color="auto"/>
            </w:tcBorders>
            <w:vMerge w:val="continue"/>
          </w:tcPr>
          <w:p>
            <w:pPr>
              <w:spacing w:after="0"/>
              <w:rPr>
                <w:sz w:val="6"/>
                <w:szCs w:val="6"/>
                <w:color w:val="auto"/>
              </w:rPr>
            </w:pPr>
          </w:p>
        </w:tc>
        <w:tc>
          <w:tcPr>
            <w:tcW w:w="4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target to more closely align pay and performance. This</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Bonus Plan Amendment commenced with 2017</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8"/>
              </w:rPr>
              <w:t>performance, with such bonuses paid in March 2018.</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24</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Performance-based stock</w:t>
            </w:r>
          </w:p>
        </w:tc>
        <w:tc>
          <w:tcPr>
            <w:tcW w:w="470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3"/>
              </w:rPr>
              <w:t>•   50% of each NEO’s 2017 equity grant (including the CEO</w:t>
            </w:r>
          </w:p>
        </w:tc>
        <w:tc>
          <w:tcPr>
            <w:tcW w:w="408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8"/>
              </w:rPr>
              <w:t>•   The (i) third installment of the PSUs granted to</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grants</w:t>
            </w: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and CFO) was in the form of PSUs with annual vesting</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NEOs in 2015 vested at target in 2018</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over three years contingent on achieving three-year</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because the 2017 performance goal, based on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0"/>
              </w:rPr>
              <w:t>cumulative revenue growth performance goals, measured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revenue growth, was met. In addition, the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0"/>
              </w:rPr>
              <w:t>during each fiscal year of the performance period; 30% of</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(ii) second installment of the PSUs granted to</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6"/>
              </w:rPr>
              <w:t>each NEO’s 2017 equity grant (including the CEO and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the NEOs in 2016 and the (iii) first installment</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CFO) was in the form of non-qualified stock options,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of PSUs granted to NEOs in 2017 both vested in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5"/>
              </w:rPr>
              <w:t>which the Committee, Board and management view as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2018 at 150% of the target number of shares of</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performance-based equity.</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performance stock eligible to vest because the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Each grant considered:</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2017 performance goal, based on revenue</w:t>
            </w: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tcPr>
          <w:p>
            <w:pPr>
              <w:spacing w:after="0"/>
              <w:rPr>
                <w:sz w:val="7"/>
                <w:szCs w:val="7"/>
                <w:color w:val="auto"/>
              </w:rPr>
            </w:pPr>
          </w:p>
        </w:tc>
        <w:tc>
          <w:tcPr>
            <w:tcW w:w="4700" w:type="dxa"/>
            <w:vAlign w:val="bottom"/>
            <w:tcBorders>
              <w:right w:val="single" w:sz="8" w:color="auto"/>
            </w:tcBorders>
            <w:vMerge w:val="continue"/>
          </w:tcPr>
          <w:p>
            <w:pPr>
              <w:spacing w:after="0"/>
              <w:rPr>
                <w:sz w:val="7"/>
                <w:szCs w:val="7"/>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9"/>
              </w:rPr>
              <w:t>growth, was achieved at the maximum level.</w:t>
            </w:r>
          </w:p>
        </w:tc>
        <w:tc>
          <w:tcPr>
            <w:tcW w:w="0" w:type="dxa"/>
            <w:vAlign w:val="bottom"/>
          </w:tcPr>
          <w:p>
            <w:pPr>
              <w:spacing w:after="0"/>
              <w:rPr>
                <w:sz w:val="1"/>
                <w:szCs w:val="1"/>
                <w:color w:val="auto"/>
              </w:rPr>
            </w:pPr>
          </w:p>
        </w:tc>
      </w:tr>
      <w:tr>
        <w:trPr>
          <w:trHeight w:val="135"/>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 2016 performance;</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60" w:type="dxa"/>
            <w:vAlign w:val="bottom"/>
            <w:tcBorders>
              <w:left w:val="single" w:sz="8" w:color="auto"/>
              <w:right w:val="single" w:sz="8" w:color="auto"/>
            </w:tcBorders>
          </w:tcPr>
          <w:p>
            <w:pPr>
              <w:spacing w:after="0"/>
              <w:rPr>
                <w:sz w:val="14"/>
                <w:szCs w:val="14"/>
                <w:color w:val="auto"/>
              </w:rPr>
            </w:pPr>
          </w:p>
        </w:tc>
        <w:tc>
          <w:tcPr>
            <w:tcW w:w="4700" w:type="dxa"/>
            <w:vAlign w:val="bottom"/>
            <w:tcBorders>
              <w:right w:val="single" w:sz="8" w:color="auto"/>
            </w:tcBorders>
            <w:vMerge w:val="continue"/>
          </w:tcPr>
          <w:p>
            <w:pPr>
              <w:spacing w:after="0"/>
              <w:rPr>
                <w:sz w:val="14"/>
                <w:szCs w:val="14"/>
                <w:color w:val="auto"/>
              </w:rPr>
            </w:pPr>
          </w:p>
        </w:tc>
        <w:tc>
          <w:tcPr>
            <w:tcW w:w="40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7"/>
              </w:rPr>
              <w:t>•   For 2018, the Committee approved changes to</w:t>
            </w:r>
          </w:p>
        </w:tc>
        <w:tc>
          <w:tcPr>
            <w:tcW w:w="0" w:type="dxa"/>
            <w:vAlign w:val="bottom"/>
          </w:tcPr>
          <w:p>
            <w:pPr>
              <w:spacing w:after="0"/>
              <w:rPr>
                <w:sz w:val="1"/>
                <w:szCs w:val="1"/>
                <w:color w:val="auto"/>
              </w:rPr>
            </w:pPr>
          </w:p>
        </w:tc>
      </w:tr>
      <w:tr>
        <w:trPr>
          <w:trHeight w:val="129"/>
        </w:trPr>
        <w:tc>
          <w:tcPr>
            <w:tcW w:w="2260" w:type="dxa"/>
            <w:vAlign w:val="bottom"/>
            <w:tcBorders>
              <w:left w:val="single" w:sz="8" w:color="auto"/>
              <w:right w:val="single" w:sz="8" w:color="auto"/>
            </w:tcBorders>
          </w:tcPr>
          <w:p>
            <w:pPr>
              <w:spacing w:after="0"/>
              <w:rPr>
                <w:sz w:val="11"/>
                <w:szCs w:val="11"/>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 Future potential and retention needs; and</w:t>
            </w:r>
          </w:p>
        </w:tc>
        <w:tc>
          <w:tcPr>
            <w:tcW w:w="4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continue"/>
          </w:tcPr>
          <w:p>
            <w:pPr>
              <w:spacing w:after="0"/>
              <w:rPr>
                <w:sz w:val="18"/>
                <w:szCs w:val="18"/>
                <w:color w:val="auto"/>
              </w:rPr>
            </w:pP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the design of the PSUs in order to incentivize</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 Competitive market data.</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long term organic revenue growth, with annual</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4"/>
              </w:rPr>
              <w:t>•   The (i) third installment of the PSUs granted to the NEOs</w:t>
            </w:r>
          </w:p>
        </w:tc>
        <w:tc>
          <w:tcPr>
            <w:tcW w:w="40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vesting over three years contingent on achieving</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organic revenue growth goals (excluding</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in 2014, and the (ii) second installment of the PSUs</w:t>
            </w:r>
          </w:p>
        </w:tc>
        <w:tc>
          <w:tcPr>
            <w:tcW w:w="4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divestitures and discontinued products),</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7"/>
              </w:rPr>
              <w:t>granted to the NEOs in 2015, vested in 2017 at target</w:t>
            </w:r>
          </w:p>
        </w:tc>
        <w:tc>
          <w:tcPr>
            <w:tcW w:w="4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measured during each fiscal year of the</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4"/>
              </w:rPr>
              <w:t>because the 2016 performance goal, based on revenue</w:t>
            </w:r>
          </w:p>
        </w:tc>
        <w:tc>
          <w:tcPr>
            <w:tcW w:w="4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performance period against the immediately</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6"/>
              </w:rPr>
              <w:t>growth, was met. In addition, (iii) the first installment of</w:t>
            </w:r>
          </w:p>
        </w:tc>
        <w:tc>
          <w:tcPr>
            <w:tcW w:w="4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preceding fiscal year.</w:t>
            </w: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right w:val="single" w:sz="8" w:color="auto"/>
            </w:tcBorders>
          </w:tcPr>
          <w:p>
            <w:pPr>
              <w:spacing w:after="0"/>
              <w:rPr>
                <w:sz w:val="9"/>
                <w:szCs w:val="9"/>
                <w:color w:val="auto"/>
              </w:rPr>
            </w:pPr>
          </w:p>
        </w:tc>
        <w:tc>
          <w:tcPr>
            <w:tcW w:w="470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w w:val="92"/>
              </w:rPr>
              <w:t>the PSUs granted to the NEOs in 2016 vested in 2017 at</w:t>
            </w:r>
          </w:p>
        </w:tc>
        <w:tc>
          <w:tcPr>
            <w:tcW w:w="4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60" w:type="dxa"/>
            <w:vAlign w:val="bottom"/>
            <w:tcBorders>
              <w:left w:val="single" w:sz="8" w:color="auto"/>
              <w:right w:val="single" w:sz="8" w:color="auto"/>
            </w:tcBorders>
          </w:tcPr>
          <w:p>
            <w:pPr>
              <w:spacing w:after="0"/>
              <w:rPr>
                <w:sz w:val="8"/>
                <w:szCs w:val="8"/>
                <w:color w:val="auto"/>
              </w:rPr>
            </w:pPr>
          </w:p>
        </w:tc>
        <w:tc>
          <w:tcPr>
            <w:tcW w:w="4700" w:type="dxa"/>
            <w:vAlign w:val="bottom"/>
            <w:tcBorders>
              <w:right w:val="single" w:sz="8" w:color="auto"/>
            </w:tcBorders>
            <w:vMerge w:val="continue"/>
          </w:tcPr>
          <w:p>
            <w:pPr>
              <w:spacing w:after="0"/>
              <w:rPr>
                <w:sz w:val="8"/>
                <w:szCs w:val="8"/>
                <w:color w:val="auto"/>
              </w:rPr>
            </w:pPr>
          </w:p>
        </w:tc>
        <w:tc>
          <w:tcPr>
            <w:tcW w:w="4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150% of the target number of shares of performance stock</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89"/>
              </w:rPr>
              <w:t>eligible to vest because the 2016 performance goal, based</w:t>
            </w:r>
          </w:p>
        </w:tc>
        <w:tc>
          <w:tcPr>
            <w:tcW w:w="4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47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2"/>
              </w:rPr>
              <w:t>on revenue growth, was achieved at the maximum level.</w:t>
            </w:r>
          </w:p>
        </w:tc>
        <w:tc>
          <w:tcPr>
            <w:tcW w:w="4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Peer group</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Integra’s peer group focuses on the medical technology industry</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Will continue to focus on the medical technology</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and considers the complexity of Integra’s business, competitors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industry, Integra’s complexity, competition for</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for executive talent, as well as relative size (revenue and market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executive talent and relative size (revenue and market</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cap). The Committee reviewed compensation of our NEOs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cap), and will consider making adjustments to the peer</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relative to our peers, and as a result of our review, we made the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group as necessary given the aforementioned criteria.</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following changes to our peer group in July 2017: (i) we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We will review compensation of our NEOs relative to</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removed Orthofix International and Cantel Medical, and</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peers on an annual basis.</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(ii) added West Pharmaceuticals.</w:t>
            </w:r>
          </w:p>
        </w:tc>
        <w:tc>
          <w:tcPr>
            <w:tcW w:w="4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Change-In-Control provisions</w:t>
            </w:r>
          </w:p>
        </w:tc>
        <w:tc>
          <w:tcPr>
            <w:tcW w:w="4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4"/>
              </w:rPr>
              <w:t>Continue to utilize “double trigger” provisions implemented in</w:t>
            </w:r>
          </w:p>
        </w:tc>
        <w:tc>
          <w:tcPr>
            <w:tcW w:w="40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 equity awards</w:t>
            </w: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2013 for acceleration of equity awards.</w:t>
            </w:r>
          </w:p>
        </w:tc>
        <w:tc>
          <w:tcPr>
            <w:tcW w:w="4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4700" w:type="dxa"/>
            <w:vAlign w:val="bottom"/>
          </w:tcPr>
          <w:p>
            <w:pPr>
              <w:ind w:left="3140"/>
              <w:spacing w:after="0"/>
              <w:rPr>
                <w:sz w:val="20"/>
                <w:szCs w:val="20"/>
                <w:color w:val="auto"/>
              </w:rPr>
            </w:pPr>
            <w:r>
              <w:rPr>
                <w:rFonts w:ascii="Arial" w:cs="Arial" w:eastAsia="Arial" w:hAnsi="Arial"/>
                <w:sz w:val="18"/>
                <w:szCs w:val="18"/>
                <w:color w:val="auto"/>
              </w:rPr>
              <w:t>25</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2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4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r>
      <w:tr>
        <w:trPr>
          <w:trHeight w:val="201"/>
        </w:trPr>
        <w:tc>
          <w:tcPr>
            <w:tcW w:w="22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8"/>
              </w:rPr>
              <w:t>Compensation recoupment</w:t>
            </w:r>
          </w:p>
        </w:tc>
        <w:tc>
          <w:tcPr>
            <w:tcW w:w="47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5"/>
              </w:rPr>
              <w:t>Continue to utilize clawback policy implemented in 2013 that</w:t>
            </w:r>
          </w:p>
        </w:tc>
        <w:tc>
          <w:tcPr>
            <w:tcW w:w="4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Continuing current practice.</w:t>
            </w:r>
          </w:p>
        </w:tc>
      </w:tr>
      <w:tr>
        <w:trPr>
          <w:trHeight w:val="223"/>
        </w:trPr>
        <w:tc>
          <w:tcPr>
            <w:tcW w:w="2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(“clawback”) policy</w:t>
            </w: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pertains to both the equity plans and Bonus Plan.</w:t>
            </w:r>
          </w:p>
        </w:tc>
        <w:tc>
          <w:tcPr>
            <w:tcW w:w="4080" w:type="dxa"/>
            <w:vAlign w:val="bottom"/>
            <w:tcBorders>
              <w:bottom w:val="single" w:sz="8" w:color="auto"/>
              <w:right w:val="single" w:sz="8" w:color="auto"/>
            </w:tcBorders>
          </w:tcPr>
          <w:p>
            <w:pPr>
              <w:spacing w:after="0"/>
              <w:rPr>
                <w:sz w:val="19"/>
                <w:szCs w:val="19"/>
                <w:color w:val="auto"/>
              </w:rPr>
            </w:pPr>
          </w:p>
        </w:tc>
      </w:tr>
      <w:tr>
        <w:trPr>
          <w:trHeight w:val="202"/>
        </w:trPr>
        <w:tc>
          <w:tcPr>
            <w:tcW w:w="22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Pre-clearance, Anti-</w:t>
            </w:r>
          </w:p>
        </w:tc>
        <w:tc>
          <w:tcPr>
            <w:tcW w:w="47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2"/>
              </w:rPr>
              <w:t>Continue to mandate pre-clearance requirements to a broader</w:t>
            </w:r>
          </w:p>
        </w:tc>
        <w:tc>
          <w:tcPr>
            <w:tcW w:w="40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16"/>
        </w:trPr>
        <w:tc>
          <w:tcPr>
            <w:tcW w:w="2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hedging/pledging policy</w:t>
            </w:r>
          </w:p>
        </w:tc>
        <w:tc>
          <w:tcPr>
            <w:tcW w:w="47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group of executives. Continue to follow the anti-</w:t>
            </w:r>
          </w:p>
        </w:tc>
        <w:tc>
          <w:tcPr>
            <w:tcW w:w="4080" w:type="dxa"/>
            <w:vAlign w:val="bottom"/>
            <w:tcBorders>
              <w:right w:val="single" w:sz="8" w:color="auto"/>
            </w:tcBorders>
          </w:tcPr>
          <w:p>
            <w:pPr>
              <w:spacing w:after="0"/>
              <w:rPr>
                <w:sz w:val="18"/>
                <w:szCs w:val="18"/>
                <w:color w:val="auto"/>
              </w:rPr>
            </w:pPr>
          </w:p>
        </w:tc>
      </w:tr>
      <w:tr>
        <w:trPr>
          <w:trHeight w:val="223"/>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hedging/pledging policy that was implemented in 2013.</w:t>
            </w:r>
          </w:p>
        </w:tc>
        <w:tc>
          <w:tcPr>
            <w:tcW w:w="4080" w:type="dxa"/>
            <w:vAlign w:val="bottom"/>
            <w:tcBorders>
              <w:bottom w:val="single" w:sz="8" w:color="auto"/>
              <w:right w:val="single" w:sz="8" w:color="auto"/>
            </w:tcBorders>
          </w:tcPr>
          <w:p>
            <w:pPr>
              <w:spacing w:after="0"/>
              <w:rPr>
                <w:sz w:val="19"/>
                <w:szCs w:val="19"/>
                <w:color w:val="auto"/>
              </w:rPr>
            </w:pPr>
          </w:p>
        </w:tc>
      </w:tr>
    </w:tbl>
    <w:p>
      <w:pPr>
        <w:spacing w:after="0" w:line="73"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The Company will continue its outreach to stockholders on an on-going basis to sustain and, where appropriate, refine alignment on executive compensation practices.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The Committee determines our philosophy on executive compensation, which is to align each executive’s compensation with Integra’s short- and long-term performance goals.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26" w:lineRule="exact"/>
        <w:rPr>
          <w:sz w:val="20"/>
          <w:szCs w:val="20"/>
          <w:color w:val="auto"/>
        </w:rPr>
      </w:pPr>
    </w:p>
    <w:p>
      <w:pPr>
        <w:ind w:left="860" w:right="120" w:hanging="224"/>
        <w:spacing w:after="0" w:line="256"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linked our 2017 annual cash incentive program to financial metrics — including revenue, adjusted earnings before interest, taxes, depreciation and amortization (“EBITDA”), and operating cash flow — which we believe drive the profitability and growth of the Company and long-term shareholder return. Cash incentive awards for NEOs are linked to the achievement of these financial metrics as well as performance of other objectives to advance the long-term strategy of the Company.</w:t>
      </w:r>
    </w:p>
    <w:p>
      <w:pPr>
        <w:spacing w:after="0" w:line="62" w:lineRule="exact"/>
        <w:rPr>
          <w:rFonts w:ascii="Arial" w:cs="Arial" w:eastAsia="Arial" w:hAnsi="Arial"/>
          <w:sz w:val="18"/>
          <w:szCs w:val="18"/>
          <w:color w:val="auto"/>
        </w:rPr>
      </w:pPr>
    </w:p>
    <w:p>
      <w:pPr>
        <w:ind w:left="860" w:right="28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long-term equity incentive awards are aligned with stockholder interests because they focus on performance — for grants and vesting — as well as retention, and facilitate long-term stock ownership.</w:t>
      </w:r>
    </w:p>
    <w:p>
      <w:pPr>
        <w:spacing w:after="0" w:line="50" w:lineRule="exact"/>
        <w:rPr>
          <w:rFonts w:ascii="Arial" w:cs="Arial" w:eastAsia="Arial" w:hAnsi="Arial"/>
          <w:sz w:val="18"/>
          <w:szCs w:val="18"/>
          <w:color w:val="auto"/>
        </w:rPr>
      </w:pPr>
    </w:p>
    <w:p>
      <w:pPr>
        <w:ind w:left="860" w:right="260" w:hanging="224"/>
        <w:spacing w:after="0" w:line="26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stock ownership requirements for executive officers, our CEO holds certain equity grants whose payment is deferred until after he leaves the Company.</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compensation actions also are considered in the context of appropriately managing risk.</w:t>
      </w:r>
    </w:p>
    <w:p>
      <w:pPr>
        <w:spacing w:after="0" w:line="90" w:lineRule="exact"/>
        <w:rPr>
          <w:sz w:val="20"/>
          <w:szCs w:val="20"/>
          <w:color w:val="auto"/>
        </w:rPr>
      </w:pPr>
    </w:p>
    <w:p>
      <w:pPr>
        <w:ind w:left="200" w:right="180" w:firstLine="441"/>
        <w:spacing w:after="0" w:line="306" w:lineRule="auto"/>
        <w:rPr>
          <w:sz w:val="20"/>
          <w:szCs w:val="20"/>
          <w:color w:val="auto"/>
        </w:rPr>
      </w:pPr>
      <w:r>
        <w:rPr>
          <w:rFonts w:ascii="Arial" w:cs="Arial" w:eastAsia="Arial" w:hAnsi="Arial"/>
          <w:sz w:val="16"/>
          <w:szCs w:val="16"/>
          <w:color w:val="auto"/>
        </w:rPr>
        <w:t>Overall, we design our compensation programs to attract and retain executives capable of (i) leading our Company, which is more complex and diversified in its business than other medical technology companies of comparable revenues, and (ii) growing our Company more rapidly than peers in the industry, consistent with our long-term objective to become a multi-billion dollar global, diversified, medical technology company.</w:t>
      </w:r>
    </w:p>
    <w:p>
      <w:pPr>
        <w:spacing w:after="0" w:line="26"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determining compensation for our NEOs for 2017, the Company made some decisions, such as performance targets, in advance, while the Company made others, such as the determination of annual cash bonus awards for 2017 under the Bonus Plan and the long-term equity incentive awards, after the performance period concluded and could be evaluated.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Performance</w:t>
      </w:r>
    </w:p>
    <w:p>
      <w:pPr>
        <w:spacing w:after="0" w:line="96"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Integra made considerable changes and progress toward transforming the Company during 2017, as it advanced toward becoming a multi-billion dollar, global medical technology company. In 2017, we evolved our strategy to focus on four key pillars: 1) build an execution-focused culture, 2) achieve relevant scale, 3) improve agility and innovation, and 4) lead in customer excellence. The following represent our key accomplishments in 2017:</w:t>
      </w:r>
    </w:p>
    <w:p>
      <w:pPr>
        <w:spacing w:after="0" w:line="26"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Three-year total return to stockholders for 2015, 2016 and 2017 was 95.3% (compared to 89.4% for our peer group);</w:t>
      </w:r>
    </w:p>
    <w:p>
      <w:pPr>
        <w:spacing w:after="0" w:line="90" w:lineRule="exact"/>
        <w:rPr>
          <w:rFonts w:ascii="Arial" w:cs="Arial" w:eastAsia="Arial" w:hAnsi="Arial"/>
          <w:sz w:val="18"/>
          <w:szCs w:val="18"/>
          <w:color w:val="auto"/>
        </w:rPr>
      </w:pPr>
    </w:p>
    <w:p>
      <w:pPr>
        <w:ind w:left="860" w:right="120" w:hanging="224"/>
        <w:spacing w:after="0" w:line="259"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Acquired and integrated Derma Sciences Inc., expanding our advanced wound care franchise with a broad set of market leading products and nearly doubling the size of our outpatient wound care sales channel. This acquisition also expanded our regenerative portfolio with the addition of an amniotic tissue-based technology platform;</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140" w:hanging="224"/>
        <w:spacing w:after="0" w:line="290"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Closed the acquisition of the Codman Neurosurgery business from Johnson &amp; Johnson, which is the largest acquisition in the Company’s history and is transformational for Integra. The acquisition of the Codman business significantly enhances the Company’s position in the global neurosurgery market by adding a globally recognized brand that includes a broad portfolio of market leading neurosurgery products, and expands our sales channel by 30% inside the U.S. and by 50% outside the U.S. Additionally, the global infrastructure acquired as part of the Codman business accelerates Integra’s plans to expand outside the U.S., and creates the platform through which the balance of Integra’s product portfolio can eventually be marketed and sold globally. The Codman product lines also will be important contributors to achieving Integra’s long-term margin expansion targets;</w:t>
      </w:r>
    </w:p>
    <w:p>
      <w:pPr>
        <w:spacing w:after="0" w:line="37" w:lineRule="exact"/>
        <w:rPr>
          <w:rFonts w:ascii="Arial" w:cs="Arial" w:eastAsia="Arial" w:hAnsi="Arial"/>
          <w:sz w:val="16"/>
          <w:szCs w:val="16"/>
          <w:color w:val="auto"/>
        </w:rPr>
      </w:pPr>
    </w:p>
    <w:p>
      <w:pPr>
        <w:ind w:left="860" w:hanging="224"/>
        <w:spacing w:after="0" w:line="26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Achieved reported revenue growth of 19.8% and organic revenue growth of 4.6% for the full year 2017, while planning for closing and integrating, and then closing and integrating the two largest acquisitions in the Company’s history;</w:t>
      </w:r>
    </w:p>
    <w:p>
      <w:pPr>
        <w:spacing w:after="0" w:line="50" w:lineRule="exact"/>
        <w:rPr>
          <w:rFonts w:ascii="Arial" w:cs="Arial" w:eastAsia="Arial" w:hAnsi="Arial"/>
          <w:sz w:val="18"/>
          <w:szCs w:val="18"/>
          <w:color w:val="auto"/>
        </w:rPr>
      </w:pPr>
    </w:p>
    <w:p>
      <w:pPr>
        <w:ind w:left="860" w:right="220" w:hanging="224"/>
        <w:spacing w:after="0" w:line="26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launched seven new regenerative products, and the CUSA</w:t>
      </w:r>
      <w:r>
        <w:rPr>
          <w:rFonts w:ascii="Arial" w:cs="Arial" w:eastAsia="Arial" w:hAnsi="Arial"/>
          <w:sz w:val="11"/>
          <w:szCs w:val="11"/>
          <w:color w:val="auto"/>
        </w:rPr>
        <w:t>®</w:t>
      </w:r>
      <w:r>
        <w:rPr>
          <w:rFonts w:ascii="Arial" w:cs="Arial" w:eastAsia="Arial" w:hAnsi="Arial"/>
          <w:sz w:val="18"/>
          <w:szCs w:val="18"/>
          <w:color w:val="auto"/>
        </w:rPr>
        <w:t xml:space="preserve"> Clarity ultrasonic tissue ablation platform, as well as effecting multiple new product registrations globally;</w:t>
      </w:r>
    </w:p>
    <w:p>
      <w:pPr>
        <w:spacing w:after="0" w:line="50" w:lineRule="exact"/>
        <w:rPr>
          <w:rFonts w:ascii="Arial" w:cs="Arial" w:eastAsia="Arial" w:hAnsi="Arial"/>
          <w:sz w:val="18"/>
          <w:szCs w:val="18"/>
          <w:color w:val="auto"/>
        </w:rPr>
      </w:pPr>
    </w:p>
    <w:p>
      <w:pPr>
        <w:jc w:val="both"/>
        <w:ind w:left="860" w:right="60" w:hanging="224"/>
        <w:spacing w:after="0" w:line="30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fourth quarter of 2017, the Company initiated a plan to invest in, and expand, our channels within the Orthopedics and Tissue Technologies segment in the U.S. This plan includes a move from two to four dedicated channels and the addition of product specialists at certain call points, all of which should help increase the focus of our sales teams and result in higher sales growth;</w:t>
      </w:r>
    </w:p>
    <w:p>
      <w:pPr>
        <w:spacing w:after="0" w:line="25" w:lineRule="exact"/>
        <w:rPr>
          <w:rFonts w:ascii="Arial" w:cs="Arial" w:eastAsia="Arial" w:hAnsi="Arial"/>
          <w:sz w:val="16"/>
          <w:szCs w:val="16"/>
          <w:color w:val="auto"/>
        </w:rPr>
      </w:pPr>
    </w:p>
    <w:p>
      <w:pPr>
        <w:ind w:left="860" w:right="560" w:hanging="224"/>
        <w:spacing w:after="0" w:line="26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international sales to 30% of the Company’s overall sales, resulting primarily from the contribution of the Codman Neurosurgery acquisition and from strength in sales of products deriving from our regenerative technologies; and,</w:t>
      </w:r>
    </w:p>
    <w:p>
      <w:pPr>
        <w:spacing w:after="0" w:line="50" w:lineRule="exact"/>
        <w:rPr>
          <w:rFonts w:ascii="Arial" w:cs="Arial" w:eastAsia="Arial" w:hAnsi="Arial"/>
          <w:sz w:val="18"/>
          <w:szCs w:val="18"/>
          <w:color w:val="auto"/>
        </w:rPr>
      </w:pPr>
    </w:p>
    <w:p>
      <w:pPr>
        <w:ind w:left="860" w:right="380" w:hanging="224"/>
        <w:spacing w:after="0" w:line="332"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our borrowing capacity from $1.5 billion to $2.2 billion with a $700 million incremental term loan. This expanded facility provided funding for the Codman Neurosurgery acquisition and helps to retain the strength and flexibility of our balance sheet.</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Performance</w:t>
      </w:r>
    </w:p>
    <w:p>
      <w:pPr>
        <w:spacing w:after="0" w:line="9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stock generated a three-year total return for stockholders of 95.3% from 2015 through 2017, compared to 89.4% for our peer group of companies and 45.8% for the NASDAQ Composite Index. For the year ended December 31, 2017, we ranked in the 67</w:t>
      </w:r>
      <w:r>
        <w:rPr>
          <w:rFonts w:ascii="Arial" w:cs="Arial" w:eastAsia="Arial" w:hAnsi="Arial"/>
          <w:sz w:val="11"/>
          <w:szCs w:val="11"/>
          <w:color w:val="auto"/>
        </w:rPr>
        <w:t>th</w:t>
      </w:r>
      <w:r>
        <w:rPr>
          <w:rFonts w:ascii="Arial" w:cs="Arial" w:eastAsia="Arial" w:hAnsi="Arial"/>
          <w:sz w:val="18"/>
          <w:szCs w:val="18"/>
          <w:color w:val="auto"/>
        </w:rPr>
        <w:t xml:space="preserve"> percentile of total returns for the three-year period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5711190" cy="2486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1190"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216"/>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full roster of members of our Peer Group, please refer to the section below entitled “Our Peer Group and the Markets in Which We Compete.”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Linking Financial Performance to Pay in 2017</w:t>
      </w:r>
    </w:p>
    <w:p>
      <w:pPr>
        <w:spacing w:after="0" w:line="90"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In February 2017, the Committee established the threshold objective 162(m) goal (70% of prior year EBITDA) as well as the 2017 performance targets under the Bonus Plan, as illustrated in the chart below.</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5460" w:type="dxa"/>
            <w:vAlign w:val="bottom"/>
            <w:tcBorders>
              <w:top w:val="single" w:sz="8" w:color="auto"/>
              <w:left w:val="single" w:sz="8" w:color="auto"/>
            </w:tcBorders>
          </w:tcPr>
          <w:p>
            <w:pPr>
              <w:spacing w:after="0"/>
              <w:rPr>
                <w:sz w:val="22"/>
                <w:szCs w:val="22"/>
                <w:color w:val="auto"/>
              </w:rPr>
            </w:pPr>
          </w:p>
        </w:tc>
        <w:tc>
          <w:tcPr>
            <w:tcW w:w="37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2017 Target</w:t>
            </w:r>
          </w:p>
        </w:tc>
      </w:tr>
      <w:tr>
        <w:trPr>
          <w:trHeight w:val="210"/>
        </w:trPr>
        <w:tc>
          <w:tcPr>
            <w:tcW w:w="5460" w:type="dxa"/>
            <w:vAlign w:val="bottom"/>
            <w:tcBorders>
              <w:top w:val="single" w:sz="8" w:color="CCEEFF"/>
              <w:lef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3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r>
      <w:tr>
        <w:trPr>
          <w:trHeight w:val="216"/>
        </w:trPr>
        <w:tc>
          <w:tcPr>
            <w:tcW w:w="54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3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256.8</w:t>
            </w: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Million</w:t>
            </w:r>
          </w:p>
        </w:tc>
      </w:tr>
      <w:tr>
        <w:trPr>
          <w:trHeight w:val="216"/>
        </w:trPr>
        <w:tc>
          <w:tcPr>
            <w:tcW w:w="546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398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90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r>
    </w:tbl>
    <w:p>
      <w:pPr>
        <w:spacing w:after="0" w:line="73"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When the Committee met in February of 2017 to establish the targets for 2017 performance, the Committee decided to not factor in any financial effects from the Codman Neurosurgery acquisition because it was uncertain at that time when or if the acquisition would be successfully completed. The acquisition was subsequently closed in October of 2017, and the Company incurred one-time and other acquisition- and integration-related expenses in connection with the transaction, which reduced the Company’s operating cash flow for 2017. The acquisition also had the effect of incrementally increasing the Company’s revenue and Adjusted EBITDA for 2017. The Committee considered these factors when it met in February of 2018 to evaluate the Company’s financial performance for 2017 against the targets. Given the transformational nature of the acquisition and the fact that the impact from the acquisition was not factored into the Committee’s setting of the 2017 targets, the Committee made the determination to exclude the financial effects from the Codman acquisition when measuring the Company’s financial performance against all three targets.</w:t>
      </w:r>
    </w:p>
    <w:p>
      <w:pPr>
        <w:spacing w:after="0" w:line="37" w:lineRule="exact"/>
        <w:rPr>
          <w:sz w:val="20"/>
          <w:szCs w:val="20"/>
          <w:color w:val="auto"/>
        </w:rPr>
      </w:pPr>
    </w:p>
    <w:p>
      <w:pPr>
        <w:ind w:left="200" w:right="240" w:firstLine="441"/>
        <w:spacing w:after="0" w:line="335" w:lineRule="auto"/>
        <w:rPr>
          <w:sz w:val="20"/>
          <w:szCs w:val="20"/>
          <w:color w:val="auto"/>
        </w:rPr>
      </w:pPr>
      <w:r>
        <w:rPr>
          <w:rFonts w:ascii="Arial" w:cs="Arial" w:eastAsia="Arial" w:hAnsi="Arial"/>
          <w:sz w:val="15"/>
          <w:szCs w:val="15"/>
          <w:color w:val="auto"/>
        </w:rPr>
        <w:t>In 2017, with such adjustment, we exceeded our targets for revenue, Adjusted EBITDA and operating cash flow. These results reflect significant progress made during 2017 on a series of strategic initiatives designed to help the Company grow. Our strong financial performance determined how we funded the 2017 pool for cash incentive payments for NEOs. The following is a brief discussion on our year-over-year performance against these metrics:</w:t>
      </w:r>
    </w:p>
    <w:p>
      <w:pPr>
        <w:spacing w:after="0" w:line="7" w:lineRule="exact"/>
        <w:rPr>
          <w:sz w:val="20"/>
          <w:szCs w:val="20"/>
          <w:color w:val="auto"/>
        </w:rPr>
      </w:pPr>
    </w:p>
    <w:p>
      <w:pPr>
        <w:ind w:left="860" w:right="260" w:hanging="224"/>
        <w:spacing w:after="0" w:line="268"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19.8% to $1,188.2 million last year, which, after adjustment to exclude any financial effects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Codman Neurosurgery acquisition, still exceeded our target of $1,070 million;</w:t>
      </w:r>
    </w:p>
    <w:p>
      <w:pPr>
        <w:spacing w:after="0" w:line="50" w:lineRule="exact"/>
        <w:rPr>
          <w:rFonts w:ascii="Arial" w:cs="Arial" w:eastAsia="Arial" w:hAnsi="Arial"/>
          <w:sz w:val="18"/>
          <w:szCs w:val="18"/>
          <w:color w:val="auto"/>
        </w:rPr>
      </w:pPr>
    </w:p>
    <w:p>
      <w:pPr>
        <w:jc w:val="both"/>
        <w:ind w:left="860" w:right="380" w:hanging="224"/>
        <w:spacing w:after="0" w:line="259"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Our Adjusted EBITDA (see “Appendix A — Reconciliations of Non-GAAP Financial Measures”) increased 16.3%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2017 to $269.5 million, which, after adjustment to exclude any financial effects from the Codman Neurosurgery acquisition, still exceeded our target of $256.8 million;</w:t>
      </w:r>
    </w:p>
    <w:p>
      <w:pPr>
        <w:spacing w:after="0" w:line="59" w:lineRule="exact"/>
        <w:rPr>
          <w:rFonts w:ascii="Arial" w:cs="Arial" w:eastAsia="Arial" w:hAnsi="Arial"/>
          <w:sz w:val="18"/>
          <w:szCs w:val="18"/>
          <w:color w:val="auto"/>
        </w:rPr>
      </w:pPr>
    </w:p>
    <w:p>
      <w:pPr>
        <w:ind w:left="860" w:right="200" w:hanging="224"/>
        <w:spacing w:after="0" w:line="332"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While our operating cash flow decreased 1.6% during 2017 to $114.5 million, after adjustment for expenses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and integration of the Codman Neurosurgery business, it exceeded our target of $177.5 million.</w:t>
      </w:r>
    </w:p>
    <w:p>
      <w:pPr>
        <w:spacing w:after="0" w:line="4"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Once the Committee determined the funding of the 2017 pool for cash incentive payments, the Committee considered several additional factors in finalizing the awards to NEOs. The Company successfully met or exceeded its strategic objectives for 2017. The Company successfully closed on the acquisitions of Derma Sciences Inc., and the Codman Neurosurgery business, executed the global release of the next generation CUSA</w:t>
      </w:r>
      <w:r>
        <w:rPr>
          <w:rFonts w:ascii="Arial" w:cs="Arial" w:eastAsia="Arial" w:hAnsi="Arial"/>
          <w:sz w:val="10"/>
          <w:szCs w:val="10"/>
          <w:color w:val="auto"/>
        </w:rPr>
        <w:t>®</w:t>
      </w:r>
      <w:r>
        <w:rPr>
          <w:rFonts w:ascii="Arial" w:cs="Arial" w:eastAsia="Arial" w:hAnsi="Arial"/>
          <w:sz w:val="16"/>
          <w:szCs w:val="16"/>
          <w:color w:val="auto"/>
        </w:rPr>
        <w:t xml:space="preserve"> Clarity tissue ablation system and launched seven new regenerative products. The Company also initiated a U.S. channel investment and expansion plan to move from two to four dedicated channels in its Orthopedics and Tissue Technologies segment, which should increase the focus of our sales teams and result in higher sales growth. Overall, the Committee determined that the Company’s performance exceeded its objectives for 2017 and awarded the NEO pool with cash incentive payments for 2017 that were funded above a 100% target payout.</w:t>
      </w:r>
    </w:p>
    <w:p>
      <w:pPr>
        <w:spacing w:after="0" w:line="37"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Our efforts to link pay and performance also applied to equity awards. The third installment of the PSUs granted to the NEO’s in 2015 vested at target because the Company achieved its 2017 revenue growth goal. The second installment of the PSUs granted to the NEOs in 2016, and the first installment of the PSUs granted to NEOs in 2017, vested at 150% of the target number of shares eligible to vest in 2018 because the Company achieved its 2017 performance goal with revenue growth at the maximum levels. Specifically, revenues increased from $992.1 million in 2016 to $1,188.2 million in 2017, an increase of 19.8%. For more information, please refer to the section below entitled “Refined Long-Term Equity Incentive Plan.”</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for 2017</w:t>
      </w:r>
    </w:p>
    <w:p>
      <w:pPr>
        <w:spacing w:after="0" w:line="9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2017, we continued to evolve our approach to executive compensation based on stockholder feedback. Our executive compensation programs continue to align with metrics that drive total stockholder return and hold management accountable for the Company’s financial performance and progress towards the Company’s strategic objectives and goals.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Incentive Compensation Plan (the “Bonus Plan”)</w:t>
      </w:r>
    </w:p>
    <w:p>
      <w:pPr>
        <w:spacing w:after="0" w:line="90" w:lineRule="exact"/>
        <w:rPr>
          <w:sz w:val="20"/>
          <w:szCs w:val="20"/>
          <w:color w:val="auto"/>
        </w:rPr>
      </w:pPr>
    </w:p>
    <w:p>
      <w:pPr>
        <w:ind w:left="860" w:right="20" w:hanging="224"/>
        <w:spacing w:after="0" w:line="25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approved the Bonus Plan in January 2013, which the full Board then approved in February 2013, and the stockholders then approved in May 2013. In February 2017, the Committee approved an amendment to the Bonus Plan, commencing in performance year 2017, to increase the maximum payout percentage to 200% of target (an increase from 150%) for NEOs, in order to better align pay and performance as well as be more consistent with typical market practice. The Board approved the Bonus Plan in February 2017 and stockholders approved it in May 2017.</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highlights of the Bonus Plan:</w:t>
      </w:r>
    </w:p>
    <w:p>
      <w:pPr>
        <w:spacing w:after="0" w:line="90" w:lineRule="exact"/>
        <w:rPr>
          <w:sz w:val="20"/>
          <w:szCs w:val="20"/>
          <w:color w:val="auto"/>
        </w:rPr>
      </w:pPr>
    </w:p>
    <w:p>
      <w:pPr>
        <w:ind w:left="860" w:right="48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50" w:lineRule="exact"/>
        <w:rPr>
          <w:rFonts w:ascii="Arial" w:cs="Arial" w:eastAsia="Arial" w:hAnsi="Arial"/>
          <w:sz w:val="18"/>
          <w:szCs w:val="18"/>
          <w:color w:val="auto"/>
        </w:rPr>
      </w:pPr>
    </w:p>
    <w:p>
      <w:pPr>
        <w:ind w:left="860" w:right="54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Weighting of metrics to fund the incentive pool for 2017 performance pursuant to a formula that includes percentage weightings for revenue (40%), adjusted EBITDA (30%), and operating cash flow (30%).</w:t>
      </w:r>
    </w:p>
    <w:p>
      <w:pPr>
        <w:spacing w:after="0" w:line="50" w:lineRule="exact"/>
        <w:rPr>
          <w:rFonts w:ascii="Arial" w:cs="Arial" w:eastAsia="Arial" w:hAnsi="Arial"/>
          <w:sz w:val="18"/>
          <w:szCs w:val="18"/>
          <w:color w:val="auto"/>
        </w:rPr>
      </w:pPr>
    </w:p>
    <w:p>
      <w:pPr>
        <w:ind w:left="860" w:right="18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2017 performance, the 2017 NEOs were eligible for cash incentive payments only if the Company achieved its EBITDA goal of at least 70% of its prior year EBITDA.</w:t>
      </w:r>
    </w:p>
    <w:p>
      <w:pPr>
        <w:spacing w:after="0" w:line="50" w:lineRule="exact"/>
        <w:rPr>
          <w:rFonts w:ascii="Arial" w:cs="Arial" w:eastAsia="Arial" w:hAnsi="Arial"/>
          <w:sz w:val="18"/>
          <w:szCs w:val="18"/>
          <w:color w:val="auto"/>
        </w:rPr>
      </w:pPr>
    </w:p>
    <w:p>
      <w:pPr>
        <w:ind w:left="860" w:right="38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(and not increase) the amount of the bonus pool funded, and subsequently the awards to NEOs.</w:t>
      </w:r>
    </w:p>
    <w:p>
      <w:pPr>
        <w:spacing w:after="0" w:line="50" w:lineRule="exact"/>
        <w:rPr>
          <w:rFonts w:ascii="Arial" w:cs="Arial" w:eastAsia="Arial" w:hAnsi="Arial"/>
          <w:sz w:val="18"/>
          <w:szCs w:val="18"/>
          <w:color w:val="auto"/>
        </w:rPr>
      </w:pPr>
    </w:p>
    <w:p>
      <w:pPr>
        <w:ind w:left="860" w:right="140" w:hanging="224"/>
        <w:spacing w:after="0" w:line="268"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NEO in the Bonus Plan has an established target bonus opportunity, with no minimum (that is, the actual payment could be 0%) and a cap at 200% of his or her target.</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Determining Awards for 2017 Performance under the Bonus Plan</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established the following target awards for 2017 performance for the following NEOs:</w:t>
      </w:r>
    </w:p>
    <w:p>
      <w:pPr>
        <w:spacing w:after="0" w:line="78"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640" w:type="dxa"/>
            <w:vAlign w:val="bottom"/>
            <w:tcBorders>
              <w:top w:val="single" w:sz="8" w:color="auto"/>
              <w:left w:val="single" w:sz="8" w:color="auto"/>
              <w:right w:val="single" w:sz="8" w:color="auto"/>
            </w:tcBorders>
          </w:tcPr>
          <w:p>
            <w:pPr>
              <w:spacing w:after="0"/>
              <w:rPr>
                <w:sz w:val="12"/>
                <w:szCs w:val="12"/>
                <w:color w:val="auto"/>
              </w:rPr>
            </w:pPr>
          </w:p>
        </w:tc>
        <w:tc>
          <w:tcPr>
            <w:tcW w:w="4280" w:type="dxa"/>
            <w:vAlign w:val="bottom"/>
            <w:tcBorders>
              <w:top w:val="single" w:sz="8" w:color="auto"/>
              <w:right w:val="single" w:sz="8" w:color="auto"/>
            </w:tcBorders>
          </w:tcPr>
          <w:p>
            <w:pPr>
              <w:spacing w:after="0"/>
              <w:rPr>
                <w:sz w:val="12"/>
                <w:szCs w:val="12"/>
                <w:color w:val="auto"/>
              </w:rPr>
            </w:pPr>
          </w:p>
        </w:tc>
        <w:tc>
          <w:tcPr>
            <w:tcW w:w="3120" w:type="dxa"/>
            <w:vAlign w:val="bottom"/>
            <w:tcBorders>
              <w:top w:val="single" w:sz="8" w:color="auto"/>
              <w:right w:val="single" w:sz="8" w:color="auto"/>
            </w:tcBorders>
          </w:tcPr>
          <w:p>
            <w:pPr>
              <w:jc w:val="center"/>
              <w:ind w:left="1621"/>
              <w:spacing w:after="0" w:line="149" w:lineRule="exact"/>
              <w:rPr>
                <w:sz w:val="20"/>
                <w:szCs w:val="20"/>
                <w:color w:val="auto"/>
              </w:rPr>
            </w:pPr>
            <w:r>
              <w:rPr>
                <w:rFonts w:ascii="Arial" w:cs="Arial" w:eastAsia="Arial" w:hAnsi="Arial"/>
                <w:sz w:val="14"/>
                <w:szCs w:val="14"/>
                <w:b w:val="1"/>
                <w:bCs w:val="1"/>
                <w:color w:val="auto"/>
                <w:w w:val="86"/>
              </w:rPr>
              <w:t>Cash Incentive</w:t>
            </w:r>
          </w:p>
        </w:tc>
      </w:tr>
      <w:tr>
        <w:trPr>
          <w:trHeight w:val="149"/>
        </w:trPr>
        <w:tc>
          <w:tcPr>
            <w:tcW w:w="3640" w:type="dxa"/>
            <w:vAlign w:val="bottom"/>
            <w:tcBorders>
              <w:left w:val="single" w:sz="8" w:color="auto"/>
              <w:right w:val="single" w:sz="8" w:color="auto"/>
            </w:tcBorders>
          </w:tcPr>
          <w:p>
            <w:pPr>
              <w:spacing w:after="0"/>
              <w:rPr>
                <w:sz w:val="12"/>
                <w:szCs w:val="12"/>
                <w:color w:val="auto"/>
              </w:rPr>
            </w:pPr>
          </w:p>
        </w:tc>
        <w:tc>
          <w:tcPr>
            <w:tcW w:w="428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jc w:val="center"/>
              <w:ind w:left="1621"/>
              <w:spacing w:after="0" w:line="149" w:lineRule="exact"/>
              <w:rPr>
                <w:sz w:val="20"/>
                <w:szCs w:val="20"/>
                <w:color w:val="auto"/>
              </w:rPr>
            </w:pPr>
            <w:r>
              <w:rPr>
                <w:rFonts w:ascii="Arial" w:cs="Arial" w:eastAsia="Arial" w:hAnsi="Arial"/>
                <w:sz w:val="14"/>
                <w:szCs w:val="14"/>
                <w:b w:val="1"/>
                <w:bCs w:val="1"/>
                <w:color w:val="auto"/>
                <w:w w:val="86"/>
              </w:rPr>
              <w:t>Plan Target</w:t>
            </w:r>
          </w:p>
        </w:tc>
      </w:tr>
      <w:tr>
        <w:trPr>
          <w:trHeight w:val="149"/>
        </w:trPr>
        <w:tc>
          <w:tcPr>
            <w:tcW w:w="3640" w:type="dxa"/>
            <w:vAlign w:val="bottom"/>
            <w:tcBorders>
              <w:left w:val="single" w:sz="8" w:color="auto"/>
              <w:right w:val="single" w:sz="8" w:color="auto"/>
            </w:tcBorders>
          </w:tcPr>
          <w:p>
            <w:pPr>
              <w:spacing w:after="0"/>
              <w:rPr>
                <w:sz w:val="12"/>
                <w:szCs w:val="12"/>
                <w:color w:val="auto"/>
              </w:rPr>
            </w:pPr>
          </w:p>
        </w:tc>
        <w:tc>
          <w:tcPr>
            <w:tcW w:w="4280" w:type="dxa"/>
            <w:vAlign w:val="bottom"/>
            <w:tcBorders>
              <w:right w:val="single" w:sz="8" w:color="auto"/>
            </w:tcBorders>
          </w:tcPr>
          <w:p>
            <w:pPr>
              <w:spacing w:after="0"/>
              <w:rPr>
                <w:sz w:val="12"/>
                <w:szCs w:val="12"/>
                <w:color w:val="auto"/>
              </w:rPr>
            </w:pPr>
          </w:p>
        </w:tc>
        <w:tc>
          <w:tcPr>
            <w:tcW w:w="3120" w:type="dxa"/>
            <w:vAlign w:val="bottom"/>
            <w:tcBorders>
              <w:right w:val="single" w:sz="8" w:color="auto"/>
            </w:tcBorders>
          </w:tcPr>
          <w:p>
            <w:pPr>
              <w:jc w:val="center"/>
              <w:ind w:left="1601"/>
              <w:spacing w:after="0" w:line="149" w:lineRule="exact"/>
              <w:rPr>
                <w:sz w:val="20"/>
                <w:szCs w:val="20"/>
                <w:color w:val="auto"/>
              </w:rPr>
            </w:pPr>
            <w:r>
              <w:rPr>
                <w:rFonts w:ascii="Arial" w:cs="Arial" w:eastAsia="Arial" w:hAnsi="Arial"/>
                <w:sz w:val="14"/>
                <w:szCs w:val="14"/>
                <w:b w:val="1"/>
                <w:bCs w:val="1"/>
                <w:color w:val="auto"/>
                <w:w w:val="85"/>
              </w:rPr>
              <w:t>as a % of Base</w:t>
            </w:r>
          </w:p>
        </w:tc>
      </w:tr>
      <w:tr>
        <w:trPr>
          <w:trHeight w:val="161"/>
        </w:trPr>
        <w:tc>
          <w:tcPr>
            <w:tcW w:w="3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4280" w:type="dxa"/>
            <w:vAlign w:val="bottom"/>
            <w:tcBorders>
              <w:bottom w:val="single" w:sz="8" w:color="auto"/>
              <w:right w:val="single" w:sz="8" w:color="auto"/>
            </w:tcBorders>
          </w:tcPr>
          <w:p>
            <w:pPr>
              <w:jc w:val="center"/>
              <w:ind w:left="756"/>
              <w:spacing w:after="0"/>
              <w:rPr>
                <w:sz w:val="20"/>
                <w:szCs w:val="20"/>
                <w:color w:val="auto"/>
              </w:rPr>
            </w:pPr>
            <w:r>
              <w:rPr>
                <w:rFonts w:ascii="Arial" w:cs="Arial" w:eastAsia="Arial" w:hAnsi="Arial"/>
                <w:sz w:val="14"/>
                <w:szCs w:val="14"/>
                <w:b w:val="1"/>
                <w:bCs w:val="1"/>
                <w:color w:val="auto"/>
                <w:w w:val="97"/>
              </w:rPr>
              <w:t>Title</w:t>
            </w:r>
          </w:p>
        </w:tc>
        <w:tc>
          <w:tcPr>
            <w:tcW w:w="3120" w:type="dxa"/>
            <w:vAlign w:val="bottom"/>
            <w:tcBorders>
              <w:bottom w:val="single" w:sz="8" w:color="auto"/>
              <w:right w:val="single" w:sz="8" w:color="auto"/>
            </w:tcBorders>
          </w:tcPr>
          <w:p>
            <w:pPr>
              <w:jc w:val="center"/>
              <w:ind w:left="1621"/>
              <w:spacing w:after="0"/>
              <w:rPr>
                <w:sz w:val="20"/>
                <w:szCs w:val="20"/>
                <w:color w:val="auto"/>
              </w:rPr>
            </w:pPr>
            <w:r>
              <w:rPr>
                <w:rFonts w:ascii="Arial" w:cs="Arial" w:eastAsia="Arial" w:hAnsi="Arial"/>
                <w:sz w:val="14"/>
                <w:szCs w:val="14"/>
                <w:b w:val="1"/>
                <w:bCs w:val="1"/>
                <w:color w:val="auto"/>
                <w:w w:val="90"/>
              </w:rPr>
              <w:t>Salary</w:t>
            </w:r>
          </w:p>
        </w:tc>
      </w:tr>
      <w:tr>
        <w:trPr>
          <w:trHeight w:val="210"/>
        </w:trPr>
        <w:tc>
          <w:tcPr>
            <w:tcW w:w="36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Peter J. Arduini</w:t>
            </w:r>
          </w:p>
        </w:tc>
        <w:tc>
          <w:tcPr>
            <w:tcW w:w="4280" w:type="dxa"/>
            <w:vAlign w:val="bottom"/>
            <w:tcBorders>
              <w:bottom w:val="single" w:sz="8" w:color="auto"/>
              <w:right w:val="single" w:sz="8" w:color="auto"/>
            </w:tcBorders>
            <w:shd w:val="clear" w:color="auto" w:fill="CCEEFF"/>
          </w:tcPr>
          <w:p>
            <w:pPr>
              <w:jc w:val="center"/>
              <w:ind w:left="756"/>
              <w:spacing w:after="0"/>
              <w:rPr>
                <w:sz w:val="20"/>
                <w:szCs w:val="20"/>
                <w:color w:val="auto"/>
              </w:rPr>
            </w:pPr>
            <w:r>
              <w:rPr>
                <w:rFonts w:ascii="Arial" w:cs="Arial" w:eastAsia="Arial" w:hAnsi="Arial"/>
                <w:sz w:val="18"/>
                <w:szCs w:val="18"/>
                <w:color w:val="auto"/>
                <w:w w:val="92"/>
              </w:rPr>
              <w:t>CEO</w:t>
            </w:r>
          </w:p>
        </w:tc>
        <w:tc>
          <w:tcPr>
            <w:tcW w:w="3120" w:type="dxa"/>
            <w:vAlign w:val="bottom"/>
            <w:tcBorders>
              <w:bottom w:val="single" w:sz="8" w:color="auto"/>
              <w:right w:val="single" w:sz="8" w:color="auto"/>
            </w:tcBorders>
            <w:shd w:val="clear" w:color="auto" w:fill="CCEEFF"/>
          </w:tcPr>
          <w:p>
            <w:pPr>
              <w:jc w:val="center"/>
              <w:ind w:left="1721"/>
              <w:spacing w:after="0"/>
              <w:rPr>
                <w:sz w:val="20"/>
                <w:szCs w:val="20"/>
                <w:color w:val="auto"/>
              </w:rPr>
            </w:pPr>
            <w:r>
              <w:rPr>
                <w:rFonts w:ascii="Arial" w:cs="Arial" w:eastAsia="Arial" w:hAnsi="Arial"/>
                <w:sz w:val="18"/>
                <w:szCs w:val="18"/>
                <w:color w:val="auto"/>
                <w:w w:val="86"/>
              </w:rPr>
              <w:t>110%</w:t>
            </w:r>
          </w:p>
        </w:tc>
      </w:tr>
      <w:tr>
        <w:trPr>
          <w:trHeight w:val="210"/>
        </w:trPr>
        <w:tc>
          <w:tcPr>
            <w:tcW w:w="3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Glenn G. Coleman</w:t>
            </w:r>
          </w:p>
        </w:tc>
        <w:tc>
          <w:tcPr>
            <w:tcW w:w="4280" w:type="dxa"/>
            <w:vAlign w:val="bottom"/>
            <w:tcBorders>
              <w:bottom w:val="single" w:sz="8" w:color="auto"/>
              <w:right w:val="single" w:sz="8" w:color="auto"/>
            </w:tcBorders>
          </w:tcPr>
          <w:p>
            <w:pPr>
              <w:jc w:val="center"/>
              <w:ind w:left="736"/>
              <w:spacing w:after="0"/>
              <w:rPr>
                <w:sz w:val="20"/>
                <w:szCs w:val="20"/>
                <w:color w:val="auto"/>
              </w:rPr>
            </w:pPr>
            <w:r>
              <w:rPr>
                <w:rFonts w:ascii="Arial" w:cs="Arial" w:eastAsia="Arial" w:hAnsi="Arial"/>
                <w:sz w:val="18"/>
                <w:szCs w:val="18"/>
                <w:color w:val="auto"/>
                <w:w w:val="89"/>
              </w:rPr>
              <w:t>CFO</w:t>
            </w:r>
          </w:p>
        </w:tc>
        <w:tc>
          <w:tcPr>
            <w:tcW w:w="3120" w:type="dxa"/>
            <w:vAlign w:val="bottom"/>
            <w:tcBorders>
              <w:bottom w:val="single" w:sz="8" w:color="auto"/>
              <w:right w:val="single" w:sz="8" w:color="auto"/>
            </w:tcBorders>
          </w:tcPr>
          <w:p>
            <w:pPr>
              <w:jc w:val="center"/>
              <w:ind w:left="1721"/>
              <w:spacing w:after="0"/>
              <w:rPr>
                <w:sz w:val="20"/>
                <w:szCs w:val="20"/>
                <w:color w:val="auto"/>
              </w:rPr>
            </w:pPr>
            <w:r>
              <w:rPr>
                <w:rFonts w:ascii="Arial" w:cs="Arial" w:eastAsia="Arial" w:hAnsi="Arial"/>
                <w:sz w:val="18"/>
                <w:szCs w:val="18"/>
                <w:color w:val="auto"/>
                <w:w w:val="88"/>
              </w:rPr>
              <w:t>75%</w:t>
            </w:r>
          </w:p>
        </w:tc>
      </w:tr>
      <w:tr>
        <w:trPr>
          <w:trHeight w:val="210"/>
        </w:trPr>
        <w:tc>
          <w:tcPr>
            <w:tcW w:w="36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Robert T. Davis, Jr.</w:t>
            </w:r>
          </w:p>
        </w:tc>
        <w:tc>
          <w:tcPr>
            <w:tcW w:w="4280" w:type="dxa"/>
            <w:vAlign w:val="bottom"/>
            <w:tcBorders>
              <w:bottom w:val="single" w:sz="8" w:color="auto"/>
              <w:right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91"/>
              </w:rPr>
              <w:t>CVP</w:t>
            </w:r>
          </w:p>
        </w:tc>
        <w:tc>
          <w:tcPr>
            <w:tcW w:w="3120" w:type="dxa"/>
            <w:vAlign w:val="bottom"/>
            <w:tcBorders>
              <w:bottom w:val="single" w:sz="8" w:color="auto"/>
              <w:right w:val="single" w:sz="8" w:color="auto"/>
            </w:tcBorders>
            <w:shd w:val="clear" w:color="auto" w:fill="CCEEFF"/>
          </w:tcPr>
          <w:p>
            <w:pPr>
              <w:jc w:val="center"/>
              <w:ind w:left="1721"/>
              <w:spacing w:after="0"/>
              <w:rPr>
                <w:sz w:val="20"/>
                <w:szCs w:val="20"/>
                <w:color w:val="auto"/>
              </w:rPr>
            </w:pPr>
            <w:r>
              <w:rPr>
                <w:rFonts w:ascii="Arial" w:cs="Arial" w:eastAsia="Arial" w:hAnsi="Arial"/>
                <w:sz w:val="18"/>
                <w:szCs w:val="18"/>
                <w:color w:val="auto"/>
                <w:w w:val="88"/>
              </w:rPr>
              <w:t>60%</w:t>
            </w:r>
          </w:p>
        </w:tc>
      </w:tr>
      <w:tr>
        <w:trPr>
          <w:trHeight w:val="210"/>
        </w:trPr>
        <w:tc>
          <w:tcPr>
            <w:tcW w:w="3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D. Gorelick</w:t>
            </w:r>
          </w:p>
        </w:tc>
        <w:tc>
          <w:tcPr>
            <w:tcW w:w="4280" w:type="dxa"/>
            <w:vAlign w:val="bottom"/>
            <w:tcBorders>
              <w:bottom w:val="single" w:sz="8" w:color="auto"/>
              <w:right w:val="single" w:sz="8" w:color="auto"/>
            </w:tcBorders>
          </w:tcPr>
          <w:p>
            <w:pPr>
              <w:jc w:val="center"/>
              <w:ind w:left="736"/>
              <w:spacing w:after="0"/>
              <w:rPr>
                <w:sz w:val="20"/>
                <w:szCs w:val="20"/>
                <w:color w:val="auto"/>
              </w:rPr>
            </w:pPr>
            <w:r>
              <w:rPr>
                <w:rFonts w:ascii="Arial" w:cs="Arial" w:eastAsia="Arial" w:hAnsi="Arial"/>
                <w:sz w:val="18"/>
                <w:szCs w:val="18"/>
                <w:color w:val="auto"/>
                <w:w w:val="91"/>
              </w:rPr>
              <w:t>CVP</w:t>
            </w:r>
          </w:p>
        </w:tc>
        <w:tc>
          <w:tcPr>
            <w:tcW w:w="3120" w:type="dxa"/>
            <w:vAlign w:val="bottom"/>
            <w:tcBorders>
              <w:bottom w:val="single" w:sz="8" w:color="auto"/>
              <w:right w:val="single" w:sz="8" w:color="auto"/>
            </w:tcBorders>
          </w:tcPr>
          <w:p>
            <w:pPr>
              <w:jc w:val="center"/>
              <w:ind w:left="1721"/>
              <w:spacing w:after="0"/>
              <w:rPr>
                <w:sz w:val="20"/>
                <w:szCs w:val="20"/>
                <w:color w:val="auto"/>
              </w:rPr>
            </w:pPr>
            <w:r>
              <w:rPr>
                <w:rFonts w:ascii="Arial" w:cs="Arial" w:eastAsia="Arial" w:hAnsi="Arial"/>
                <w:sz w:val="18"/>
                <w:szCs w:val="18"/>
                <w:color w:val="auto"/>
                <w:w w:val="88"/>
              </w:rPr>
              <w:t>45%</w:t>
            </w:r>
          </w:p>
        </w:tc>
      </w:tr>
      <w:tr>
        <w:trPr>
          <w:trHeight w:val="210"/>
        </w:trPr>
        <w:tc>
          <w:tcPr>
            <w:tcW w:w="36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Daniel L. Reuvers</w:t>
            </w:r>
          </w:p>
        </w:tc>
        <w:tc>
          <w:tcPr>
            <w:tcW w:w="4280" w:type="dxa"/>
            <w:vAlign w:val="bottom"/>
            <w:tcBorders>
              <w:bottom w:val="single" w:sz="8" w:color="auto"/>
              <w:right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91"/>
              </w:rPr>
              <w:t>CVP</w:t>
            </w:r>
          </w:p>
        </w:tc>
        <w:tc>
          <w:tcPr>
            <w:tcW w:w="3120" w:type="dxa"/>
            <w:vAlign w:val="bottom"/>
            <w:tcBorders>
              <w:bottom w:val="single" w:sz="8" w:color="auto"/>
              <w:right w:val="single" w:sz="8" w:color="auto"/>
            </w:tcBorders>
            <w:shd w:val="clear" w:color="auto" w:fill="CCEEFF"/>
          </w:tcPr>
          <w:p>
            <w:pPr>
              <w:jc w:val="center"/>
              <w:ind w:left="1721"/>
              <w:spacing w:after="0"/>
              <w:rPr>
                <w:sz w:val="20"/>
                <w:szCs w:val="20"/>
                <w:color w:val="auto"/>
              </w:rPr>
            </w:pPr>
            <w:r>
              <w:rPr>
                <w:rFonts w:ascii="Arial" w:cs="Arial" w:eastAsia="Arial" w:hAnsi="Arial"/>
                <w:sz w:val="18"/>
                <w:szCs w:val="18"/>
                <w:color w:val="auto"/>
                <w:w w:val="88"/>
              </w:rPr>
              <w:t>50%</w:t>
            </w: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NEOs has a cash incentive guarantee. In 2017, no NEO may earn an award in excess of 200% of his/her target.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Threshold Objective for NEOs for 2017 Performance</w:t>
      </w:r>
    </w:p>
    <w:p>
      <w:pPr>
        <w:spacing w:after="0" w:line="90" w:lineRule="exact"/>
        <w:rPr>
          <w:sz w:val="20"/>
          <w:szCs w:val="20"/>
          <w:color w:val="auto"/>
        </w:rPr>
      </w:pPr>
    </w:p>
    <w:p>
      <w:pPr>
        <w:ind w:left="200" w:right="240" w:firstLine="441"/>
        <w:spacing w:after="0" w:line="298" w:lineRule="auto"/>
        <w:rPr>
          <w:sz w:val="20"/>
          <w:szCs w:val="20"/>
          <w:color w:val="auto"/>
        </w:rPr>
      </w:pPr>
      <w:r>
        <w:rPr>
          <w:rFonts w:ascii="Arial" w:cs="Arial" w:eastAsia="Arial" w:hAnsi="Arial"/>
          <w:sz w:val="16"/>
          <w:szCs w:val="16"/>
          <w:color w:val="auto"/>
        </w:rPr>
        <w:t>The Committee established a threshold objective for 2017 performance (70% of prior year Adjusted EBITDA from continuing operations) for the 2017 NEOs based on the prior year’s Adjusted EBITDA, for the purposes of tax deductibility under Section 162(m), because the Committee believes that this is the single most complete metric to assess the Company’s performance. The definition of Adjusted EBITDA for bonus purposes is GAAP net (loss)/income from continuing operations, excluding: (i) depreciation and amortization, (ii) other</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spacing w:after="0" w:line="268" w:lineRule="auto"/>
        <w:rPr>
          <w:sz w:val="20"/>
          <w:szCs w:val="20"/>
          <w:color w:val="auto"/>
        </w:rPr>
      </w:pPr>
      <w:r>
        <w:rPr>
          <w:rFonts w:ascii="Arial" w:cs="Arial" w:eastAsia="Arial" w:hAnsi="Arial"/>
          <w:sz w:val="18"/>
          <w:szCs w:val="18"/>
          <w:color w:val="auto"/>
        </w:rPr>
        <w:t>income (expense), net, (iii) interest income and expense, (iv) income taxes, and (v) those operating expenses also excluded from adjusted net income. The Company achieved this goal in 2017 resulting in funding of the Bonus Plan as stated below.</w:t>
      </w:r>
    </w:p>
    <w:p>
      <w:pPr>
        <w:spacing w:after="0" w:line="51"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Upon achievement of the Adjusted EBITDA goal, the bonus for such NEOs is funded at the maximum (200% of their targets in 2017). Thereafter, the Committee has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Incentive Pool Funding Model for 2017 Performance</w:t>
      </w:r>
    </w:p>
    <w:p>
      <w:pPr>
        <w:spacing w:after="0" w:line="90" w:lineRule="exact"/>
        <w:rPr>
          <w:sz w:val="20"/>
          <w:szCs w:val="20"/>
          <w:color w:val="auto"/>
        </w:rPr>
      </w:pPr>
    </w:p>
    <w:p>
      <w:pPr>
        <w:ind w:left="200" w:right="40" w:firstLine="441"/>
        <w:spacing w:after="0" w:line="332" w:lineRule="auto"/>
        <w:rPr>
          <w:sz w:val="20"/>
          <w:szCs w:val="20"/>
          <w:color w:val="auto"/>
        </w:rPr>
      </w:pPr>
      <w:r>
        <w:rPr>
          <w:rFonts w:ascii="Arial" w:cs="Arial" w:eastAsia="Arial" w:hAnsi="Arial"/>
          <w:sz w:val="16"/>
          <w:szCs w:val="16"/>
          <w:color w:val="auto"/>
        </w:rPr>
        <w:t>The Bonus Plan was designed to fund an overall pool based on financial metrics for all participants. The aggregate amount of the final payments to all participants, including such NEOs, may not exceed the overall funded pool. The Company’s pool funding model for 2017 performance was as follows:</w:t>
      </w:r>
    </w:p>
    <w:p>
      <w:pPr>
        <w:spacing w:after="0" w:line="11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49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89"/>
              </w:rPr>
              <w:t>Performance Goals as a Percent of Target</w:t>
            </w:r>
          </w:p>
        </w:tc>
        <w:tc>
          <w:tcPr>
            <w:tcW w:w="108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4980" w:type="dxa"/>
            <w:vAlign w:val="bottom"/>
            <w:tcBorders>
              <w:left w:val="single" w:sz="8" w:color="auto"/>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8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Below</w:t>
            </w:r>
          </w:p>
        </w:tc>
        <w:tc>
          <w:tcPr>
            <w:tcW w:w="1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THRESHOLD</w:t>
            </w:r>
          </w:p>
        </w:tc>
        <w:tc>
          <w:tcPr>
            <w:tcW w:w="120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auto"/>
            </w:tcBorders>
          </w:tcPr>
          <w:p>
            <w:pPr>
              <w:jc w:val="right"/>
              <w:ind w:right="399"/>
              <w:spacing w:after="0" w:line="129" w:lineRule="exact"/>
              <w:rPr>
                <w:sz w:val="20"/>
                <w:szCs w:val="20"/>
                <w:color w:val="auto"/>
              </w:rPr>
            </w:pPr>
            <w:r>
              <w:rPr>
                <w:rFonts w:ascii="Arial" w:cs="Arial" w:eastAsia="Arial" w:hAnsi="Arial"/>
                <w:sz w:val="14"/>
                <w:szCs w:val="14"/>
                <w:b w:val="1"/>
                <w:bCs w:val="1"/>
                <w:color w:val="auto"/>
              </w:rPr>
              <w:t>MAX</w:t>
            </w:r>
          </w:p>
        </w:tc>
      </w:tr>
      <w:tr>
        <w:trPr>
          <w:trHeight w:val="175"/>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2017 Performance Metric</w:t>
            </w:r>
          </w:p>
        </w:tc>
        <w:tc>
          <w:tcPr>
            <w:tcW w:w="106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Weight</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Threshold</w:t>
            </w:r>
          </w:p>
        </w:tc>
        <w:tc>
          <w:tcPr>
            <w:tcW w:w="1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GOAL</w:t>
            </w:r>
          </w:p>
        </w:tc>
        <w:tc>
          <w:tcPr>
            <w:tcW w:w="120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GOAL</w:t>
            </w:r>
          </w:p>
        </w:tc>
        <w:tc>
          <w:tcPr>
            <w:tcW w:w="108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10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95.9%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10"/>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93%</w:t>
            </w:r>
          </w:p>
        </w:tc>
        <w:tc>
          <w:tcPr>
            <w:tcW w:w="12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210"/>
        </w:trPr>
        <w:tc>
          <w:tcPr>
            <w:tcW w:w="49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10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85%</w:t>
            </w:r>
          </w:p>
        </w:tc>
        <w:tc>
          <w:tcPr>
            <w:tcW w:w="120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10"/>
        </w:trPr>
        <w:tc>
          <w:tcPr>
            <w:tcW w:w="49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Cash Incentive Pool Funding as % of Target</w:t>
            </w:r>
          </w:p>
        </w:tc>
        <w:tc>
          <w:tcPr>
            <w:tcW w:w="10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jc w:val="both"/>
        <w:ind w:left="200" w:right="240" w:firstLine="441"/>
        <w:spacing w:after="0" w:line="306" w:lineRule="auto"/>
        <w:rPr>
          <w:sz w:val="20"/>
          <w:szCs w:val="20"/>
          <w:color w:val="auto"/>
        </w:rPr>
      </w:pPr>
      <w:r>
        <w:rPr>
          <w:rFonts w:ascii="Arial" w:cs="Arial" w:eastAsia="Arial" w:hAnsi="Arial"/>
          <w:sz w:val="16"/>
          <w:szCs w:val="16"/>
          <w:color w:val="auto"/>
        </w:rPr>
        <w:t>The Committee approved these metrics for 2017 performance because they are key indicators as to the strength of the business, and we believe that they drive stockholder returns over the long term. Because the Company’s results exceeded the threshold goals for the performance metrics consisting of revenue, adjusted EBITDA and operating cash flow, as described above, the cash incentive pool was funded for all eligible participants.</w:t>
      </w:r>
    </w:p>
    <w:p>
      <w:pPr>
        <w:spacing w:after="0" w:line="26"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In addition, the Committee approved a one-time bonus modifier for certain NEOs based on successfully meeting the performance objectives listed below related to the acquisition and integration of the Codman Neurosurgery business.</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900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Objectives</w:t>
            </w:r>
          </w:p>
        </w:tc>
        <w:tc>
          <w:tcPr>
            <w:tcW w:w="2040" w:type="dxa"/>
            <w:vAlign w:val="bottom"/>
            <w:tcBorders>
              <w:top w:val="single" w:sz="8" w:color="auto"/>
              <w:bottom w:val="single" w:sz="8" w:color="auto"/>
              <w:right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Weightings</w:t>
            </w:r>
          </w:p>
        </w:tc>
      </w:tr>
      <w:tr>
        <w:trPr>
          <w:trHeight w:val="210"/>
        </w:trPr>
        <w:tc>
          <w:tcPr>
            <w:tcW w:w="380" w:type="dxa"/>
            <w:vAlign w:val="bottom"/>
            <w:tcBorders>
              <w:left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Close in early Q4 2017</w:t>
            </w:r>
          </w:p>
        </w:tc>
        <w:tc>
          <w:tcPr>
            <w:tcW w:w="2040" w:type="dxa"/>
            <w:vAlign w:val="bottom"/>
            <w:tcBorders>
              <w:bottom w:val="single" w:sz="8" w:color="auto"/>
              <w:right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75%</w:t>
            </w:r>
          </w:p>
        </w:tc>
      </w:tr>
      <w:tr>
        <w:trPr>
          <w:trHeight w:val="210"/>
        </w:trPr>
        <w:tc>
          <w:tcPr>
            <w:tcW w:w="38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Achieve Q4 2017 revenues in Day 1 countries that are no worse than a 3% decline from Q3 2017</w:t>
            </w:r>
          </w:p>
        </w:tc>
        <w:tc>
          <w:tcPr>
            <w:tcW w:w="20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8"/>
                <w:szCs w:val="18"/>
                <w:color w:val="auto"/>
              </w:rPr>
              <w:t>25%</w:t>
            </w:r>
          </w:p>
        </w:tc>
      </w:tr>
    </w:tbl>
    <w:p>
      <w:pPr>
        <w:spacing w:after="0" w:line="73" w:lineRule="exact"/>
        <w:rPr>
          <w:sz w:val="20"/>
          <w:szCs w:val="20"/>
          <w:color w:val="auto"/>
        </w:rPr>
      </w:pPr>
    </w:p>
    <w:p>
      <w:pPr>
        <w:ind w:left="200" w:right="140"/>
        <w:spacing w:after="0" w:line="256" w:lineRule="auto"/>
        <w:rPr>
          <w:sz w:val="20"/>
          <w:szCs w:val="20"/>
          <w:color w:val="auto"/>
        </w:rPr>
      </w:pPr>
      <w:r>
        <w:rPr>
          <w:rFonts w:ascii="Arial" w:cs="Arial" w:eastAsia="Arial" w:hAnsi="Arial"/>
          <w:sz w:val="18"/>
          <w:szCs w:val="18"/>
          <w:color w:val="auto"/>
        </w:rPr>
        <w:t>The objectives related to the Codman Neurosurgery acquisition were successfully met, and an amount equal to 11.5% of the cash incentive pool was added as a one-time bonus modifier to create the overall funded pool. Of these additional monies, 78% was allocated to colleagues below the executive level for their significant contributions related to Codman. The remainder was allocated to NEOs based on their contributions toward achieving a successful acquisition and integration</w:t>
      </w:r>
      <w:r>
        <w:rPr>
          <w:rFonts w:ascii="Arial" w:cs="Arial" w:eastAsia="Arial" w:hAnsi="Arial"/>
          <w:sz w:val="18"/>
          <w:szCs w:val="18"/>
          <w:i w:val="1"/>
          <w:iCs w:val="1"/>
          <w:color w:val="auto"/>
        </w:rPr>
        <w: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Negative Discretion to Determine Final Payout for 2017 Performance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has negative discretion to reduce awards for each NEO for 2017 performance based on the following metrics:</w:t>
      </w:r>
    </w:p>
    <w:p>
      <w:pPr>
        <w:spacing w:after="0" w:line="90" w:lineRule="exact"/>
        <w:rPr>
          <w:sz w:val="20"/>
          <w:szCs w:val="20"/>
          <w:color w:val="auto"/>
        </w:rPr>
      </w:pPr>
    </w:p>
    <w:p>
      <w:pPr>
        <w:ind w:left="860" w:right="300" w:hanging="224"/>
        <w:spacing w:after="0" w:line="268"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in addition to other division-specific financial metrics.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Determining Awards for 2018 Performance under the Bonus Plan</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Committee reviews competitive benchmark data for our NEOs annually. For 2018, the Committee established the following target awards for the following NEOs based on competitive benchmarking:</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5380" w:type="dxa"/>
            <w:vAlign w:val="bottom"/>
            <w:tcBorders>
              <w:top w:val="single" w:sz="8" w:color="auto"/>
              <w:left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spacing w:after="0"/>
              <w:rPr>
                <w:sz w:val="12"/>
                <w:szCs w:val="12"/>
                <w:color w:val="auto"/>
              </w:rPr>
            </w:pPr>
          </w:p>
        </w:tc>
        <w:tc>
          <w:tcPr>
            <w:tcW w:w="3500" w:type="dxa"/>
            <w:vAlign w:val="bottom"/>
            <w:tcBorders>
              <w:top w:val="single" w:sz="8" w:color="auto"/>
              <w:right w:val="single" w:sz="8" w:color="auto"/>
            </w:tcBorders>
          </w:tcPr>
          <w:p>
            <w:pPr>
              <w:jc w:val="right"/>
              <w:ind w:right="938"/>
              <w:spacing w:after="0" w:line="149" w:lineRule="exact"/>
              <w:rPr>
                <w:sz w:val="20"/>
                <w:szCs w:val="20"/>
                <w:color w:val="auto"/>
              </w:rPr>
            </w:pPr>
            <w:r>
              <w:rPr>
                <w:rFonts w:ascii="Arial" w:cs="Arial" w:eastAsia="Arial" w:hAnsi="Arial"/>
                <w:sz w:val="14"/>
                <w:szCs w:val="14"/>
                <w:b w:val="1"/>
                <w:bCs w:val="1"/>
                <w:color w:val="auto"/>
              </w:rPr>
              <w:t>Cash Incentive Plan Target</w:t>
            </w:r>
          </w:p>
        </w:tc>
      </w:tr>
      <w:tr>
        <w:trPr>
          <w:trHeight w:val="175"/>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4"/>
                <w:szCs w:val="14"/>
                <w:b w:val="1"/>
                <w:bCs w:val="1"/>
                <w:color w:val="auto"/>
                <w:w w:val="90"/>
              </w:rPr>
              <w:t>Title</w:t>
            </w:r>
          </w:p>
        </w:tc>
        <w:tc>
          <w:tcPr>
            <w:tcW w:w="3500" w:type="dxa"/>
            <w:vAlign w:val="bottom"/>
            <w:tcBorders>
              <w:bottom w:val="single" w:sz="8" w:color="auto"/>
              <w:right w:val="single" w:sz="8" w:color="auto"/>
            </w:tcBorders>
          </w:tcPr>
          <w:p>
            <w:pPr>
              <w:jc w:val="right"/>
              <w:ind w:right="1098"/>
              <w:spacing w:after="0"/>
              <w:rPr>
                <w:sz w:val="20"/>
                <w:szCs w:val="20"/>
                <w:color w:val="auto"/>
              </w:rPr>
            </w:pPr>
            <w:r>
              <w:rPr>
                <w:rFonts w:ascii="Arial" w:cs="Arial" w:eastAsia="Arial" w:hAnsi="Arial"/>
                <w:sz w:val="14"/>
                <w:szCs w:val="14"/>
                <w:b w:val="1"/>
                <w:bCs w:val="1"/>
                <w:color w:val="auto"/>
              </w:rPr>
              <w:t>as a % of Base Salary</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Peter J. Arduini</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87"/>
              </w:rPr>
              <w:t>CEO</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120%</w:t>
            </w:r>
          </w:p>
        </w:tc>
      </w:tr>
      <w:tr>
        <w:trPr>
          <w:trHeight w:val="210"/>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Glenn G. Coleman</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8"/>
                <w:szCs w:val="18"/>
                <w:color w:val="auto"/>
                <w:w w:val="89"/>
              </w:rPr>
              <w:t>CFO</w:t>
            </w:r>
          </w:p>
        </w:tc>
        <w:tc>
          <w:tcPr>
            <w:tcW w:w="3500" w:type="dxa"/>
            <w:vAlign w:val="bottom"/>
            <w:tcBorders>
              <w:bottom w:val="single" w:sz="8" w:color="auto"/>
              <w:right w:val="single" w:sz="8" w:color="auto"/>
            </w:tcBorders>
          </w:tcPr>
          <w:p>
            <w:pPr>
              <w:jc w:val="right"/>
              <w:ind w:right="798"/>
              <w:spacing w:after="0"/>
              <w:rPr>
                <w:sz w:val="20"/>
                <w:szCs w:val="20"/>
                <w:color w:val="auto"/>
              </w:rPr>
            </w:pPr>
            <w:r>
              <w:rPr>
                <w:rFonts w:ascii="Arial" w:cs="Arial" w:eastAsia="Arial" w:hAnsi="Arial"/>
                <w:sz w:val="18"/>
                <w:szCs w:val="18"/>
                <w:color w:val="auto"/>
              </w:rPr>
              <w:t>80%</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Robert T. Davis, Jr.</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60%</w:t>
            </w:r>
          </w:p>
        </w:tc>
      </w:tr>
      <w:tr>
        <w:trPr>
          <w:trHeight w:val="210"/>
        </w:trPr>
        <w:tc>
          <w:tcPr>
            <w:tcW w:w="5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D. Gorelick</w:t>
            </w:r>
          </w:p>
        </w:tc>
        <w:tc>
          <w:tcPr>
            <w:tcW w:w="2160" w:type="dxa"/>
            <w:vAlign w:val="bottom"/>
            <w:tcBorders>
              <w:bottom w:val="single" w:sz="8" w:color="auto"/>
              <w:right w:val="single" w:sz="8" w:color="auto"/>
            </w:tcBorders>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tcPr>
          <w:p>
            <w:pPr>
              <w:jc w:val="right"/>
              <w:ind w:right="798"/>
              <w:spacing w:after="0"/>
              <w:rPr>
                <w:sz w:val="20"/>
                <w:szCs w:val="20"/>
                <w:color w:val="auto"/>
              </w:rPr>
            </w:pPr>
            <w:r>
              <w:rPr>
                <w:rFonts w:ascii="Arial" w:cs="Arial" w:eastAsia="Arial" w:hAnsi="Arial"/>
                <w:sz w:val="18"/>
                <w:szCs w:val="18"/>
                <w:color w:val="auto"/>
              </w:rPr>
              <w:t>50%</w:t>
            </w:r>
          </w:p>
        </w:tc>
      </w:tr>
      <w:tr>
        <w:trPr>
          <w:trHeight w:val="210"/>
        </w:trPr>
        <w:tc>
          <w:tcPr>
            <w:tcW w:w="5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Daniel L. Reuvers</w:t>
            </w:r>
          </w:p>
        </w:tc>
        <w:tc>
          <w:tcPr>
            <w:tcW w:w="2160" w:type="dxa"/>
            <w:vAlign w:val="bottom"/>
            <w:tcBorders>
              <w:bottom w:val="single" w:sz="8" w:color="auto"/>
              <w:right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91"/>
              </w:rPr>
              <w:t>CVP</w:t>
            </w:r>
          </w:p>
        </w:tc>
        <w:tc>
          <w:tcPr>
            <w:tcW w:w="3500" w:type="dxa"/>
            <w:vAlign w:val="bottom"/>
            <w:tcBorders>
              <w:bottom w:val="single" w:sz="8" w:color="auto"/>
              <w:right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rPr>
              <w:t>60%</w:t>
            </w:r>
          </w:p>
        </w:tc>
      </w:tr>
    </w:tbl>
    <w:p>
      <w:pPr>
        <w:spacing w:after="0" w:line="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NEOs has a cash incentive guarantee. None may earn an award in excess of 200% of his/her target for the 2018 performance year</w:t>
      </w:r>
      <w:r>
        <w:rPr>
          <w:rFonts w:ascii="Arial" w:cs="Arial" w:eastAsia="Arial" w:hAnsi="Arial"/>
          <w:sz w:val="16"/>
          <w:szCs w:val="16"/>
          <w:b w:val="1"/>
          <w:bCs w:val="1"/>
          <w:color w:val="auto"/>
        </w:rPr>
        <w: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Threshold Objective for NEOs for 2018 Performance</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The Committee has established a threshold objective for 2018 performance of 70% of prior year Adjusted EBITDA for the NEOs. If the goal is achieved, the bonus for each NEO will be funded at the maximum (200% of his or her target). Thereafter, the Committee may exercise only negative discretion in determining the actual cash incentive payment for each NEO, using only the funding of the Company’s annual cash incentive pool pursuant to the metrics set forth in the table below and each NEO’s performance.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Incentive Pool Funding Model for 2018 Performance</w:t>
      </w:r>
    </w:p>
    <w:p>
      <w:pPr>
        <w:spacing w:after="0" w:line="90"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The Bonus Plan funds an overall pool based on financial metrics for all participants. The aggregate amount of the final payments to all participants, including the NEOs, may not exceed the overall funded pool. The Company’s pool funding model for 2018 performance is shown below. The Committee approved a change to the weighting of these metrics to provide greater focus on revenue and Adjusted EBITDA. These metrics, for 2018 performance, continue to be key indicators as to the strength of the business, and we believe they drive stockholder returns over the long term. In addition, these metrics provide a sound basis to measure profitability and growth, and we also believe that it is appropriate to utilize them because many stockholders rely upon some or all of these metrics to evaluate the Company.</w:t>
      </w:r>
    </w:p>
    <w:p>
      <w:pPr>
        <w:spacing w:after="0" w:line="149"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300" w:type="dxa"/>
            <w:vAlign w:val="bottom"/>
            <w:tcBorders>
              <w:top w:val="single" w:sz="8" w:color="auto"/>
              <w:bottom w:val="single" w:sz="8" w:color="auto"/>
              <w:right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spacing w:after="0"/>
              <w:rPr>
                <w:sz w:val="22"/>
                <w:szCs w:val="22"/>
                <w:color w:val="auto"/>
              </w:rPr>
            </w:pPr>
          </w:p>
        </w:tc>
        <w:tc>
          <w:tcPr>
            <w:tcW w:w="3200" w:type="dxa"/>
            <w:vAlign w:val="bottom"/>
            <w:tcBorders>
              <w:top w:val="single" w:sz="8" w:color="auto"/>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w w:val="94"/>
              </w:rPr>
              <w:t>Performance Goals as a Percent of Target</w:t>
            </w:r>
          </w:p>
        </w:tc>
        <w:tc>
          <w:tcPr>
            <w:tcW w:w="134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372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right"/>
              <w:ind w:right="539"/>
              <w:spacing w:after="0" w:line="129" w:lineRule="exact"/>
              <w:rPr>
                <w:sz w:val="20"/>
                <w:szCs w:val="20"/>
                <w:color w:val="auto"/>
              </w:rPr>
            </w:pPr>
            <w:r>
              <w:rPr>
                <w:rFonts w:ascii="Arial" w:cs="Arial" w:eastAsia="Arial" w:hAnsi="Arial"/>
                <w:sz w:val="14"/>
                <w:szCs w:val="14"/>
                <w:b w:val="1"/>
                <w:bCs w:val="1"/>
                <w:color w:val="auto"/>
              </w:rPr>
              <w:t>Below</w:t>
            </w:r>
          </w:p>
        </w:tc>
        <w:tc>
          <w:tcPr>
            <w:tcW w:w="1740" w:type="dxa"/>
            <w:vAlign w:val="bottom"/>
            <w:tcBorders>
              <w:right w:val="single" w:sz="8" w:color="auto"/>
            </w:tcBorders>
          </w:tcPr>
          <w:p>
            <w:pPr>
              <w:jc w:val="right"/>
              <w:ind w:right="401"/>
              <w:spacing w:after="0" w:line="129" w:lineRule="exact"/>
              <w:rPr>
                <w:sz w:val="20"/>
                <w:szCs w:val="20"/>
                <w:color w:val="auto"/>
              </w:rPr>
            </w:pPr>
            <w:r>
              <w:rPr>
                <w:rFonts w:ascii="Arial" w:cs="Arial" w:eastAsia="Arial" w:hAnsi="Arial"/>
                <w:sz w:val="14"/>
                <w:szCs w:val="14"/>
                <w:b w:val="1"/>
                <w:bCs w:val="1"/>
                <w:color w:val="auto"/>
              </w:rPr>
              <w:t>THRESHOLD</w:t>
            </w:r>
          </w:p>
        </w:tc>
        <w:tc>
          <w:tcPr>
            <w:tcW w:w="1460" w:type="dxa"/>
            <w:vAlign w:val="bottom"/>
            <w:tcBorders>
              <w:right w:val="single" w:sz="8" w:color="auto"/>
            </w:tcBorders>
          </w:tcPr>
          <w:p>
            <w:pPr>
              <w:jc w:val="right"/>
              <w:ind w:right="399"/>
              <w:spacing w:after="0" w:line="129" w:lineRule="exact"/>
              <w:rPr>
                <w:sz w:val="20"/>
                <w:szCs w:val="20"/>
                <w:color w:val="auto"/>
              </w:rPr>
            </w:pPr>
            <w:r>
              <w:rPr>
                <w:rFonts w:ascii="Arial" w:cs="Arial" w:eastAsia="Arial" w:hAnsi="Arial"/>
                <w:sz w:val="14"/>
                <w:szCs w:val="14"/>
                <w:b w:val="1"/>
                <w:bCs w:val="1"/>
                <w:color w:val="auto"/>
              </w:rPr>
              <w:t>TARGET</w:t>
            </w:r>
          </w:p>
        </w:tc>
        <w:tc>
          <w:tcPr>
            <w:tcW w:w="1340" w:type="dxa"/>
            <w:vAlign w:val="bottom"/>
            <w:tcBorders>
              <w:right w:val="single" w:sz="8" w:color="auto"/>
            </w:tcBorders>
          </w:tcPr>
          <w:p>
            <w:pPr>
              <w:jc w:val="right"/>
              <w:ind w:right="479"/>
              <w:spacing w:after="0" w:line="129" w:lineRule="exact"/>
              <w:rPr>
                <w:sz w:val="20"/>
                <w:szCs w:val="20"/>
                <w:color w:val="auto"/>
              </w:rPr>
            </w:pPr>
            <w:r>
              <w:rPr>
                <w:rFonts w:ascii="Arial" w:cs="Arial" w:eastAsia="Arial" w:hAnsi="Arial"/>
                <w:sz w:val="14"/>
                <w:szCs w:val="14"/>
                <w:b w:val="1"/>
                <w:bCs w:val="1"/>
                <w:color w:val="auto"/>
              </w:rPr>
              <w:t>MAX</w:t>
            </w:r>
          </w:p>
        </w:tc>
      </w:tr>
      <w:tr>
        <w:trPr>
          <w:trHeight w:val="175"/>
        </w:trPr>
        <w:tc>
          <w:tcPr>
            <w:tcW w:w="3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2018 Performance Metric</w:t>
            </w:r>
          </w:p>
        </w:tc>
        <w:tc>
          <w:tcPr>
            <w:tcW w:w="1300" w:type="dxa"/>
            <w:vAlign w:val="bottom"/>
            <w:tcBorders>
              <w:bottom w:val="single" w:sz="8" w:color="auto"/>
              <w:right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Weight</w:t>
            </w:r>
          </w:p>
        </w:tc>
        <w:tc>
          <w:tcPr>
            <w:tcW w:w="148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Threshold</w:t>
            </w:r>
          </w:p>
        </w:tc>
        <w:tc>
          <w:tcPr>
            <w:tcW w:w="174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GOAL</w:t>
            </w:r>
          </w:p>
        </w:tc>
        <w:tc>
          <w:tcPr>
            <w:tcW w:w="146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GOAL</w:t>
            </w:r>
          </w:p>
        </w:tc>
        <w:tc>
          <w:tcPr>
            <w:tcW w:w="13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GOAL</w:t>
            </w:r>
          </w:p>
        </w:tc>
      </w:tr>
      <w:tr>
        <w:trPr>
          <w:trHeight w:val="210"/>
        </w:trPr>
        <w:tc>
          <w:tcPr>
            <w:tcW w:w="37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REVENUE</w:t>
            </w:r>
          </w:p>
        </w:tc>
        <w:tc>
          <w:tcPr>
            <w:tcW w:w="1300" w:type="dxa"/>
            <w:vAlign w:val="bottom"/>
            <w:tcBorders>
              <w:bottom w:val="single" w:sz="8" w:color="auto"/>
              <w:right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95.9%</w:t>
            </w:r>
          </w:p>
        </w:tc>
        <w:tc>
          <w:tcPr>
            <w:tcW w:w="1740" w:type="dxa"/>
            <w:vAlign w:val="bottom"/>
            <w:tcBorders>
              <w:bottom w:val="single" w:sz="8" w:color="auto"/>
              <w:right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rPr>
              <w:t>96%</w:t>
            </w:r>
          </w:p>
        </w:tc>
        <w:tc>
          <w:tcPr>
            <w:tcW w:w="146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104%</w:t>
            </w:r>
          </w:p>
        </w:tc>
      </w:tr>
      <w:tr>
        <w:trPr>
          <w:trHeight w:val="210"/>
        </w:trPr>
        <w:tc>
          <w:tcPr>
            <w:tcW w:w="3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tcBorders>
              <w:bottom w:val="single" w:sz="8" w:color="auto"/>
              <w:right w:val="single" w:sz="8" w:color="auto"/>
            </w:tcBorders>
          </w:tcPr>
          <w:p>
            <w:pPr>
              <w:jc w:val="right"/>
              <w:ind w:right="257"/>
              <w:spacing w:after="0"/>
              <w:rPr>
                <w:sz w:val="20"/>
                <w:szCs w:val="20"/>
                <w:color w:val="auto"/>
              </w:rPr>
            </w:pPr>
            <w:r>
              <w:rPr>
                <w:rFonts w:ascii="Arial" w:cs="Arial" w:eastAsia="Arial" w:hAnsi="Arial"/>
                <w:sz w:val="18"/>
                <w:szCs w:val="18"/>
                <w:color w:val="auto"/>
              </w:rPr>
              <w:t>40%</w:t>
            </w:r>
          </w:p>
        </w:tc>
        <w:tc>
          <w:tcPr>
            <w:tcW w:w="14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8"/>
                <w:szCs w:val="18"/>
                <w:color w:val="auto"/>
              </w:rPr>
              <w:t>92.9%</w:t>
            </w:r>
          </w:p>
        </w:tc>
        <w:tc>
          <w:tcPr>
            <w:tcW w:w="174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8"/>
                <w:szCs w:val="18"/>
                <w:color w:val="auto"/>
              </w:rPr>
              <w:t>93%</w:t>
            </w:r>
          </w:p>
        </w:tc>
        <w:tc>
          <w:tcPr>
            <w:tcW w:w="146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107%</w:t>
            </w:r>
          </w:p>
        </w:tc>
      </w:tr>
      <w:tr>
        <w:trPr>
          <w:trHeight w:val="210"/>
        </w:trPr>
        <w:tc>
          <w:tcPr>
            <w:tcW w:w="37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CASH FLOW</w:t>
            </w:r>
          </w:p>
        </w:tc>
        <w:tc>
          <w:tcPr>
            <w:tcW w:w="1300" w:type="dxa"/>
            <w:vAlign w:val="bottom"/>
            <w:tcBorders>
              <w:bottom w:val="single" w:sz="8" w:color="auto"/>
              <w:right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84.9%</w:t>
            </w:r>
          </w:p>
        </w:tc>
        <w:tc>
          <w:tcPr>
            <w:tcW w:w="1740" w:type="dxa"/>
            <w:vAlign w:val="bottom"/>
            <w:tcBorders>
              <w:bottom w:val="single" w:sz="8" w:color="auto"/>
              <w:right w:val="single" w:sz="8" w:color="auto"/>
            </w:tcBorders>
            <w:shd w:val="clear" w:color="auto" w:fill="CCEEFF"/>
          </w:tcPr>
          <w:p>
            <w:pPr>
              <w:jc w:val="right"/>
              <w:ind w:right="261"/>
              <w:spacing w:after="0"/>
              <w:rPr>
                <w:sz w:val="20"/>
                <w:szCs w:val="20"/>
                <w:color w:val="auto"/>
              </w:rPr>
            </w:pPr>
            <w:r>
              <w:rPr>
                <w:rFonts w:ascii="Arial" w:cs="Arial" w:eastAsia="Arial" w:hAnsi="Arial"/>
                <w:sz w:val="18"/>
                <w:szCs w:val="18"/>
                <w:color w:val="auto"/>
              </w:rPr>
              <w:t>85%</w:t>
            </w:r>
          </w:p>
        </w:tc>
        <w:tc>
          <w:tcPr>
            <w:tcW w:w="146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115%</w:t>
            </w:r>
          </w:p>
        </w:tc>
      </w:tr>
      <w:tr>
        <w:trPr>
          <w:trHeight w:val="210"/>
        </w:trPr>
        <w:tc>
          <w:tcPr>
            <w:tcW w:w="3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Cash Incentive Pool Funding as % of Target</w:t>
            </w:r>
          </w:p>
        </w:tc>
        <w:tc>
          <w:tcPr>
            <w:tcW w:w="13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8"/>
                <w:szCs w:val="18"/>
                <w:color w:val="auto"/>
              </w:rPr>
              <w:t>0%</w:t>
            </w:r>
          </w:p>
        </w:tc>
        <w:tc>
          <w:tcPr>
            <w:tcW w:w="174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150%</w:t>
            </w:r>
          </w:p>
        </w:tc>
      </w:tr>
    </w:tbl>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Discretion to Determine Final Payout for 2018 Performance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has discretion to reduce awards for each NEO for 2018 performance based on the following metrics:</w:t>
      </w:r>
    </w:p>
    <w:p>
      <w:pPr>
        <w:spacing w:after="0" w:line="90" w:lineRule="exact"/>
        <w:rPr>
          <w:sz w:val="20"/>
          <w:szCs w:val="20"/>
          <w:color w:val="auto"/>
        </w:rPr>
      </w:pPr>
    </w:p>
    <w:p>
      <w:pPr>
        <w:ind w:left="860" w:right="400" w:hanging="224"/>
        <w:spacing w:after="0" w:line="268"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and other division-specific financial metrics.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Equity Incentive Plan</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Equity Grants</w:t>
      </w:r>
    </w:p>
    <w:p>
      <w:pPr>
        <w:spacing w:after="0" w:line="90" w:lineRule="exact"/>
        <w:rPr>
          <w:sz w:val="20"/>
          <w:szCs w:val="20"/>
          <w:color w:val="auto"/>
        </w:rPr>
      </w:pPr>
    </w:p>
    <w:p>
      <w:pPr>
        <w:ind w:left="860" w:right="60" w:hanging="224"/>
        <w:spacing w:after="0" w:line="255"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under certain circumstances the return of compensation received on the basis of financial statements that are subsequently restated.</w:t>
      </w:r>
    </w:p>
    <w:p>
      <w:pPr>
        <w:spacing w:after="0" w:line="61" w:lineRule="exact"/>
        <w:rPr>
          <w:rFonts w:ascii="Arial" w:cs="Arial" w:eastAsia="Arial" w:hAnsi="Arial"/>
          <w:sz w:val="18"/>
          <w:szCs w:val="18"/>
          <w:color w:val="auto"/>
        </w:rPr>
      </w:pPr>
    </w:p>
    <w:p>
      <w:pPr>
        <w:ind w:left="860" w:right="280" w:hanging="224"/>
        <w:spacing w:after="0" w:line="268"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2017 annual equity grant to each of our NEOs was based on their performance over the long term and, during 2016, each NEO’s long-term potential, retention considerations and information about the market for comparable executives.</w:t>
      </w:r>
    </w:p>
    <w:p>
      <w:pPr>
        <w:spacing w:after="0" w:line="50" w:lineRule="exact"/>
        <w:rPr>
          <w:rFonts w:ascii="Arial" w:cs="Arial" w:eastAsia="Arial" w:hAnsi="Arial"/>
          <w:sz w:val="18"/>
          <w:szCs w:val="18"/>
          <w:color w:val="auto"/>
        </w:rPr>
      </w:pPr>
    </w:p>
    <w:p>
      <w:pPr>
        <w:ind w:left="860" w:right="40" w:hanging="224"/>
        <w:spacing w:after="0" w:line="284"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March 2017, Messrs. Coleman, Davis, Gorelick, and Reuvers received an annual equity grant consisting of 50% PSUs, 30% non-qualified stock options, and 20% restricted stock. The restricted stock awarded to the NEOs vests annually over three years. The PSUs vest annually over three years, contingent on achieving our revenue growth goal. The non-qualified stock options vest annually over four years (other than for</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Mr. Coleman, whose non-qualified stock options vest annually over three years).</w:t>
      </w:r>
    </w:p>
    <w:p>
      <w:pPr>
        <w:spacing w:after="0" w:line="83" w:lineRule="exact"/>
        <w:rPr>
          <w:rFonts w:ascii="Arial" w:cs="Arial" w:eastAsia="Arial" w:hAnsi="Arial"/>
          <w:sz w:val="16"/>
          <w:szCs w:val="16"/>
          <w:color w:val="auto"/>
        </w:rPr>
      </w:pPr>
    </w:p>
    <w:p>
      <w:pPr>
        <w:ind w:left="860" w:right="300" w:hanging="224"/>
        <w:spacing w:after="0" w:line="332"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March 2017, Mr. Arduini received an annual equity grant of 50% PSUs, 30% non-qualified stock options, and 20% restricted stock unit. For more information on Mr. Arduini’s 2017 annual equity grant, please refer to section entitled Annual Review of Compensation.</w:t>
      </w:r>
    </w:p>
    <w:p>
      <w:pPr>
        <w:spacing w:after="0" w:line="4" w:lineRule="exact"/>
        <w:rPr>
          <w:rFonts w:ascii="Arial" w:cs="Arial" w:eastAsia="Arial" w:hAnsi="Arial"/>
          <w:sz w:val="16"/>
          <w:szCs w:val="16"/>
          <w:color w:val="auto"/>
        </w:rPr>
      </w:pPr>
    </w:p>
    <w:p>
      <w:pPr>
        <w:ind w:left="860" w:hanging="224"/>
        <w:spacing w:after="0" w:line="290"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PSUs granted in March 2017 will vest in annual installments (assuming the annual revenue growth performance goal is achieved each year) with a three-year performance period beginning January 1, 2017 and ending December 31, 2019. The target revenue levels also increased for the 2017 PSU cycle from previous cycles to increase the rigor of the program and align with the company’s long-term business strategy and growth targets. Each NEO is eligible to vest in and receive a number of shares of the Company’s common stock ranging from zero percent (0%) to one-hundred and fifty percent (150%) of the target number of shares of performance stock granted based on the Company’s achievement of goals relating to the increase in the Company’s annual revenue over the initial revenue target, defined as the Company’s revenue for the fiscal year ended December 31, 2016, including partial revenue for the 2017</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360"/>
        <w:spacing w:after="0" w:line="268" w:lineRule="auto"/>
        <w:rPr>
          <w:sz w:val="20"/>
          <w:szCs w:val="20"/>
          <w:color w:val="auto"/>
        </w:rPr>
      </w:pPr>
      <w:r>
        <w:rPr>
          <w:rFonts w:ascii="Arial" w:cs="Arial" w:eastAsia="Arial" w:hAnsi="Arial"/>
          <w:sz w:val="18"/>
          <w:szCs w:val="18"/>
          <w:color w:val="auto"/>
        </w:rPr>
        <w:t>acquisition of Derma Sciences, during each fiscal year of the performance period running from January 1, 2017 through December 31, 2019 as detailed below:</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380" w:type="dxa"/>
            <w:vAlign w:val="bottom"/>
            <w:tcBorders>
              <w:top w:val="single" w:sz="8" w:color="auto"/>
              <w:left w:val="single" w:sz="8" w:color="auto"/>
              <w:right w:val="single" w:sz="8" w:color="auto"/>
            </w:tcBorders>
          </w:tcPr>
          <w:p>
            <w:pPr>
              <w:spacing w:after="0"/>
              <w:rPr>
                <w:sz w:val="12"/>
                <w:szCs w:val="12"/>
                <w:color w:val="auto"/>
              </w:rPr>
            </w:pPr>
          </w:p>
        </w:tc>
        <w:tc>
          <w:tcPr>
            <w:tcW w:w="3360" w:type="dxa"/>
            <w:vAlign w:val="bottom"/>
            <w:tcBorders>
              <w:top w:val="single" w:sz="8" w:color="auto"/>
              <w:right w:val="single" w:sz="8" w:color="auto"/>
            </w:tcBorders>
          </w:tcPr>
          <w:p>
            <w:pPr>
              <w:jc w:val="right"/>
              <w:ind w:right="959"/>
              <w:spacing w:after="0" w:line="149" w:lineRule="exact"/>
              <w:rPr>
                <w:sz w:val="20"/>
                <w:szCs w:val="20"/>
                <w:color w:val="auto"/>
              </w:rPr>
            </w:pPr>
            <w:r>
              <w:rPr>
                <w:rFonts w:ascii="Arial" w:cs="Arial" w:eastAsia="Arial" w:hAnsi="Arial"/>
                <w:sz w:val="14"/>
                <w:szCs w:val="14"/>
                <w:b w:val="1"/>
                <w:bCs w:val="1"/>
                <w:color w:val="auto"/>
              </w:rPr>
              <w:t>Increase in Annual</w:t>
            </w:r>
          </w:p>
        </w:tc>
        <w:tc>
          <w:tcPr>
            <w:tcW w:w="3300" w:type="dxa"/>
            <w:vAlign w:val="bottom"/>
            <w:tcBorders>
              <w:top w:val="single" w:sz="8" w:color="auto"/>
              <w:right w:val="single" w:sz="8" w:color="auto"/>
            </w:tcBorders>
          </w:tcPr>
          <w:p>
            <w:pPr>
              <w:spacing w:after="0"/>
              <w:rPr>
                <w:sz w:val="12"/>
                <w:szCs w:val="12"/>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3360" w:type="dxa"/>
            <w:vAlign w:val="bottom"/>
            <w:tcBorders>
              <w:right w:val="single" w:sz="8" w:color="auto"/>
            </w:tcBorders>
          </w:tcPr>
          <w:p>
            <w:pPr>
              <w:jc w:val="center"/>
              <w:ind w:left="159"/>
              <w:spacing w:after="0" w:line="149" w:lineRule="exact"/>
              <w:rPr>
                <w:sz w:val="20"/>
                <w:szCs w:val="20"/>
                <w:color w:val="auto"/>
              </w:rPr>
            </w:pPr>
            <w:r>
              <w:rPr>
                <w:rFonts w:ascii="Arial" w:cs="Arial" w:eastAsia="Arial" w:hAnsi="Arial"/>
                <w:sz w:val="14"/>
                <w:szCs w:val="14"/>
                <w:b w:val="1"/>
                <w:bCs w:val="1"/>
                <w:color w:val="auto"/>
                <w:w w:val="85"/>
              </w:rPr>
              <w:t>Revenue over the</w:t>
            </w:r>
          </w:p>
        </w:tc>
        <w:tc>
          <w:tcPr>
            <w:tcW w:w="3300" w:type="dxa"/>
            <w:vAlign w:val="bottom"/>
            <w:tcBorders>
              <w:right w:val="single" w:sz="8" w:color="auto"/>
            </w:tcBorders>
          </w:tcPr>
          <w:p>
            <w:pPr>
              <w:spacing w:after="0"/>
              <w:rPr>
                <w:sz w:val="12"/>
                <w:szCs w:val="12"/>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3360" w:type="dxa"/>
            <w:vAlign w:val="bottom"/>
            <w:tcBorders>
              <w:right w:val="single" w:sz="8" w:color="auto"/>
            </w:tcBorders>
          </w:tcPr>
          <w:p>
            <w:pPr>
              <w:jc w:val="center"/>
              <w:ind w:left="179"/>
              <w:spacing w:after="0" w:line="149" w:lineRule="exact"/>
              <w:rPr>
                <w:sz w:val="20"/>
                <w:szCs w:val="20"/>
                <w:color w:val="auto"/>
              </w:rPr>
            </w:pPr>
            <w:r>
              <w:rPr>
                <w:rFonts w:ascii="Arial" w:cs="Arial" w:eastAsia="Arial" w:hAnsi="Arial"/>
                <w:sz w:val="14"/>
                <w:szCs w:val="14"/>
                <w:b w:val="1"/>
                <w:bCs w:val="1"/>
                <w:color w:val="auto"/>
                <w:w w:val="85"/>
              </w:rPr>
              <w:t>Baseline (Fiscal</w:t>
            </w:r>
          </w:p>
        </w:tc>
        <w:tc>
          <w:tcPr>
            <w:tcW w:w="3300" w:type="dxa"/>
            <w:vAlign w:val="bottom"/>
            <w:tcBorders>
              <w:right w:val="single" w:sz="8" w:color="auto"/>
            </w:tcBorders>
          </w:tcPr>
          <w:p>
            <w:pPr>
              <w:spacing w:after="0"/>
              <w:rPr>
                <w:sz w:val="12"/>
                <w:szCs w:val="12"/>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3360" w:type="dxa"/>
            <w:vAlign w:val="bottom"/>
            <w:tcBorders>
              <w:right w:val="single" w:sz="8" w:color="auto"/>
            </w:tcBorders>
          </w:tcPr>
          <w:p>
            <w:pPr>
              <w:jc w:val="center"/>
              <w:ind w:left="179"/>
              <w:spacing w:after="0" w:line="149" w:lineRule="exact"/>
              <w:rPr>
                <w:sz w:val="20"/>
                <w:szCs w:val="20"/>
                <w:color w:val="auto"/>
              </w:rPr>
            </w:pPr>
            <w:r>
              <w:rPr>
                <w:rFonts w:ascii="Arial" w:cs="Arial" w:eastAsia="Arial" w:hAnsi="Arial"/>
                <w:sz w:val="14"/>
                <w:szCs w:val="14"/>
                <w:b w:val="1"/>
                <w:bCs w:val="1"/>
                <w:color w:val="auto"/>
                <w:w w:val="87"/>
              </w:rPr>
              <w:t>2016 plus Partial year</w:t>
            </w:r>
          </w:p>
        </w:tc>
        <w:tc>
          <w:tcPr>
            <w:tcW w:w="3300" w:type="dxa"/>
            <w:vAlign w:val="bottom"/>
            <w:tcBorders>
              <w:right w:val="single" w:sz="8" w:color="auto"/>
            </w:tcBorders>
          </w:tcPr>
          <w:p>
            <w:pPr>
              <w:spacing w:after="0"/>
              <w:rPr>
                <w:sz w:val="12"/>
                <w:szCs w:val="12"/>
                <w:color w:val="auto"/>
              </w:rPr>
            </w:pPr>
          </w:p>
        </w:tc>
      </w:tr>
      <w:tr>
        <w:trPr>
          <w:trHeight w:val="149"/>
        </w:trPr>
        <w:tc>
          <w:tcPr>
            <w:tcW w:w="4380" w:type="dxa"/>
            <w:vAlign w:val="bottom"/>
            <w:tcBorders>
              <w:left w:val="single" w:sz="8" w:color="auto"/>
              <w:right w:val="single" w:sz="8" w:color="auto"/>
            </w:tcBorders>
          </w:tcPr>
          <w:p>
            <w:pPr>
              <w:spacing w:after="0"/>
              <w:rPr>
                <w:sz w:val="12"/>
                <w:szCs w:val="12"/>
                <w:color w:val="auto"/>
              </w:rPr>
            </w:pPr>
          </w:p>
        </w:tc>
        <w:tc>
          <w:tcPr>
            <w:tcW w:w="3360" w:type="dxa"/>
            <w:vAlign w:val="bottom"/>
            <w:tcBorders>
              <w:right w:val="single" w:sz="8" w:color="auto"/>
            </w:tcBorders>
          </w:tcPr>
          <w:p>
            <w:pPr>
              <w:jc w:val="center"/>
              <w:ind w:left="119"/>
              <w:spacing w:after="0" w:line="149" w:lineRule="exact"/>
              <w:rPr>
                <w:sz w:val="20"/>
                <w:szCs w:val="20"/>
                <w:color w:val="auto"/>
              </w:rPr>
            </w:pPr>
            <w:r>
              <w:rPr>
                <w:rFonts w:ascii="Arial" w:cs="Arial" w:eastAsia="Arial" w:hAnsi="Arial"/>
                <w:sz w:val="14"/>
                <w:szCs w:val="14"/>
                <w:b w:val="1"/>
                <w:bCs w:val="1"/>
                <w:color w:val="auto"/>
                <w:w w:val="85"/>
              </w:rPr>
              <w:t>Derma Sciences)</w:t>
            </w:r>
          </w:p>
        </w:tc>
        <w:tc>
          <w:tcPr>
            <w:tcW w:w="3300" w:type="dxa"/>
            <w:vAlign w:val="bottom"/>
            <w:tcBorders>
              <w:right w:val="single" w:sz="8" w:color="auto"/>
            </w:tcBorders>
          </w:tcPr>
          <w:p>
            <w:pPr>
              <w:jc w:val="right"/>
              <w:ind w:right="835"/>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75"/>
        </w:trPr>
        <w:tc>
          <w:tcPr>
            <w:tcW w:w="4380" w:type="dxa"/>
            <w:vAlign w:val="bottom"/>
            <w:tcBorders>
              <w:left w:val="single" w:sz="8" w:color="auto"/>
              <w:bottom w:val="single" w:sz="8" w:color="auto"/>
              <w:right w:val="single" w:sz="8" w:color="auto"/>
            </w:tcBorders>
          </w:tcPr>
          <w:p>
            <w:pPr>
              <w:spacing w:after="0"/>
              <w:rPr>
                <w:sz w:val="15"/>
                <w:szCs w:val="15"/>
                <w:color w:val="auto"/>
              </w:rPr>
            </w:pPr>
          </w:p>
        </w:tc>
        <w:tc>
          <w:tcPr>
            <w:tcW w:w="33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85"/>
              </w:rPr>
              <w:t>Revenue Level</w:t>
            </w:r>
          </w:p>
        </w:tc>
        <w:tc>
          <w:tcPr>
            <w:tcW w:w="3300" w:type="dxa"/>
            <w:vAlign w:val="bottom"/>
            <w:tcBorders>
              <w:bottom w:val="single" w:sz="8" w:color="auto"/>
              <w:right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Vesting Percentage</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2017 PERFORMANCE YEAR</w:t>
            </w:r>
          </w:p>
        </w:tc>
        <w:tc>
          <w:tcPr>
            <w:tcW w:w="3360" w:type="dxa"/>
            <w:vAlign w:val="bottom"/>
            <w:tcBorders>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380" w:type="dxa"/>
            <w:vAlign w:val="bottom"/>
            <w:tcBorders>
              <w:left w:val="single" w:sz="8" w:color="auto"/>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&lt; 3%</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3%</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50%</w:t>
            </w:r>
          </w:p>
        </w:tc>
      </w:tr>
      <w:tr>
        <w:trPr>
          <w:trHeight w:val="210"/>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7%</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100%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³ 11%</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150%</w:t>
            </w:r>
          </w:p>
        </w:tc>
      </w:tr>
      <w:tr>
        <w:trPr>
          <w:trHeight w:val="210"/>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2018 PERFORMANCE YEAR</w:t>
            </w:r>
          </w:p>
        </w:tc>
        <w:tc>
          <w:tcPr>
            <w:tcW w:w="3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r>
      <w:tr>
        <w:trPr>
          <w:trHeight w:val="210"/>
        </w:trPr>
        <w:tc>
          <w:tcPr>
            <w:tcW w:w="43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&lt; 6%</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0%</w:t>
            </w:r>
          </w:p>
        </w:tc>
      </w:tr>
      <w:tr>
        <w:trPr>
          <w:trHeight w:val="210"/>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Threshold Level</w:t>
            </w: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6%</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50%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Target Level</w:t>
            </w: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14%</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100%</w:t>
            </w:r>
          </w:p>
        </w:tc>
      </w:tr>
      <w:tr>
        <w:trPr>
          <w:trHeight w:val="210"/>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Maximum Level</w:t>
            </w: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³ 22%</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150%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2019 PERFORMANCE YEAR</w:t>
            </w:r>
          </w:p>
        </w:tc>
        <w:tc>
          <w:tcPr>
            <w:tcW w:w="3360" w:type="dxa"/>
            <w:vAlign w:val="bottom"/>
            <w:tcBorders>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380" w:type="dxa"/>
            <w:vAlign w:val="bottom"/>
            <w:tcBorders>
              <w:left w:val="single" w:sz="8" w:color="auto"/>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&lt; 9%</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9%</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50%</w:t>
            </w:r>
          </w:p>
        </w:tc>
      </w:tr>
      <w:tr>
        <w:trPr>
          <w:trHeight w:val="210"/>
        </w:trPr>
        <w:tc>
          <w:tcPr>
            <w:tcW w:w="4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36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8"/>
                <w:szCs w:val="18"/>
                <w:color w:val="auto"/>
              </w:rPr>
              <w:t>21%</w:t>
            </w:r>
          </w:p>
        </w:tc>
        <w:tc>
          <w:tcPr>
            <w:tcW w:w="330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8"/>
                <w:szCs w:val="18"/>
                <w:color w:val="auto"/>
              </w:rPr>
              <w:t>100%</w:t>
            </w:r>
          </w:p>
        </w:tc>
      </w:tr>
      <w:tr>
        <w:trPr>
          <w:trHeight w:val="210"/>
        </w:trPr>
        <w:tc>
          <w:tcPr>
            <w:tcW w:w="43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360" w:type="dxa"/>
            <w:vAlign w:val="bottom"/>
            <w:tcBorders>
              <w:bottom w:val="single" w:sz="8" w:color="auto"/>
              <w:right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³ 33%</w:t>
            </w:r>
          </w:p>
        </w:tc>
        <w:tc>
          <w:tcPr>
            <w:tcW w:w="3300" w:type="dxa"/>
            <w:vAlign w:val="bottom"/>
            <w:tcBorders>
              <w:bottom w:val="single" w:sz="8" w:color="auto"/>
              <w:right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860" w:right="80" w:hanging="224"/>
        <w:spacing w:after="0" w:line="294"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increase in annual revenue over the initial revenue target for any performance year falls between the threshold level and the target level, then the performance vesting percentage shall be determined by means of linear interpolation between the threshold level’s and target level’s performance vesting percentages specified above. If the increase in annual revenue over the initial revenue target for any performance year falls between the target level and the maximum level, then the performance vesting percentage shall be determined by means of linear interpolation between the target level’s and maximum level’s performance vesting percentages specified above.</w:t>
      </w:r>
    </w:p>
    <w:p>
      <w:pPr>
        <w:spacing w:after="0" w:line="34" w:lineRule="exact"/>
        <w:rPr>
          <w:rFonts w:ascii="Arial" w:cs="Arial" w:eastAsia="Arial" w:hAnsi="Arial"/>
          <w:sz w:val="16"/>
          <w:szCs w:val="16"/>
          <w:color w:val="auto"/>
        </w:rPr>
      </w:pPr>
    </w:p>
    <w:p>
      <w:pPr>
        <w:ind w:left="860" w:right="200" w:hanging="224"/>
        <w:spacing w:after="0" w:line="306"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or higher, and the Company achieves the “catch-up” goal defined as a target cumulative revenue growth rate goal over the three-year performance period,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Equity Grants</w:t>
      </w:r>
    </w:p>
    <w:p>
      <w:pPr>
        <w:spacing w:after="0" w:line="90" w:lineRule="exact"/>
        <w:rPr>
          <w:sz w:val="20"/>
          <w:szCs w:val="20"/>
          <w:color w:val="auto"/>
        </w:rPr>
      </w:pPr>
    </w:p>
    <w:p>
      <w:pPr>
        <w:ind w:left="860" w:right="100" w:hanging="224"/>
        <w:spacing w:after="0" w:line="30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annual equity grants are intended to provide long-term incentive and performance-based compensation to our NEOs. Accordingly, the amount of the 2018 annual equity grant made to each of our NEOs is based on their performance over the long term and during 2017, each NEO’s long-term potential and retention considerations, and information about market practices for comparable executives.</w:t>
      </w:r>
    </w:p>
    <w:p>
      <w:pPr>
        <w:spacing w:after="0" w:line="25" w:lineRule="exact"/>
        <w:rPr>
          <w:rFonts w:ascii="Arial" w:cs="Arial" w:eastAsia="Arial" w:hAnsi="Arial"/>
          <w:sz w:val="16"/>
          <w:szCs w:val="16"/>
          <w:color w:val="auto"/>
        </w:rPr>
      </w:pPr>
    </w:p>
    <w:p>
      <w:pPr>
        <w:ind w:left="860" w:right="120" w:hanging="224"/>
        <w:spacing w:after="0" w:line="30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March 2018, Messrs. Coleman, Davis, Gorelick, and Reuvers each received an annual equity grant consisting of 50% PSUs, 30% non-qualified stock options, and 20% restricted stock. The restricted stock vests annually over three years. For 2018, the Committee approved a change to the PSU annual metric from revenue growth to organic revenue growth excluding divestitures and discontinued products. The</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120"/>
        <w:spacing w:after="0" w:line="298" w:lineRule="auto"/>
        <w:rPr>
          <w:sz w:val="20"/>
          <w:szCs w:val="20"/>
          <w:color w:val="auto"/>
        </w:rPr>
      </w:pPr>
      <w:r>
        <w:rPr>
          <w:rFonts w:ascii="Arial" w:cs="Arial" w:eastAsia="Arial" w:hAnsi="Arial"/>
          <w:sz w:val="16"/>
          <w:szCs w:val="16"/>
          <w:color w:val="auto"/>
        </w:rPr>
        <w:t>PSUs will continue to vest annually over three years but will be measured against the immediately preceding fiscal year’s annual organic revenue. The non-qualified stock options vest annually over four years (other than for Mr. Coleman whose non-qualified stock options vest annually over three years). For information on the CEO’s 2018 annual equity award (50% PSUs, 30% non-qualified stock options, and 20% restricted stock units), please refer to the section below entitled “Annual Review of Compensation.”</w:t>
      </w:r>
    </w:p>
    <w:p>
      <w:pPr>
        <w:spacing w:after="0" w:line="32" w:lineRule="exact"/>
        <w:rPr>
          <w:sz w:val="20"/>
          <w:szCs w:val="20"/>
          <w:color w:val="auto"/>
        </w:rPr>
      </w:pPr>
    </w:p>
    <w:p>
      <w:pPr>
        <w:ind w:left="860" w:right="180" w:hanging="224"/>
        <w:spacing w:after="0" w:line="314" w:lineRule="auto"/>
        <w:tabs>
          <w:tab w:leader="none" w:pos="8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PSUs granted in March 2018 will vest in annual installments (assuming the annual organic revenue level of growth increased over the immediately preceding fiscal year target) with a three-year performance period beginning January 1, 2018 and ending December 31, 2020. Each NEO is eligible to vest in and receive a number of shares of the Company’s common stock ranging from fifty percent (50%) at threshold to one-hundred and fifty percent (150%) of the target number of shares of performance stock granted based on the Company’s achievement of goals relating to the growth in the Company’s annual organic revenue, excluding divestitures and discontinued products, over the prior year’s organic revenue amount during each fiscal year of the performance period running from January 1, 2018 through December 31, 2020 as detailed below:</w:t>
      </w:r>
    </w:p>
    <w:p>
      <w:pPr>
        <w:spacing w:after="0" w:line="133"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480" w:type="dxa"/>
            <w:vAlign w:val="bottom"/>
            <w:tcBorders>
              <w:top w:val="single" w:sz="8" w:color="auto"/>
              <w:left w:val="single" w:sz="8" w:color="auto"/>
              <w:right w:val="single" w:sz="8" w:color="auto"/>
            </w:tcBorders>
          </w:tcPr>
          <w:p>
            <w:pPr>
              <w:spacing w:after="0"/>
              <w:rPr>
                <w:sz w:val="12"/>
                <w:szCs w:val="12"/>
                <w:color w:val="auto"/>
              </w:rPr>
            </w:pPr>
          </w:p>
        </w:tc>
        <w:tc>
          <w:tcPr>
            <w:tcW w:w="3240" w:type="dxa"/>
            <w:vAlign w:val="bottom"/>
            <w:tcBorders>
              <w:top w:val="single" w:sz="8" w:color="auto"/>
              <w:right w:val="single" w:sz="8" w:color="auto"/>
            </w:tcBorders>
          </w:tcPr>
          <w:p>
            <w:pPr>
              <w:jc w:val="right"/>
              <w:ind w:right="922"/>
              <w:spacing w:after="0" w:line="149" w:lineRule="exact"/>
              <w:rPr>
                <w:sz w:val="20"/>
                <w:szCs w:val="20"/>
                <w:color w:val="auto"/>
              </w:rPr>
            </w:pPr>
            <w:r>
              <w:rPr>
                <w:rFonts w:ascii="Arial" w:cs="Arial" w:eastAsia="Arial" w:hAnsi="Arial"/>
                <w:sz w:val="14"/>
                <w:szCs w:val="14"/>
                <w:b w:val="1"/>
                <w:bCs w:val="1"/>
                <w:color w:val="auto"/>
              </w:rPr>
              <w:t>Growth in Annual</w:t>
            </w:r>
          </w:p>
        </w:tc>
        <w:tc>
          <w:tcPr>
            <w:tcW w:w="33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Borders>
              <w:left w:val="single" w:sz="8" w:color="auto"/>
              <w:right w:val="single" w:sz="8" w:color="auto"/>
            </w:tcBorders>
          </w:tcPr>
          <w:p>
            <w:pPr>
              <w:spacing w:after="0"/>
              <w:rPr>
                <w:sz w:val="12"/>
                <w:szCs w:val="12"/>
                <w:color w:val="auto"/>
              </w:rPr>
            </w:pPr>
          </w:p>
        </w:tc>
        <w:tc>
          <w:tcPr>
            <w:tcW w:w="3240" w:type="dxa"/>
            <w:vAlign w:val="bottom"/>
            <w:tcBorders>
              <w:right w:val="single" w:sz="8" w:color="auto"/>
            </w:tcBorders>
          </w:tcPr>
          <w:p>
            <w:pPr>
              <w:jc w:val="center"/>
              <w:ind w:left="182"/>
              <w:spacing w:after="0" w:line="149" w:lineRule="exact"/>
              <w:rPr>
                <w:sz w:val="20"/>
                <w:szCs w:val="20"/>
                <w:color w:val="auto"/>
              </w:rPr>
            </w:pPr>
            <w:r>
              <w:rPr>
                <w:rFonts w:ascii="Arial" w:cs="Arial" w:eastAsia="Arial" w:hAnsi="Arial"/>
                <w:sz w:val="14"/>
                <w:szCs w:val="14"/>
                <w:b w:val="1"/>
                <w:bCs w:val="1"/>
                <w:color w:val="auto"/>
                <w:w w:val="88"/>
              </w:rPr>
              <w:t>Organic Revenue</w:t>
            </w:r>
          </w:p>
        </w:tc>
        <w:tc>
          <w:tcPr>
            <w:tcW w:w="3320" w:type="dxa"/>
            <w:vAlign w:val="bottom"/>
            <w:tcBorders>
              <w:right w:val="single" w:sz="8" w:color="auto"/>
            </w:tcBorders>
            <w:vMerge w:val="restart"/>
          </w:tcPr>
          <w:p>
            <w:pPr>
              <w:jc w:val="right"/>
              <w:ind w:right="839"/>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35"/>
        </w:trPr>
        <w:tc>
          <w:tcPr>
            <w:tcW w:w="4480" w:type="dxa"/>
            <w:vAlign w:val="bottom"/>
            <w:tcBorders>
              <w:left w:val="single" w:sz="8" w:color="auto"/>
              <w:right w:val="single" w:sz="8" w:color="auto"/>
            </w:tcBorders>
          </w:tcPr>
          <w:p>
            <w:pPr>
              <w:spacing w:after="0"/>
              <w:rPr>
                <w:sz w:val="11"/>
                <w:szCs w:val="11"/>
                <w:color w:val="auto"/>
              </w:rPr>
            </w:pPr>
          </w:p>
        </w:tc>
        <w:tc>
          <w:tcPr>
            <w:tcW w:w="3240" w:type="dxa"/>
            <w:vAlign w:val="bottom"/>
            <w:tcBorders>
              <w:right w:val="single" w:sz="8" w:color="auto"/>
            </w:tcBorders>
          </w:tcPr>
          <w:p>
            <w:pPr>
              <w:jc w:val="center"/>
              <w:ind w:left="182"/>
              <w:spacing w:after="0" w:line="135" w:lineRule="exact"/>
              <w:rPr>
                <w:sz w:val="20"/>
                <w:szCs w:val="20"/>
                <w:color w:val="auto"/>
              </w:rPr>
            </w:pPr>
            <w:r>
              <w:rPr>
                <w:rFonts w:ascii="Arial" w:cs="Arial" w:eastAsia="Arial" w:hAnsi="Arial"/>
                <w:sz w:val="14"/>
                <w:szCs w:val="14"/>
                <w:b w:val="1"/>
                <w:bCs w:val="1"/>
                <w:color w:val="auto"/>
                <w:w w:val="93"/>
              </w:rPr>
              <w:t>over Prior Year</w:t>
            </w:r>
          </w:p>
        </w:tc>
        <w:tc>
          <w:tcPr>
            <w:tcW w:w="33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80" w:type="dxa"/>
            <w:vAlign w:val="bottom"/>
            <w:tcBorders>
              <w:left w:val="single" w:sz="8" w:color="auto"/>
              <w:bottom w:val="single" w:sz="8" w:color="auto"/>
              <w:right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88"/>
              </w:rPr>
              <w:t>Organic Revenue</w:t>
            </w:r>
          </w:p>
        </w:tc>
        <w:tc>
          <w:tcPr>
            <w:tcW w:w="3320" w:type="dxa"/>
            <w:vAlign w:val="bottom"/>
            <w:tcBorders>
              <w:bottom w:val="single" w:sz="8" w:color="auto"/>
              <w:right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Vesting Percentage</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PERFORMANCE YEAR</w:t>
            </w:r>
          </w:p>
        </w:tc>
        <w:tc>
          <w:tcPr>
            <w:tcW w:w="3240" w:type="dxa"/>
            <w:vAlign w:val="bottom"/>
            <w:tcBorders>
              <w:bottom w:val="single" w:sz="8" w:color="auto"/>
              <w:right w:val="single" w:sz="8" w:color="auto"/>
            </w:tcBorders>
            <w:shd w:val="clear" w:color="auto" w:fill="CCEEFF"/>
          </w:tcPr>
          <w:p>
            <w:pPr>
              <w:spacing w:after="0"/>
              <w:rPr>
                <w:sz w:val="18"/>
                <w:szCs w:val="18"/>
                <w:color w:val="auto"/>
              </w:rPr>
            </w:pPr>
          </w:p>
        </w:tc>
        <w:tc>
          <w:tcPr>
            <w:tcW w:w="33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jc w:val="right"/>
              <w:ind w:right="702"/>
              <w:spacing w:after="0"/>
              <w:rPr>
                <w:sz w:val="20"/>
                <w:szCs w:val="20"/>
                <w:color w:val="auto"/>
              </w:rPr>
            </w:pPr>
            <w:r>
              <w:rPr>
                <w:rFonts w:ascii="Arial" w:cs="Arial" w:eastAsia="Arial" w:hAnsi="Arial"/>
                <w:sz w:val="18"/>
                <w:szCs w:val="18"/>
                <w:color w:val="auto"/>
              </w:rPr>
              <w:t>&lt; 2%</w:t>
            </w:r>
          </w:p>
        </w:tc>
        <w:tc>
          <w:tcPr>
            <w:tcW w:w="33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Threshold Level</w:t>
            </w:r>
          </w:p>
        </w:tc>
        <w:tc>
          <w:tcPr>
            <w:tcW w:w="3240" w:type="dxa"/>
            <w:vAlign w:val="bottom"/>
            <w:tcBorders>
              <w:bottom w:val="single" w:sz="8" w:color="auto"/>
              <w:right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rPr>
              <w:t>2%</w:t>
            </w:r>
          </w:p>
        </w:tc>
        <w:tc>
          <w:tcPr>
            <w:tcW w:w="3320" w:type="dxa"/>
            <w:vAlign w:val="bottom"/>
            <w:tcBorders>
              <w:bottom w:val="single" w:sz="8" w:color="auto"/>
              <w:right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Target Level</w:t>
            </w:r>
          </w:p>
        </w:tc>
        <w:tc>
          <w:tcPr>
            <w:tcW w:w="3240" w:type="dxa"/>
            <w:vAlign w:val="bottom"/>
            <w:tcBorders>
              <w:bottom w:val="single" w:sz="8" w:color="auto"/>
              <w:right w:val="single" w:sz="8" w:color="auto"/>
            </w:tcBorders>
          </w:tcPr>
          <w:p>
            <w:pPr>
              <w:jc w:val="right"/>
              <w:ind w:right="702"/>
              <w:spacing w:after="0"/>
              <w:rPr>
                <w:sz w:val="20"/>
                <w:szCs w:val="20"/>
                <w:color w:val="auto"/>
              </w:rPr>
            </w:pPr>
            <w:r>
              <w:rPr>
                <w:rFonts w:ascii="Arial" w:cs="Arial" w:eastAsia="Arial" w:hAnsi="Arial"/>
                <w:sz w:val="18"/>
                <w:szCs w:val="18"/>
                <w:color w:val="auto"/>
              </w:rPr>
              <w:t>5%</w:t>
            </w:r>
          </w:p>
        </w:tc>
        <w:tc>
          <w:tcPr>
            <w:tcW w:w="332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4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Maximum Level</w:t>
            </w:r>
          </w:p>
        </w:tc>
        <w:tc>
          <w:tcPr>
            <w:tcW w:w="3240" w:type="dxa"/>
            <w:vAlign w:val="bottom"/>
            <w:tcBorders>
              <w:bottom w:val="single" w:sz="8" w:color="auto"/>
              <w:right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rPr>
              <w:t>³ 7%</w:t>
            </w:r>
          </w:p>
        </w:tc>
        <w:tc>
          <w:tcPr>
            <w:tcW w:w="3320" w:type="dxa"/>
            <w:vAlign w:val="bottom"/>
            <w:tcBorders>
              <w:bottom w:val="single" w:sz="8" w:color="auto"/>
              <w:right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right="80" w:hanging="224"/>
        <w:spacing w:after="0" w:line="291"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growth in annual organic revenue over the immediately preceding fiscal year falls between the threshold level and the target level, then the performance vesting percentage shall be determined by extrapolating between the threshold level, anchor points of 3% annual organic revenue growth (with a 70% performance vesting percentage) and 4% annual organic revenue growth (with an 85% performance vesting percentage), and the target level. If the growth in annual organic revenue over the immediately preceding fiscal year falls between the target level and the maximum level then the performance vesting percentage shall be determined by means of linear interpolation between the target level, an anchor point of 6% annual organic revenue growth (with a 125% performance vesting percentage), and the maximum level.</w:t>
      </w:r>
    </w:p>
    <w:p>
      <w:pPr>
        <w:spacing w:after="0" w:line="39" w:lineRule="exact"/>
        <w:rPr>
          <w:rFonts w:ascii="Arial" w:cs="Arial" w:eastAsia="Arial" w:hAnsi="Arial"/>
          <w:sz w:val="16"/>
          <w:szCs w:val="16"/>
          <w:color w:val="auto"/>
        </w:rPr>
      </w:pPr>
    </w:p>
    <w:p>
      <w:pPr>
        <w:ind w:left="860" w:right="80" w:hanging="224"/>
        <w:spacing w:after="0" w:line="30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or higher, and the Company achieves the “catch-up” goal defined as an average three-year annual organic revenue growth rate of at least 5.0%,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PSUs Metric and Goal Setting Considerations</w:t>
      </w:r>
    </w:p>
    <w:p>
      <w:pPr>
        <w:spacing w:after="0" w:line="90"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color w:val="auto"/>
        </w:rPr>
        <w:t>Revenue growth is a key measurement for the Company, and is therefore a metric used in our awards of PSUs. For 2018 grants, the Committee approved the use of organic revenue (less divestitures and discontinued products) as the metric for PSUs, which aligns closely with stockholders’ interests given the close correlation between organic revenue growth and higher stockholder returns. As a result, we believe that linking our equity grants to organic revenue growth creates an appropriate way to measure and reward performance.</w:t>
      </w:r>
    </w:p>
    <w:p>
      <w:pPr>
        <w:spacing w:after="0" w:line="3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annually review the metrics (and related goal targets) used in our annual and long-term incentive programs to ensure that they remain aligned with Integra’s strategic plan. The three-year annual organic revenue growth goal derives from a rigorous process that involves input and discussions among the President and CEO, and internal human resources and finance personnel.</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96"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Stock ownership guidelines and retention</w:t>
            </w:r>
          </w:p>
        </w:tc>
        <w:tc>
          <w:tcPr>
            <w:tcW w:w="34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89"/>
              </w:rPr>
              <w:t>To align the long-term interests of NEOs with</w:t>
            </w:r>
          </w:p>
        </w:tc>
        <w:tc>
          <w:tcPr>
            <w:tcW w:w="4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1"/>
              </w:rPr>
              <w:t>The CEO is required to own shares equal to 6x his annual</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requirements</w:t>
            </w: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stockholders</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salary; the CFO is required to own 2x his annual salary;</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other NEOs are required to own 1x their annual salaries.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All of our NEOs have met these requirements. The NEOs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are required to hold stock received from the Company</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the stock ownership guidelines.</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Compensation recoupment (“clawback”)</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ensure that compensation is paid only</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4"/>
              </w:rPr>
              <w:t>If a restatement of our financial statements is required to</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policy</w:t>
            </w: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upon proven results.</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correct a material error or inaccuracy due to the fraud or</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intentional misconduct of an NEO, the Committee can</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recoup from that NEO bonuses or equity awards awarded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on or after January 1, 2013 and cancel outstanding bonus</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 equity award opportunities.</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Anti-hedging/pledging policy</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ensure that equity compensation is an</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No NEO may hedge or pledge our securities. Also, all</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effective method to align the interests of</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NEOs must pre-clear trades involving Company stock</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NEOs and stockholders.</w:t>
            </w: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with our Law Department.</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excise tax “gross-ups”</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reflect sound executive compensation</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No NEO is eligible to receive any excise tax gross-ups,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governance practices, manage the cost of</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such as Section 280G taxes in the event of a change of</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7"/>
              </w:rPr>
              <w:t>compensation to the Company, and recognize</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control.</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that the burden for payment of taxes on</w:t>
            </w:r>
          </w:p>
        </w:tc>
        <w:tc>
          <w:tcPr>
            <w:tcW w:w="4380" w:type="dxa"/>
            <w:vAlign w:val="bottom"/>
            <w:tcBorders>
              <w:right w:val="single" w:sz="8" w:color="auto"/>
            </w:tcBorders>
          </w:tcPr>
          <w:p>
            <w:pPr>
              <w:spacing w:after="0"/>
              <w:rPr>
                <w:sz w:val="18"/>
                <w:szCs w:val="18"/>
                <w:color w:val="auto"/>
              </w:rPr>
            </w:pP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income falls on employees.</w:t>
            </w:r>
          </w:p>
        </w:tc>
        <w:tc>
          <w:tcPr>
            <w:tcW w:w="4380" w:type="dxa"/>
            <w:vAlign w:val="bottom"/>
            <w:tcBorders>
              <w:bottom w:val="single" w:sz="8" w:color="auto"/>
              <w:right w:val="single" w:sz="8" w:color="auto"/>
            </w:tcBorders>
          </w:tcPr>
          <w:p>
            <w:pPr>
              <w:spacing w:after="0"/>
              <w:rPr>
                <w:sz w:val="19"/>
                <w:szCs w:val="19"/>
                <w:color w:val="auto"/>
              </w:rPr>
            </w:pP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“Double trigger” change-in-control</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9"/>
              </w:rPr>
              <w:t>To prevent undue gains in the event of a</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Our equity plans and equity grant agreements require a</w:t>
            </w:r>
          </w:p>
        </w:tc>
      </w:tr>
      <w:tr>
        <w:trPr>
          <w:trHeight w:val="216"/>
        </w:trPr>
        <w:tc>
          <w:tcPr>
            <w:tcW w:w="3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arrangements</w:t>
            </w: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change-in-control.</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change-in-control in order to accelerate vesting of equity</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awards granted on or after January 1, 2013. In addition, all</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provisions in our employment and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change-in-control severance agreements for NEOs require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 qualifying termination of employment in addition to a</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before triggering change-in-control</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r>
      <w:tr>
        <w:trPr>
          <w:trHeight w:val="357"/>
        </w:trPr>
        <w:tc>
          <w:tcPr>
            <w:tcW w:w="3220" w:type="dxa"/>
            <w:vAlign w:val="bottom"/>
          </w:tcPr>
          <w:p>
            <w:pPr>
              <w:spacing w:after="0"/>
              <w:rPr>
                <w:sz w:val="24"/>
                <w:szCs w:val="24"/>
                <w:color w:val="auto"/>
              </w:rPr>
            </w:pPr>
          </w:p>
        </w:tc>
        <w:tc>
          <w:tcPr>
            <w:tcW w:w="3440" w:type="dxa"/>
            <w:vAlign w:val="bottom"/>
          </w:tcPr>
          <w:p>
            <w:pPr>
              <w:ind w:left="2180"/>
              <w:spacing w:after="0"/>
              <w:rPr>
                <w:sz w:val="20"/>
                <w:szCs w:val="20"/>
                <w:color w:val="auto"/>
              </w:rPr>
            </w:pPr>
            <w:r>
              <w:rPr>
                <w:rFonts w:ascii="Arial" w:cs="Arial" w:eastAsia="Arial" w:hAnsi="Arial"/>
                <w:sz w:val="18"/>
                <w:szCs w:val="18"/>
                <w:color w:val="auto"/>
              </w:rPr>
              <w:t>35</w:t>
            </w:r>
          </w:p>
        </w:tc>
        <w:tc>
          <w:tcPr>
            <w:tcW w:w="43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Annual equity awards</w:t>
            </w:r>
          </w:p>
        </w:tc>
        <w:tc>
          <w:tcPr>
            <w:tcW w:w="34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4"/>
              </w:rPr>
              <w:t>To retain and attract highly qualified NEOs</w:t>
            </w:r>
          </w:p>
        </w:tc>
        <w:tc>
          <w:tcPr>
            <w:tcW w:w="4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We include annual equity as a primary component of the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and tie their performance to the performance</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long-term compensation of our NEOs. In 2017 and 2018,</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of our stock, thus aligning their interests with</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grant value of the annual equity awards was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interests of our stockholders.</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determined based on each NEO’s performance, potential,</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and competitive market data. In March 2017 and 2018, the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CEO received an annual equity award of 50% PSUs, 30%</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non-qualified stock options, and 20% restricted stock</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units. In March 2017 and 2018, Messrs. Coleman, Davis,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Gorelick and Reuvers received an annual equity award of</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50% PSUs, 30% non-qualified stock options, and 20%</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restricted stock.</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Bonus Plan</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provide annual cash incentive</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maintains a performance-based cash</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opportunities based on the achievement of</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incentive plan designed to reward our colleagues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performance goals.</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appropriately. The plan was adopted by stockholders in</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2013, and again in 2017.</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 on annual cash incentives</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0"/>
              </w:rPr>
              <w:t>To achieve the appropriate balance between</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For performance year 2017, we limit the amount of any</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and variable compensation.</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annual bonus awarded to any NEO to a maximum of</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200% of the related target award.</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minimums or guarantees</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motivate our NEOs to perform under all</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Our NEOs have no guarantees or minimums related to</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circumstances.</w:t>
            </w: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 salary increases, bonuses or equity awards.</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Few perquisites</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1"/>
              </w:rPr>
              <w:t>To focus NEOs on performance elements of</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Our NEOs participate in broad-based Company-sponsored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compensation.</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benefits programs on the same basis as other full-time</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employees, except for the Executive Physical Medical</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Exam Program noted below.</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SERP</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1"/>
              </w:rPr>
              <w:t>To focus NEOs on performance elements of</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8"/>
              </w:rPr>
              <w:t>Our NEOs participate in the same defined contribution</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1"/>
              </w:rPr>
              <w:t>compensation and long-term value creation.</w:t>
            </w: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 as other employees.</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Risk Management</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8"/>
              </w:rPr>
              <w:t>To conform to Integra’s brand promise to</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We have a strong risk management approach involving a</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limit uncertainty.</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broad spectrum of departments with specific</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responsibilities assigned to management, the Board and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the Board’s committees. We review how the Company</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assesses, addresses, and reports risk annually with the</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Board.</w:t>
            </w:r>
          </w:p>
        </w:tc>
      </w:tr>
      <w:tr>
        <w:trPr>
          <w:trHeight w:val="357"/>
        </w:trPr>
        <w:tc>
          <w:tcPr>
            <w:tcW w:w="3220" w:type="dxa"/>
            <w:vAlign w:val="bottom"/>
          </w:tcPr>
          <w:p>
            <w:pPr>
              <w:spacing w:after="0"/>
              <w:rPr>
                <w:sz w:val="24"/>
                <w:szCs w:val="24"/>
                <w:color w:val="auto"/>
              </w:rPr>
            </w:pPr>
          </w:p>
        </w:tc>
        <w:tc>
          <w:tcPr>
            <w:tcW w:w="3440" w:type="dxa"/>
            <w:vAlign w:val="bottom"/>
          </w:tcPr>
          <w:p>
            <w:pPr>
              <w:ind w:left="2180"/>
              <w:spacing w:after="0"/>
              <w:rPr>
                <w:sz w:val="20"/>
                <w:szCs w:val="20"/>
                <w:color w:val="auto"/>
              </w:rPr>
            </w:pPr>
            <w:r>
              <w:rPr>
                <w:rFonts w:ascii="Arial" w:cs="Arial" w:eastAsia="Arial" w:hAnsi="Arial"/>
                <w:sz w:val="18"/>
                <w:szCs w:val="18"/>
                <w:color w:val="auto"/>
              </w:rPr>
              <w:t>36</w:t>
            </w:r>
          </w:p>
        </w:tc>
        <w:tc>
          <w:tcPr>
            <w:tcW w:w="43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2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34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2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8"/>
              </w:rPr>
              <w:t>Independent Compensation Consultant</w:t>
            </w:r>
          </w:p>
        </w:tc>
        <w:tc>
          <w:tcPr>
            <w:tcW w:w="34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1"/>
              </w:rPr>
              <w:t>To obtain objective input to decision making</w:t>
            </w:r>
          </w:p>
        </w:tc>
        <w:tc>
          <w:tcPr>
            <w:tcW w:w="43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Our Committee uses the services of an independent</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consultant.</w:t>
            </w:r>
          </w:p>
        </w:tc>
      </w:tr>
      <w:tr>
        <w:trPr>
          <w:trHeight w:val="202"/>
        </w:trPr>
        <w:tc>
          <w:tcPr>
            <w:tcW w:w="32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0"/>
              </w:rPr>
              <w:t>Executive Physical Medical Exam Program</w:t>
            </w:r>
          </w:p>
        </w:tc>
        <w:tc>
          <w:tcPr>
            <w:tcW w:w="34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6"/>
              </w:rPr>
              <w:t>To strengthen a culture of health and ensure a</w:t>
            </w:r>
          </w:p>
        </w:tc>
        <w:tc>
          <w:tcPr>
            <w:tcW w:w="43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The program, implemented in October 2013, provides</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3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holistic approach to our executive</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payment for annual executive physical medical exams for</w:t>
            </w:r>
          </w:p>
        </w:tc>
      </w:tr>
      <w:tr>
        <w:trPr>
          <w:trHeight w:val="223"/>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remuneration program</w:t>
            </w:r>
          </w:p>
        </w:tc>
        <w:tc>
          <w:tcPr>
            <w:tcW w:w="4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NEOs.</w:t>
            </w: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96"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At the beginning of 2017, we established performance objectives for each NEO along with variable pay target opportunities for cash incentives and long-term equity incentives. In the first quarter of 2018, the Committee completed a formal performance review for performance year 2017 for the CEO and each NEO. The Committee reviewed the performance of the CEO, and the CEO’s assessment of the NEOs, along with market data that the Company’s compensation consultants compiled, to determine each element of compensation for performance year 2017. As a result of this work, the Company determined the following: (i) base salary merit increases for 2018, (ii) annual cash incentives based on the cash bonus pool for 2017, paid in March 2018, (iii) long-term equity incentives (annual equity grants) granted in March 2018, and (iv) the CEO’s compensation for performance year 2018.</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90"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120015</wp:posOffset>
            </wp:positionV>
            <wp:extent cx="5291455" cy="1852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i w:val="1"/>
          <w:iCs w:val="1"/>
          <w:color w:val="auto"/>
        </w:rPr>
        <w:t xml:space="preserve">Total Compensation: </w:t>
      </w:r>
      <w:r>
        <w:rPr>
          <w:rFonts w:ascii="Arial" w:cs="Arial" w:eastAsia="Arial" w:hAnsi="Arial"/>
          <w:sz w:val="18"/>
          <w:szCs w:val="18"/>
          <w:color w:val="auto"/>
        </w:rPr>
        <w:t>We consider total compensation for comparable roles at companies in medical technology, healthcare and general industry,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data obtained from published salary surveys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62" w:lineRule="exact"/>
        <w:rPr>
          <w:sz w:val="20"/>
          <w:szCs w:val="20"/>
          <w:color w:val="auto"/>
        </w:rPr>
      </w:pPr>
    </w:p>
    <w:p>
      <w:pPr>
        <w:jc w:val="center"/>
        <w:ind w:left="860" w:right="20"/>
        <w:spacing w:after="0" w:line="440" w:lineRule="auto"/>
        <w:rPr>
          <w:sz w:val="20"/>
          <w:szCs w:val="20"/>
          <w:color w:val="auto"/>
        </w:rPr>
      </w:pPr>
      <w:r>
        <w:rPr>
          <w:rFonts w:ascii="Arial" w:cs="Arial" w:eastAsia="Arial" w:hAnsi="Arial"/>
          <w:sz w:val="18"/>
          <w:szCs w:val="18"/>
          <w:color w:val="auto"/>
        </w:rPr>
        <w:t>We continue to emphasize variable pay rather than fixed pay, with target opportunities based on market practices and payments based on performance. 37</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260" w:firstLine="441"/>
        <w:spacing w:after="0" w:line="370" w:lineRule="auto"/>
        <w:rPr>
          <w:sz w:val="20"/>
          <w:szCs w:val="20"/>
          <w:color w:val="auto"/>
        </w:rPr>
      </w:pPr>
      <w:r>
        <w:rPr>
          <w:rFonts w:ascii="Arial" w:cs="Arial" w:eastAsia="Arial" w:hAnsi="Arial"/>
          <w:sz w:val="15"/>
          <w:szCs w:val="15"/>
          <w:color w:val="auto"/>
        </w:rPr>
        <w:t>The following charts are designed to demonstrate the various components of our NEOs’ 2017 compensation which place a particular emphasis on variable pay. We believe that these charts are helpful in demonstrating that the components of our NEOs’ compensation are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70485</wp:posOffset>
            </wp:positionV>
            <wp:extent cx="4631055" cy="3653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3105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NEOs that reflect each executive’s experience, expertise, and the complexity of their role as well as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compensation data and internal comparisons. The Committee reviews base salaries of our NEOs annually, and approves increases considering such factors as performance, market competitiveness and affordability.</w:t>
      </w:r>
    </w:p>
    <w:p>
      <w:pPr>
        <w:spacing w:after="0" w:line="5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The cash bonus pool for 2017 performance, paid in March 2018, was funded at 121% overall based on the Company’s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2017 financial targets. Individual payment recommendations were based on performance (65% weighting on quantitative and 35% weighting on qualitative objectives) and the relevant NEO’s target opportunity. In addition, the Committee approved a one-time cash bonus modifier for Messrs Arduini, Coleman, Reuvers and Gorelick for the 2017 cash incentive based on the achievement of performance objectives related to the successful integration of Codman Neurosurgery.</w:t>
      </w:r>
    </w:p>
    <w:p>
      <w:pPr>
        <w:spacing w:after="0" w:line="62"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Our equity grants align NEOs with our stockholders’ interests and are based on performance and retention needs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long-term stock ownership. The main terms and features of our equity grants include the following:</w:t>
      </w:r>
    </w:p>
    <w:p>
      <w:pPr>
        <w:spacing w:after="0" w:line="51" w:lineRule="exact"/>
        <w:rPr>
          <w:sz w:val="20"/>
          <w:szCs w:val="20"/>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Awards: Annual vesting over three years.</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Stock Units: Granted to the CEO with three-year vesting and deferral of payments until after departure.</w:t>
      </w:r>
    </w:p>
    <w:p>
      <w:pPr>
        <w:spacing w:after="0" w:line="90" w:lineRule="exact"/>
        <w:rPr>
          <w:rFonts w:ascii="Arial" w:cs="Arial" w:eastAsia="Arial" w:hAnsi="Arial"/>
          <w:sz w:val="18"/>
          <w:szCs w:val="18"/>
          <w:color w:val="auto"/>
        </w:rPr>
      </w:pPr>
    </w:p>
    <w:p>
      <w:pPr>
        <w:ind w:left="860" w:hanging="224"/>
        <w:spacing w:after="0" w:line="256"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Non-Qualified Stock Options: The CEO’s non-qualified stock options vest as to one-third of the shares on the first anniversary of the grant date and thereafter in monthly installments through the third anniversary of such grant date. In addition, non-qualified stock options granted to NEOs as part of their respective annual equity grants will vest annually over four years, except for the CFO, whose non-qualified stock options will vest annually over three years.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220" w:hanging="7"/>
        <w:spacing w:after="0" w:line="391"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 xml:space="preserve">PSUs: Annual vesting over three years based on achievement of annual revenue growth goals, as detailed in the discussion above. </w:t>
      </w:r>
      <w:r>
        <w:rPr>
          <w:rFonts w:ascii="Arial" w:cs="Arial" w:eastAsia="Arial" w:hAnsi="Arial"/>
          <w:sz w:val="18"/>
          <w:szCs w:val="18"/>
          <w:u w:val="single" w:color="auto"/>
          <w:color w:val="auto"/>
        </w:rPr>
        <w:t>Equity Grant Practices</w:t>
      </w:r>
    </w:p>
    <w:p>
      <w:pPr>
        <w:spacing w:after="0" w:line="1"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In addition to describing the types of grants the Company provides, we believe that a discussion of our practices surrounding our grants is useful to underscore the procedures behind the grants. The Committee considers the performance of the Company, performance of individuals over the short-term as well as their potential over the long-term and market considerations in determining the value and type of equity for annual equity awards.</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practices:</w:t>
      </w:r>
    </w:p>
    <w:p>
      <w:pPr>
        <w:spacing w:after="0" w:line="90" w:lineRule="exact"/>
        <w:rPr>
          <w:sz w:val="20"/>
          <w:szCs w:val="20"/>
          <w:color w:val="auto"/>
        </w:rPr>
      </w:pPr>
    </w:p>
    <w:p>
      <w:pPr>
        <w:jc w:val="both"/>
        <w:ind w:left="860" w:right="120" w:hanging="224"/>
        <w:spacing w:after="0" w:line="259"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approves equity awards for NEOs after it completes its annual review process for the individuals eligible to receive equity grants, and bases its decisions, at its discretion, on their short- and long-term performance, the Company’s performance in the prior year, and the need to stay competitive in the market for executive talent.</w:t>
      </w:r>
    </w:p>
    <w:p>
      <w:pPr>
        <w:spacing w:after="0" w:line="59" w:lineRule="exact"/>
        <w:rPr>
          <w:rFonts w:ascii="Arial" w:cs="Arial" w:eastAsia="Arial" w:hAnsi="Arial"/>
          <w:sz w:val="18"/>
          <w:szCs w:val="18"/>
          <w:color w:val="auto"/>
        </w:rPr>
      </w:pPr>
    </w:p>
    <w:p>
      <w:pPr>
        <w:ind w:left="860" w:right="180" w:hanging="224"/>
        <w:spacing w:after="0" w:line="259"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Special Award Committee, consisting of our CEO,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make decisions to grant equity awards without regard to anticipated earnings or other major announcements by the Company.</w:t>
      </w:r>
    </w:p>
    <w:p>
      <w:pPr>
        <w:spacing w:after="0" w:line="113" w:lineRule="exact"/>
        <w:rPr>
          <w:rFonts w:ascii="Arial" w:cs="Arial" w:eastAsia="Arial" w:hAnsi="Arial"/>
          <w:sz w:val="16"/>
          <w:szCs w:val="16"/>
          <w:color w:val="auto"/>
        </w:rPr>
      </w:pPr>
    </w:p>
    <w:p>
      <w:pPr>
        <w:ind w:left="860" w:right="100" w:hanging="224"/>
        <w:spacing w:after="0" w:line="256"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require all NEOs and substantially all U.S. based employees to have signed a non-competition agreement or, where applicable law does not support non-competition agreements, a confidentiality agreement that includes provisions regarding non-solicitation and assignment of inventions or an employment or severance agreement with non-competition provisions, as a condition to, among other things, employment and, for those eligible, receiving an equity award.</w:t>
      </w:r>
    </w:p>
    <w:p>
      <w:pPr>
        <w:spacing w:after="0" w:line="62" w:lineRule="exact"/>
        <w:rPr>
          <w:rFonts w:ascii="Arial" w:cs="Arial" w:eastAsia="Arial" w:hAnsi="Arial"/>
          <w:sz w:val="18"/>
          <w:szCs w:val="18"/>
          <w:color w:val="auto"/>
        </w:rPr>
      </w:pPr>
    </w:p>
    <w:p>
      <w:pPr>
        <w:ind w:left="860" w:right="100" w:hanging="224"/>
        <w:spacing w:after="0" w:line="332"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exercise price of our non-qualified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4" w:lineRule="exact"/>
        <w:rPr>
          <w:rFonts w:ascii="Arial" w:cs="Arial" w:eastAsia="Arial" w:hAnsi="Arial"/>
          <w:sz w:val="16"/>
          <w:szCs w:val="16"/>
          <w:color w:val="auto"/>
        </w:rPr>
      </w:pPr>
    </w:p>
    <w:p>
      <w:pPr>
        <w:ind w:left="860" w:hanging="224"/>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2003 Equity Incentive Plan provides that, without stockholder approval, no amendment may be made that would reprice outstanding awards.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Other Components of Integra’s Executive Compensation</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All of our NEOs have met their stock ownership guidelines and retention requirements.</w:t>
      </w:r>
    </w:p>
    <w:p>
      <w:pPr>
        <w:spacing w:after="0" w:line="194"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Our NEOs participate in our benefits offerings on the same basis as all other employees except for the Executive Physical Medical Exam</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This program provides payment for a comprehensive annual physical medical exam for each of our NEOs. This program aligns with the Company’s culture of health, which also supports improved performance. Each NEO is encouraged to complete an exam in 2018.</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provide our NEOs with no other perquisites and benefits (other than an executive physical).</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“Annual Review of Compensation” for additional information, including a description of the goals and each executive’s achievements.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Peer Group and the Markets in Which We Compete</w:t>
      </w:r>
    </w:p>
    <w:p>
      <w:pPr>
        <w:spacing w:after="0" w:line="96" w:lineRule="exact"/>
        <w:rPr>
          <w:sz w:val="20"/>
          <w:szCs w:val="20"/>
          <w:color w:val="auto"/>
        </w:rPr>
      </w:pPr>
    </w:p>
    <w:p>
      <w:pPr>
        <w:jc w:val="both"/>
        <w:ind w:left="200" w:firstLine="441"/>
        <w:spacing w:after="0" w:line="256" w:lineRule="auto"/>
        <w:rPr>
          <w:sz w:val="20"/>
          <w:szCs w:val="20"/>
          <w:color w:val="auto"/>
        </w:rPr>
      </w:pPr>
      <w:r>
        <w:rPr>
          <w:rFonts w:ascii="Arial" w:cs="Arial" w:eastAsia="Arial" w:hAnsi="Arial"/>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in the same industry as Integra, and with whom Integra may compete for executive talent.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314" w:lineRule="auto"/>
        <w:rPr>
          <w:sz w:val="20"/>
          <w:szCs w:val="20"/>
          <w:color w:val="auto"/>
        </w:rPr>
      </w:pPr>
      <w:r>
        <w:rPr>
          <w:rFonts w:ascii="Arial" w:cs="Arial" w:eastAsia="Arial" w:hAnsi="Arial"/>
          <w:sz w:val="15"/>
          <w:szCs w:val="15"/>
          <w:color w:val="auto"/>
        </w:rPr>
        <w:t>In selecting peer companies, the Committee evaluates the comparability of those companies in terms of complexity of products and manufacturing processes, number and variety of product lines, technical complexity, and global reach as well as considering where Integra competes for executive talent and the size of the organizations in terms of revenue and market capitalization. In 2017, after reviewing all of the relevant criteria with Willis Towers Watson, the Committee’s compensation consultant, the Committee made the following changes to the Company’s peer group from 2016 to more closely align to Integra’s business strategy and increased revenue: (i) removed Cantel Medical, Inc. and Orthofix International and (ii) added West Pharmaceuticals. Integra is currently at the 43</w:t>
      </w:r>
      <w:r>
        <w:rPr>
          <w:rFonts w:ascii="Arial" w:cs="Arial" w:eastAsia="Arial" w:hAnsi="Arial"/>
          <w:sz w:val="10"/>
          <w:szCs w:val="10"/>
          <w:color w:val="auto"/>
        </w:rPr>
        <w:t>rd</w:t>
      </w:r>
      <w:r>
        <w:rPr>
          <w:rFonts w:ascii="Arial" w:cs="Arial" w:eastAsia="Arial" w:hAnsi="Arial"/>
          <w:sz w:val="15"/>
          <w:szCs w:val="15"/>
          <w:color w:val="auto"/>
        </w:rPr>
        <w:t xml:space="preserve"> percentile for median revenue when compared to the peer group. The revised peer group consists of the following companies:</w:t>
      </w:r>
    </w:p>
    <w:p>
      <w:pPr>
        <w:spacing w:after="0" w:line="133" w:lineRule="exact"/>
        <w:rPr>
          <w:sz w:val="20"/>
          <w:szCs w:val="20"/>
          <w:color w:val="auto"/>
        </w:rPr>
      </w:pPr>
    </w:p>
    <w:tbl>
      <w:tblPr>
        <w:tblLayout w:type="fixed"/>
        <w:tblInd w:w="210" w:type="dxa"/>
        <w:tblCellMar>
          <w:top w:w="0" w:type="dxa"/>
          <w:left w:w="0" w:type="dxa"/>
          <w:bottom w:w="0" w:type="dxa"/>
          <w:right w:w="0" w:type="dxa"/>
        </w:tblCellMar>
      </w:tblPr>
      <w:tr>
        <w:trPr>
          <w:trHeight w:val="230"/>
        </w:trPr>
        <w:tc>
          <w:tcPr>
            <w:tcW w:w="3640" w:type="dxa"/>
            <w:vAlign w:val="bottom"/>
            <w:tcBorders>
              <w:top w:val="single" w:sz="8" w:color="auto"/>
              <w:left w:val="single" w:sz="8" w:color="auto"/>
              <w:bottom w:val="single" w:sz="8" w:color="auto"/>
            </w:tcBorders>
          </w:tcPr>
          <w:p>
            <w:pPr>
              <w:spacing w:after="0"/>
              <w:rPr>
                <w:sz w:val="19"/>
                <w:szCs w:val="19"/>
                <w:color w:val="auto"/>
              </w:rPr>
            </w:pPr>
          </w:p>
        </w:tc>
        <w:tc>
          <w:tcPr>
            <w:tcW w:w="7420" w:type="dxa"/>
            <w:vAlign w:val="bottom"/>
            <w:tcBorders>
              <w:top w:val="single" w:sz="8" w:color="auto"/>
              <w:bottom w:val="single" w:sz="8" w:color="auto"/>
              <w:right w:val="single" w:sz="8" w:color="auto"/>
            </w:tcBorders>
            <w:gridSpan w:val="2"/>
          </w:tcPr>
          <w:p>
            <w:pPr>
              <w:ind w:left="1080"/>
              <w:spacing w:after="0"/>
              <w:rPr>
                <w:sz w:val="20"/>
                <w:szCs w:val="20"/>
                <w:color w:val="auto"/>
              </w:rPr>
            </w:pPr>
            <w:r>
              <w:rPr>
                <w:rFonts w:ascii="Arial" w:cs="Arial" w:eastAsia="Arial" w:hAnsi="Arial"/>
                <w:sz w:val="18"/>
                <w:szCs w:val="18"/>
                <w:b w:val="1"/>
                <w:bCs w:val="1"/>
                <w:color w:val="auto"/>
              </w:rPr>
              <w:t>Integra’s Peer Group</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Invacare Corporation</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Align Technology,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Masimo Corporation</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C.R. Bard,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NuVasive,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CONMED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ResMed,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Edwards Lifesciences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Steris Plc.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Haemonetics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Teleflex Incorporated</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Hill-Rom Holdings,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The Cooper Companies,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Hologic,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Varian Medial Systems, Inc.</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Integer Holdings Corporation</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Wright Medical Group N.V.</w:t>
            </w:r>
          </w:p>
        </w:tc>
      </w:tr>
      <w:tr>
        <w:trPr>
          <w:trHeight w:val="210"/>
        </w:trPr>
        <w:tc>
          <w:tcPr>
            <w:tcW w:w="3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Intuitive Surgical, Inc.</w:t>
            </w:r>
          </w:p>
        </w:tc>
        <w:tc>
          <w:tcPr>
            <w:tcW w:w="1680" w:type="dxa"/>
            <w:vAlign w:val="bottom"/>
            <w:tcBorders>
              <w:bottom w:val="single" w:sz="8" w:color="auto"/>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West Pharmaceutical Services, Inc.</w:t>
            </w:r>
          </w:p>
        </w:tc>
      </w:tr>
      <w:tr>
        <w:trPr>
          <w:trHeight w:val="370"/>
        </w:trPr>
        <w:tc>
          <w:tcPr>
            <w:tcW w:w="3640" w:type="dxa"/>
            <w:vAlign w:val="bottom"/>
          </w:tcPr>
          <w:p>
            <w:pPr>
              <w:spacing w:after="0"/>
              <w:rPr>
                <w:sz w:val="20"/>
                <w:szCs w:val="20"/>
                <w:color w:val="auto"/>
              </w:rPr>
            </w:pPr>
            <w:r>
              <w:rPr>
                <w:rFonts w:ascii="Arial" w:cs="Arial" w:eastAsia="Arial" w:hAnsi="Arial"/>
                <w:sz w:val="18"/>
                <w:szCs w:val="18"/>
                <w:b w:val="1"/>
                <w:bCs w:val="1"/>
                <w:color w:val="auto"/>
              </w:rPr>
              <w:t>Annual Review of Compensation</w:t>
            </w:r>
          </w:p>
        </w:tc>
        <w:tc>
          <w:tcPr>
            <w:tcW w:w="1680" w:type="dxa"/>
            <w:vAlign w:val="bottom"/>
          </w:tcPr>
          <w:p>
            <w:pPr>
              <w:spacing w:after="0"/>
              <w:rPr>
                <w:sz w:val="24"/>
                <w:szCs w:val="24"/>
                <w:color w:val="auto"/>
              </w:rPr>
            </w:pPr>
          </w:p>
        </w:tc>
        <w:tc>
          <w:tcPr>
            <w:tcW w:w="5740" w:type="dxa"/>
            <w:vAlign w:val="bottom"/>
          </w:tcPr>
          <w:p>
            <w:pPr>
              <w:spacing w:after="0"/>
              <w:rPr>
                <w:sz w:val="24"/>
                <w:szCs w:val="24"/>
                <w:color w:val="auto"/>
              </w:rPr>
            </w:pPr>
          </w:p>
        </w:tc>
      </w:tr>
    </w:tbl>
    <w:p>
      <w:pPr>
        <w:spacing w:after="0" w:line="75"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The 2018 annual equity grants are based on the performance of the Company in 2017, the performance of individuals over the short and long term, market considerations, each respective executive’s long-term potential, and the Committee’s desire to provide adequate incentive to motivate the executive’s continued performance.</w:t>
      </w:r>
    </w:p>
    <w:p>
      <w:pPr>
        <w:spacing w:after="0" w:line="62"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For fiscal year 2017, we completed our review process for our NEOs in February 2018, and granted the equity awards in March 2018. Thus, pursuant to the SEC rules, the equity grants awarded to the NEOs in 2018 for 2017 performance do not appear in the Summary Compensation Table for 2017. The Company accounts for equity in accordance with FASB ASC Topic 718. We anticipate that we will adhere to a similar timetable for the annual reviews of performance and compensation for our NEOs in future years.</w:t>
      </w:r>
    </w:p>
    <w:p>
      <w:pPr>
        <w:spacing w:after="0" w:line="62"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The following discussion sets forth the Committee’s actions for 2017 and, to the extent already taken, for certain 2018 items. See “Compensation of Executive Officers” and the tables and footnotes in that section for complete information.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90"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At the beginning of 2018, the Committee conducted a formal review of Integra’s overall performance and Mr. Arduini’s 2017 performance, with a focus on key financial and other quantitative metrics as well as important qualitative objectives. This assessment of performance in 2017 and over the long term, along with a review of competitive compensation and his specific accomplishments as described below, served as the basis for decisions regarding Mr. Arduini’s compensation.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Highlights Include the Following:</w:t>
      </w:r>
    </w:p>
    <w:p>
      <w:pPr>
        <w:spacing w:after="0" w:line="9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2017, under Mr. Arduini’s leadership as President and CEO, Integra executed and delivered on key strategic, operational, and talent management priorities. Mr. Arduini managed the business well, increased value for stockholders, improved the overall infrastructure of the Company, focused the Company’s portfolio and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spacing w:after="0" w:line="268" w:lineRule="auto"/>
        <w:rPr>
          <w:sz w:val="20"/>
          <w:szCs w:val="20"/>
          <w:color w:val="auto"/>
        </w:rPr>
      </w:pPr>
      <w:r>
        <w:rPr>
          <w:rFonts w:ascii="Arial" w:cs="Arial" w:eastAsia="Arial" w:hAnsi="Arial"/>
          <w:sz w:val="18"/>
          <w:szCs w:val="18"/>
          <w:color w:val="auto"/>
        </w:rPr>
        <w:t>resources on select markets, and defined plans for and showed early results of an accelerating growth portfolio. The Committee considered the following accomplishments in rendering its assessment:</w:t>
      </w:r>
    </w:p>
    <w:p>
      <w:pPr>
        <w:spacing w:after="0" w:line="51" w:lineRule="exact"/>
        <w:rPr>
          <w:sz w:val="20"/>
          <w:szCs w:val="20"/>
          <w:color w:val="auto"/>
        </w:rPr>
      </w:pPr>
    </w:p>
    <w:p>
      <w:pPr>
        <w:ind w:left="860" w:right="80" w:hanging="224"/>
        <w:spacing w:after="0" w:line="259"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Acquired and integrated Derma Sciences Inc., expanding our advanced wound care franchise with a broad set of market leading products and nearly doubling the size of our outpatient wound care sales channel. This acquisition also expanded our regenerative portfolio with the addition of an amniotic tissue-based technology platform;</w:t>
      </w:r>
    </w:p>
    <w:p>
      <w:pPr>
        <w:spacing w:after="0" w:line="59" w:lineRule="exact"/>
        <w:rPr>
          <w:rFonts w:ascii="Arial" w:cs="Arial" w:eastAsia="Arial" w:hAnsi="Arial"/>
          <w:sz w:val="18"/>
          <w:szCs w:val="18"/>
          <w:color w:val="auto"/>
        </w:rPr>
      </w:pPr>
    </w:p>
    <w:p>
      <w:pPr>
        <w:ind w:left="860" w:hanging="224"/>
        <w:spacing w:after="0" w:line="314" w:lineRule="auto"/>
        <w:tabs>
          <w:tab w:leader="none" w:pos="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Closed the acquisition of the Codman Neurosurgery business from Johnson &amp; Johnson. This is the largest acquisition in the Company’s history and is transformational for Integra. The acquisition of the Codman business significantly enhances the Company’s position in the global neurosurgery market by adding a globally recognized brand that includes a broad portfolio of market leading neurosurgery products, and expands our sales channel by 30% inside the U.S. and by 50% outside the U.S. Additionally the global infrastructure acquired with Codman accelerates Integra’s plans to expand outside the U.S., and creates the platform through which the balance of Integra’s product portfolio can eventually be marketed and sold globally. The Codman product lines also will be important contributors to achieving Integra’s long-term margin expansion targets.</w:t>
      </w:r>
    </w:p>
    <w:p>
      <w:pPr>
        <w:spacing w:after="0" w:line="23" w:lineRule="exact"/>
        <w:rPr>
          <w:rFonts w:ascii="Arial" w:cs="Arial" w:eastAsia="Arial" w:hAnsi="Arial"/>
          <w:sz w:val="15"/>
          <w:szCs w:val="15"/>
          <w:color w:val="auto"/>
        </w:rPr>
      </w:pPr>
    </w:p>
    <w:p>
      <w:pPr>
        <w:ind w:left="860" w:hanging="224"/>
        <w:spacing w:after="0" w:line="268"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Achieved reported revenue growth of 19.8% and organic revenue growth of 4.6% for the full year 2017, while planning for closing and integrating, and then closing and integrating the two largest acquisitions in the Company’s history;</w:t>
      </w:r>
    </w:p>
    <w:p>
      <w:pPr>
        <w:spacing w:after="0" w:line="50" w:lineRule="exact"/>
        <w:rPr>
          <w:rFonts w:ascii="Arial" w:cs="Arial" w:eastAsia="Arial" w:hAnsi="Arial"/>
          <w:sz w:val="18"/>
          <w:szCs w:val="18"/>
          <w:color w:val="auto"/>
        </w:rPr>
      </w:pPr>
    </w:p>
    <w:p>
      <w:pPr>
        <w:ind w:left="860" w:right="220" w:hanging="224"/>
        <w:spacing w:after="0" w:line="268"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launched seven new regenerative products, and the CUSA</w:t>
      </w:r>
      <w:r>
        <w:rPr>
          <w:rFonts w:ascii="Arial" w:cs="Arial" w:eastAsia="Arial" w:hAnsi="Arial"/>
          <w:sz w:val="11"/>
          <w:szCs w:val="11"/>
          <w:color w:val="auto"/>
        </w:rPr>
        <w:t>®</w:t>
      </w:r>
      <w:r>
        <w:rPr>
          <w:rFonts w:ascii="Arial" w:cs="Arial" w:eastAsia="Arial" w:hAnsi="Arial"/>
          <w:sz w:val="18"/>
          <w:szCs w:val="18"/>
          <w:color w:val="auto"/>
        </w:rPr>
        <w:t xml:space="preserve"> Clarity ultrasonic tissue ablation platform, as well as effecting multiple new product registrations globally;</w:t>
      </w:r>
    </w:p>
    <w:p>
      <w:pPr>
        <w:spacing w:after="0" w:line="50" w:lineRule="exact"/>
        <w:rPr>
          <w:rFonts w:ascii="Arial" w:cs="Arial" w:eastAsia="Arial" w:hAnsi="Arial"/>
          <w:sz w:val="18"/>
          <w:szCs w:val="18"/>
          <w:color w:val="auto"/>
        </w:rPr>
      </w:pPr>
    </w:p>
    <w:p>
      <w:pPr>
        <w:jc w:val="both"/>
        <w:ind w:left="860" w:right="60" w:hanging="224"/>
        <w:spacing w:after="0" w:line="306"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fourth quarter of 2017, the Company initiated a plan to invest in, and expand, our channels within the Orthopedics and Tissue Technologies segment in the U.S. This plan includes a move from two to four dedicated channels and the addition of product specialists at certain call points, all of which should help increase the focus of our sales teams and result in higher sales growth;</w:t>
      </w:r>
    </w:p>
    <w:p>
      <w:pPr>
        <w:spacing w:after="0" w:line="25" w:lineRule="exact"/>
        <w:rPr>
          <w:rFonts w:ascii="Arial" w:cs="Arial" w:eastAsia="Arial" w:hAnsi="Arial"/>
          <w:sz w:val="16"/>
          <w:szCs w:val="16"/>
          <w:color w:val="auto"/>
        </w:rPr>
      </w:pPr>
    </w:p>
    <w:p>
      <w:pPr>
        <w:ind w:left="860" w:right="560" w:hanging="224"/>
        <w:spacing w:after="0" w:line="268"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international sales to 30% of the Company’s overall sales, resulting primarily from the contribution of the Codman Neurosurgery acquisition and from strength in sales of products deriving from our regenerative technologies; and,</w:t>
      </w:r>
    </w:p>
    <w:p>
      <w:pPr>
        <w:spacing w:after="0" w:line="50" w:lineRule="exact"/>
        <w:rPr>
          <w:rFonts w:ascii="Arial" w:cs="Arial" w:eastAsia="Arial" w:hAnsi="Arial"/>
          <w:sz w:val="18"/>
          <w:szCs w:val="18"/>
          <w:color w:val="auto"/>
        </w:rPr>
      </w:pPr>
    </w:p>
    <w:p>
      <w:pPr>
        <w:ind w:left="860" w:right="380" w:hanging="224"/>
        <w:spacing w:after="0" w:line="332"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our borrowing capacity from $1.5 billion to $2.2 billion with a $700 million incremental term loan. This expanded facility provided funding for the Codman Neurosurgery acquisition and helps retain the strength and flexibility of our balance sheet.</w:t>
      </w:r>
    </w:p>
    <w:p>
      <w:pPr>
        <w:spacing w:after="0" w:line="4"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Committee also considered his leadership and key talent hires made during 2017, as well as his key achievements relating to strategy, employee development, and process improvement.</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all of the above achievements, which enabled the Company to exceed its financial targets and position the Company for growth,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approved compensation actions for Mr. Arduini as follows: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20" w:hanging="224"/>
        <w:spacing w:after="0" w:line="268"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2017: An increase in base salary of $26,553 or 3% to $911,662 effective April 1, 2017 (Integra’s global salary increase effective date) as a result of Mr. Arduini’s accomplishments in 2016.</w:t>
      </w:r>
    </w:p>
    <w:p>
      <w:pPr>
        <w:spacing w:after="0" w:line="50" w:lineRule="exact"/>
        <w:rPr>
          <w:rFonts w:ascii="Arial" w:cs="Arial" w:eastAsia="Arial" w:hAnsi="Arial"/>
          <w:sz w:val="18"/>
          <w:szCs w:val="18"/>
          <w:color w:val="auto"/>
        </w:rPr>
      </w:pPr>
    </w:p>
    <w:p>
      <w:pPr>
        <w:ind w:left="860" w:right="60" w:hanging="224"/>
        <w:spacing w:after="0" w:line="268"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2018: An increase in base salary of $48,338 or 5.3% to $960,000 effective April 1, 2018 (Integra’s global salary increase effective date) as a result of Mr. Arduini’s accomplishments in 2017 as discussed above.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hanging="224"/>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110% of base salary in 2017.</w:t>
      </w:r>
    </w:p>
    <w:p>
      <w:pPr>
        <w:spacing w:after="0" w:line="90" w:lineRule="exact"/>
        <w:rPr>
          <w:rFonts w:ascii="Arial" w:cs="Arial" w:eastAsia="Arial" w:hAnsi="Arial"/>
          <w:sz w:val="18"/>
          <w:szCs w:val="18"/>
          <w:color w:val="auto"/>
        </w:rPr>
      </w:pPr>
    </w:p>
    <w:p>
      <w:pPr>
        <w:ind w:left="860" w:right="360" w:hanging="224"/>
        <w:spacing w:after="0" w:line="306"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2017, the Committee determined to award Mr. Arduini a cash bonus of $1,213,422, approximately 121% of target, paid in March 2018 for 2017 performance pursuant to the Bonus Plan. Mr. Arduini also received a one-time bonus modifier in the amount of $250,000 for meeting performance metrics related to the successful acquisition and integration of the Codman Neurosurgery business.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right="280" w:hanging="224"/>
        <w:spacing w:after="0" w:line="259"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philosophy is to tie a significant portion of annual equity awards to performance. The Committee and management consider non-qualified stock options and PSUs as performance-based equity and the Committee granted Mr. Arduini 80% of his annual equity award in performance-based equity (50% PSUs and 30% non-qualified stock options).</w:t>
      </w:r>
    </w:p>
    <w:p>
      <w:pPr>
        <w:spacing w:after="0" w:line="59" w:lineRule="exact"/>
        <w:rPr>
          <w:rFonts w:ascii="Arial" w:cs="Arial" w:eastAsia="Arial" w:hAnsi="Arial"/>
          <w:sz w:val="18"/>
          <w:szCs w:val="18"/>
          <w:color w:val="auto"/>
        </w:rPr>
      </w:pPr>
    </w:p>
    <w:p>
      <w:pPr>
        <w:ind w:left="860" w:hanging="224"/>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2017 Annual Grant: Based on Mr. Arduini’s short-and long-term performance taking 2016 into account, retention, and market considerations, the</w:t>
      </w:r>
    </w:p>
    <w:p>
      <w:pPr>
        <w:spacing w:after="0" w:line="38" w:lineRule="exact"/>
        <w:rPr>
          <w:rFonts w:ascii="Arial" w:cs="Arial" w:eastAsia="Arial" w:hAnsi="Arial"/>
          <w:sz w:val="16"/>
          <w:szCs w:val="16"/>
          <w:color w:val="auto"/>
        </w:rPr>
      </w:pPr>
    </w:p>
    <w:p>
      <w:pPr>
        <w:ind w:left="860" w:right="14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$4,750,000, which was granted in March 2017, allocated as follows: (i) 20% in the form of restricted stock units with annual vesting over three years and a deferral feature that provides the award will be paid following the six-month anniversary of</w:t>
      </w:r>
    </w:p>
    <w:p>
      <w:pPr>
        <w:spacing w:after="0" w:line="1" w:lineRule="exact"/>
        <w:rPr>
          <w:rFonts w:ascii="Arial" w:cs="Arial" w:eastAsia="Arial" w:hAnsi="Arial"/>
          <w:sz w:val="16"/>
          <w:szCs w:val="16"/>
          <w:color w:val="auto"/>
        </w:rPr>
      </w:pPr>
    </w:p>
    <w:p>
      <w:pPr>
        <w:ind w:left="860"/>
        <w:spacing w:after="0" w:line="295" w:lineRule="auto"/>
        <w:rPr>
          <w:rFonts w:ascii="Arial" w:cs="Arial" w:eastAsia="Arial" w:hAnsi="Arial"/>
          <w:sz w:val="16"/>
          <w:szCs w:val="16"/>
          <w:color w:val="auto"/>
        </w:rPr>
      </w:pPr>
      <w:r>
        <w:rPr>
          <w:rFonts w:ascii="Arial" w:cs="Arial" w:eastAsia="Arial" w:hAnsi="Arial"/>
          <w:sz w:val="16"/>
          <w:szCs w:val="16"/>
          <w:color w:val="auto"/>
        </w:rPr>
        <w:t>Mr. Arduini’s termination; (ii) 30% in the form of non-qualified stock options; and (iii) 50% in the form of PSUs with annual vesting over a three-year performance period based on achieving revenue growth goals. The value of the March 2017 equity grant and resulting total direct compensation falls between the median and the 75th percentile of the peer group and emphasizes the importance of aligning CEO compensation with stockholder interests and rewards Mr. Arduini for significant accomplishments the Company made under his leadership.</w:t>
      </w:r>
    </w:p>
    <w:p>
      <w:pPr>
        <w:spacing w:after="0" w:line="34" w:lineRule="exact"/>
        <w:rPr>
          <w:rFonts w:ascii="Arial" w:cs="Arial" w:eastAsia="Arial" w:hAnsi="Arial"/>
          <w:sz w:val="16"/>
          <w:szCs w:val="16"/>
          <w:color w:val="auto"/>
        </w:rPr>
      </w:pPr>
    </w:p>
    <w:p>
      <w:pPr>
        <w:ind w:left="860" w:hanging="224"/>
        <w:spacing w:after="0"/>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2018 Annual Grant: Based on Mr. Arduini’s short and long-term performance taking 2017 into account, retention, and market considerations, the</w:t>
      </w:r>
    </w:p>
    <w:p>
      <w:pPr>
        <w:spacing w:after="0" w:line="38" w:lineRule="exact"/>
        <w:rPr>
          <w:rFonts w:ascii="Arial" w:cs="Arial" w:eastAsia="Arial" w:hAnsi="Arial"/>
          <w:sz w:val="16"/>
          <w:szCs w:val="16"/>
          <w:color w:val="auto"/>
        </w:rPr>
      </w:pPr>
    </w:p>
    <w:p>
      <w:pPr>
        <w:ind w:left="860" w:right="80"/>
        <w:spacing w:after="0" w:line="288" w:lineRule="auto"/>
        <w:rPr>
          <w:rFonts w:ascii="Arial" w:cs="Arial" w:eastAsia="Arial" w:hAnsi="Arial"/>
          <w:sz w:val="16"/>
          <w:szCs w:val="16"/>
          <w:color w:val="auto"/>
        </w:rPr>
      </w:pPr>
      <w:r>
        <w:rPr>
          <w:rFonts w:ascii="Arial" w:cs="Arial" w:eastAsia="Arial" w:hAnsi="Arial"/>
          <w:sz w:val="16"/>
          <w:szCs w:val="16"/>
          <w:color w:val="auto"/>
        </w:rPr>
        <w:t>Committee approved a grant of $5,450,000, which was granted in March 2018, allocated as follows: (i) 20% in the form of restricted stock units (19,385 shares of restricted stock units) with annual vesting over three years and a deferral feature that provides the award will be paid following the six-month anniversary of Mr. Arduini’s termination; (ii) 30% in the form of non-qualified stock options (75,069 shares of non-qualified stock options); and (iii) 50% in the form of PSUs (48,462 shares of PSUs at target) with annual vesting over three years based on the achievement of annual organic revenue growth goals. The value of the March 2018 equity grant and resulting total direct compensation falls between the median and the 75th percentile of the peer group and emphasizes the importance of aligning CEO compensation with stockholder interests and rewards Mr. Arduini for significant continued accomplishments the Company made under his leadership.</w:t>
      </w:r>
    </w:p>
    <w:p>
      <w:pPr>
        <w:spacing w:after="0" w:line="41" w:lineRule="exact"/>
        <w:rPr>
          <w:rFonts w:ascii="Arial" w:cs="Arial" w:eastAsia="Arial" w:hAnsi="Arial"/>
          <w:sz w:val="16"/>
          <w:szCs w:val="16"/>
          <w:color w:val="auto"/>
        </w:rPr>
      </w:pPr>
    </w:p>
    <w:p>
      <w:pPr>
        <w:ind w:left="860" w:right="20" w:hanging="224"/>
        <w:spacing w:after="0" w:line="268"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underlying shares for the restricted stock unit grants in 2017 and 2018 will be deferred and will be delivered to Mr. Arduini within the 30-day period immediately following the six-month anniversary of his separation from service.</w:t>
      </w:r>
    </w:p>
    <w:p>
      <w:pPr>
        <w:spacing w:after="0" w:line="50" w:lineRule="exact"/>
        <w:rPr>
          <w:rFonts w:ascii="Arial" w:cs="Arial" w:eastAsia="Arial" w:hAnsi="Arial"/>
          <w:sz w:val="18"/>
          <w:szCs w:val="18"/>
          <w:color w:val="auto"/>
        </w:rPr>
      </w:pPr>
    </w:p>
    <w:p>
      <w:pPr>
        <w:ind w:left="860" w:right="120" w:hanging="224"/>
        <w:spacing w:after="0" w:line="268"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2017 and 2018 because the Company achieved the pre-established revenue growth performance goals which covers their respective performance periods in 2016 and 2017:</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PSUs VESTING IN 2017</w:t>
      </w:r>
    </w:p>
    <w:p>
      <w:pPr>
        <w:spacing w:after="0" w:line="90" w:lineRule="exact"/>
        <w:rPr>
          <w:sz w:val="20"/>
          <w:szCs w:val="20"/>
          <w:color w:val="auto"/>
        </w:rPr>
      </w:pPr>
    </w:p>
    <w:p>
      <w:pPr>
        <w:ind w:left="1180" w:hanging="20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PSUs VESTING IN 2018</w:t>
      </w:r>
    </w:p>
    <w:p>
      <w:pPr>
        <w:spacing w:after="0" w:line="90" w:lineRule="exact"/>
        <w:rPr>
          <w:sz w:val="20"/>
          <w:szCs w:val="20"/>
          <w:color w:val="auto"/>
        </w:rPr>
      </w:pPr>
    </w:p>
    <w:p>
      <w:pPr>
        <w:ind w:left="1180" w:hanging="20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 Arduini’s Compensation for 2017</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Company’s overall approach to Mr. Arduini’s compensation is consistent with the Company’s compensation philosophy in rewarding his strong leadership and individual performance, which is highlighted by</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his accomplishments as stated above, while, at the same time, providing Mr. Arduini with significant equity incentives so as to further ensure his alignment with the interests of the stockholders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exceeded its financial targets and was positioned for future growth under Mr. Arduini’s leadership in 2017. Accordingly, in 2017 the Company awarded Mr. Arduini a market competitive compensation package, substantially in the form of performance-based equity (80% of his annual equity award).</w:t>
      </w:r>
    </w:p>
    <w:p>
      <w:pPr>
        <w:spacing w:after="0" w:line="63" w:lineRule="exact"/>
        <w:rPr>
          <w:sz w:val="20"/>
          <w:szCs w:val="20"/>
          <w:color w:val="auto"/>
        </w:rPr>
      </w:pPr>
    </w:p>
    <w:p>
      <w:pPr>
        <w:ind w:left="200" w:right="140" w:firstLine="441"/>
        <w:spacing w:after="0" w:line="287" w:lineRule="auto"/>
        <w:rPr>
          <w:sz w:val="20"/>
          <w:szCs w:val="20"/>
          <w:color w:val="auto"/>
        </w:rPr>
      </w:pPr>
      <w:r>
        <w:rPr>
          <w:rFonts w:ascii="Arial" w:cs="Arial" w:eastAsia="Arial" w:hAnsi="Arial"/>
          <w:sz w:val="16"/>
          <w:szCs w:val="16"/>
          <w:color w:val="auto"/>
        </w:rPr>
        <w:t>Mr. Arduini’s reported total compensation increased from approximately $6.8 million in 2016 to approximately $7.1 million for his performance in 2017, as illustrated in the table below. This increase in total compensation primarily resulted from the Committee’s wanting to ensure that Mr. Arduini’s opportunity for total compensation remained competitive with the market and to recognize his performance and the Company’s performance in 2017. As a result, the Committee awarded him a $5.45 million equity grant, which was granted in March 2018 and apportioned among the various types of equity described above. Also, the Committee approved a cash bonus award of $1.463 million, which consisted of a cash bonus award at 121% of Mr. Arduini’s target bonus paid in March 2018, in alignment with the Company’s achievement of its performance metrics; and a $250,000 one-time cash bonus modifier for successfully meeting the performance objectives associated with the acquisition and integration of the Codman Neurosurgery business. In addition, the Committee approved a 5.3% base salary increase for 2018. For 2016, 2017 and 2018, a majority of his compensation is at risk and dependent upon future performance (80% of his 2016, 2017 and 2018 equity grants are performance-based). The following chart outlines the breakdown of Mr. Arduini’s compensation for 2016 and 2017 as well as his compensation received in March 2018 for his 2017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109220</wp:posOffset>
            </wp:positionV>
            <wp:extent cx="5274310" cy="17411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7431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Glenn G. Coleman, Corporate Vice President and Chief Financial Officer</w:t>
      </w:r>
    </w:p>
    <w:p>
      <w:pPr>
        <w:spacing w:after="0" w:line="9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Mr. Coleman is Corporate Vice President and Chief Financial Officer. In assessing his performance, the Committee considered Mr. Coleman’s performance against his objectives and his overall contributions to the Company. In assessing Mr. Coleman’s performance, the Committee considered his strong performance against his objectives and contribution to the Company’s success in 2017. Highlights of his contributions include the following: 1) the achievement of key financial metrics for the Company in 2017; 2) guiding the Company through the acquisitions of the Codman Neurosurgery business and Derma Sciences, Inc.; 3) securing the financing for the acquisition of the Codman Neurosurgery business under favorable credit terms; and 4) achievement of objectives associated with Integra’s International business. Based on his contributions in these areas the Committee approved the following compensation 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60" w:hanging="224"/>
        <w:spacing w:after="0" w:line="268"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2017: An increase in base salary of $15,750 or 2.65% to $540,000 effective April 1, 2017 (Integra’s global salary increase effective date) to reflect Mr. Coleman’s performance in 2016.</w:t>
      </w:r>
    </w:p>
    <w:p>
      <w:pPr>
        <w:spacing w:after="0" w:line="50" w:lineRule="exact"/>
        <w:rPr>
          <w:rFonts w:ascii="Arial" w:cs="Arial" w:eastAsia="Arial" w:hAnsi="Arial"/>
          <w:sz w:val="18"/>
          <w:szCs w:val="18"/>
          <w:color w:val="auto"/>
        </w:rPr>
      </w:pPr>
    </w:p>
    <w:p>
      <w:pPr>
        <w:ind w:left="860" w:right="280" w:hanging="224"/>
        <w:spacing w:after="0" w:line="268"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2018: An increase in base salary of $21,600 or 4% to $561,600 effective April 1, 2018 (Integra’s global salary increase effective date) to reflect Mr. Coleman’s performance in 2017.</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jc w:val="both"/>
        <w:ind w:left="860" w:right="780" w:hanging="224"/>
        <w:spacing w:after="0" w:line="306" w:lineRule="auto"/>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2017, the Committee awarded Mr. Coleman a cash bonus of $490,000, approximately 121% of target, paid in March 2018 for 2017 performance pursuant to the Bonus Plan. Mr. Coleman also received a one-time bonus modifier in the amount of $100,000 for meeting performance metrics related to the successful acquisition and integration of the Codman Neurosurgery business.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2017 Annual Grant: Based on Mr. Coleman’s 2016 performance and market considerations, the Committee approved a grant of $1,150,000, which</w:t>
      </w:r>
    </w:p>
    <w:p>
      <w:pPr>
        <w:spacing w:after="0" w:line="49" w:lineRule="exact"/>
        <w:rPr>
          <w:rFonts w:ascii="Arial" w:cs="Arial" w:eastAsia="Arial" w:hAnsi="Arial"/>
          <w:sz w:val="15"/>
          <w:szCs w:val="15"/>
          <w:color w:val="auto"/>
        </w:rPr>
      </w:pPr>
    </w:p>
    <w:p>
      <w:pPr>
        <w:ind w:left="860"/>
        <w:spacing w:after="0" w:line="302" w:lineRule="auto"/>
        <w:rPr>
          <w:rFonts w:ascii="Arial" w:cs="Arial" w:eastAsia="Arial" w:hAnsi="Arial"/>
          <w:sz w:val="15"/>
          <w:szCs w:val="15"/>
          <w:color w:val="auto"/>
        </w:rPr>
      </w:pPr>
      <w:r>
        <w:rPr>
          <w:rFonts w:ascii="Arial" w:cs="Arial" w:eastAsia="Arial" w:hAnsi="Arial"/>
          <w:sz w:val="16"/>
          <w:szCs w:val="16"/>
          <w:color w:val="auto"/>
        </w:rPr>
        <w:t>was granted in March 2017, and allocated as follows: (i) approximately 20% in the form of restricted stock with annual vesting over three years; (ii) approximately 30% in the form of non-qualified stock options with annual vesting over three years; and (iii) approximately 50% in the form of PSUs with annual vesting over a three-year performance period based on the achievement of revenue growth goals.</w:t>
      </w:r>
    </w:p>
    <w:p>
      <w:pPr>
        <w:spacing w:after="0" w:line="28" w:lineRule="exact"/>
        <w:rPr>
          <w:rFonts w:ascii="Arial" w:cs="Arial" w:eastAsia="Arial" w:hAnsi="Arial"/>
          <w:sz w:val="15"/>
          <w:szCs w:val="15"/>
          <w:color w:val="auto"/>
        </w:rPr>
      </w:pPr>
    </w:p>
    <w:p>
      <w:pPr>
        <w:ind w:left="860" w:hanging="224"/>
        <w:spacing w:after="0"/>
        <w:tabs>
          <w:tab w:leader="none" w:pos="8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2018 Annual Grant: Based on Mr. Coleman’s 2017 performance and market considerations, the Committee approved a grant of $1,242,000, which</w:t>
      </w:r>
    </w:p>
    <w:p>
      <w:pPr>
        <w:spacing w:after="0" w:line="49" w:lineRule="exact"/>
        <w:rPr>
          <w:rFonts w:ascii="Arial" w:cs="Arial" w:eastAsia="Arial" w:hAnsi="Arial"/>
          <w:sz w:val="15"/>
          <w:szCs w:val="15"/>
          <w:color w:val="auto"/>
        </w:rPr>
      </w:pPr>
    </w:p>
    <w:p>
      <w:pPr>
        <w:ind w:left="860" w:right="100"/>
        <w:spacing w:after="0" w:line="295" w:lineRule="auto"/>
        <w:rPr>
          <w:rFonts w:ascii="Arial" w:cs="Arial" w:eastAsia="Arial" w:hAnsi="Arial"/>
          <w:sz w:val="15"/>
          <w:szCs w:val="15"/>
          <w:color w:val="auto"/>
        </w:rPr>
      </w:pPr>
      <w:r>
        <w:rPr>
          <w:rFonts w:ascii="Arial" w:cs="Arial" w:eastAsia="Arial" w:hAnsi="Arial"/>
          <w:sz w:val="16"/>
          <w:szCs w:val="16"/>
          <w:color w:val="auto"/>
        </w:rPr>
        <w:t>was granted in March 2018, allocated as follows: (i) approximately 20% in the form of restricted stock (4,418 shares of restricted stock) with annual vesting over three years; (ii) approximately 30% in the form of non-qualified stock options (17,108 shares of non-qualified stock options) with annual vesting over three years; and (iii) approximately 50% in the form of PSUs (11,044 shares of PSUs at target) with annual vesting over three years based on the achievement of annual organic revenue growth goals.</w:t>
      </w:r>
    </w:p>
    <w:p>
      <w:pPr>
        <w:spacing w:after="0" w:line="34" w:lineRule="exact"/>
        <w:rPr>
          <w:rFonts w:ascii="Arial" w:cs="Arial" w:eastAsia="Arial" w:hAnsi="Arial"/>
          <w:sz w:val="15"/>
          <w:szCs w:val="15"/>
          <w:color w:val="auto"/>
        </w:rPr>
      </w:pPr>
    </w:p>
    <w:p>
      <w:pPr>
        <w:ind w:left="860" w:right="140" w:hanging="224"/>
        <w:spacing w:after="0" w:line="268"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2017 and 2018 because the Company achieved the pre-established revenue growth performance goals which covers their respective performance periods in 2016 and 2017:</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180" w:hanging="20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w:t>
      </w:r>
    </w:p>
    <w:p>
      <w:pPr>
        <w:spacing w:after="0" w:line="90" w:lineRule="exact"/>
        <w:rPr>
          <w:sz w:val="20"/>
          <w:szCs w:val="20"/>
          <w:color w:val="auto"/>
        </w:rPr>
      </w:pPr>
    </w:p>
    <w:p>
      <w:pPr>
        <w:ind w:left="1180" w:hanging="20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Mr. Coleman does not have an employment agreement with the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Richard D. Gorelick, Corporate Vice President, General Counsel, Administration and Secretary</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Mr. Gorelick is the Corporate Vice President General Counsel, Administration and Secretary and manages the Law Department. In assessing his performance, the Committee considered Mr. Gorelick’s performance against his objectives and overall contributions, including leadership through the Codman Neurosurgery business and Derma Sciences, Inc. acquisitions, and his expertise in managing the global legal function, crisis management, managing litigation and employment law matters and continued development of members of the Law Department. Based on his contributions in these areas the Committee approved the following compensation actions: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hanging="224"/>
        <w:spacing w:after="0" w:line="268"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2017: An increase in base salary of $10,000 or 2.58% to $397,188 effective April 1, 2017 (Integra’s global salary increase effective date) to reflect Mr. Gorelick’s performance in 2016.</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24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280" w:hanging="224"/>
        <w:spacing w:after="0" w:line="268"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2018: An increase in base salary of $11,916 or 3% to $409,104 effective April 1, 2018 (Integra’s global salary increase effective date) to reflect Mr. Gorelick’s performance in 2017.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jc w:val="both"/>
        <w:ind w:left="860" w:right="160" w:hanging="224"/>
        <w:spacing w:after="0" w:line="259"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2017, the Committee awarded Mr. Gorelick a cash bonus of $215,000, 120% of target, paid in March 2018 for 2017 performance pursuant to the Bonus Plan. Mr. Gorelick also received a one-time bonus modifier in the amount of $100,000 for meeting performance metrics related to the successful acquisition and integration of the Codman Neurosurgery business.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2017 Annual Grant: Based on Mr. Gorelick’s 2016 performance and market considerations, the Committee approved a grant of $315,000, which</w:t>
      </w:r>
    </w:p>
    <w:p>
      <w:pPr>
        <w:spacing w:after="0" w:line="38" w:lineRule="exact"/>
        <w:rPr>
          <w:rFonts w:ascii="Arial" w:cs="Arial" w:eastAsia="Arial" w:hAnsi="Arial"/>
          <w:sz w:val="16"/>
          <w:szCs w:val="16"/>
          <w:color w:val="auto"/>
        </w:rPr>
      </w:pPr>
    </w:p>
    <w:p>
      <w:pPr>
        <w:ind w:left="860" w:right="120"/>
        <w:spacing w:after="0" w:line="302" w:lineRule="auto"/>
        <w:rPr>
          <w:rFonts w:ascii="Arial" w:cs="Arial" w:eastAsia="Arial" w:hAnsi="Arial"/>
          <w:sz w:val="16"/>
          <w:szCs w:val="16"/>
          <w:color w:val="auto"/>
        </w:rPr>
      </w:pPr>
      <w:r>
        <w:rPr>
          <w:rFonts w:ascii="Arial" w:cs="Arial" w:eastAsia="Arial" w:hAnsi="Arial"/>
          <w:sz w:val="16"/>
          <w:szCs w:val="16"/>
          <w:color w:val="auto"/>
        </w:rPr>
        <w:t>was granted in March 2017, and allocated as follows: (i) approximately 20% in the form of restricted stock with annual vesting over three years; (ii) approximately 30% in the form of non-qualified stock options with annual vesting over four years; and (iii) approximately 50% in the form of PSUs , with annual vesting over a three-year performance period based on the achievement of revenue growth goals.</w:t>
      </w:r>
    </w:p>
    <w:p>
      <w:pPr>
        <w:spacing w:after="0" w:line="28" w:lineRule="exact"/>
        <w:rPr>
          <w:rFonts w:ascii="Arial" w:cs="Arial" w:eastAsia="Arial" w:hAnsi="Arial"/>
          <w:sz w:val="16"/>
          <w:szCs w:val="16"/>
          <w:color w:val="auto"/>
        </w:rPr>
      </w:pPr>
    </w:p>
    <w:p>
      <w:pPr>
        <w:ind w:left="860" w:hanging="224"/>
        <w:spacing w:after="0"/>
        <w:tabs>
          <w:tab w:leader="none" w:pos="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2018 Annual Grant: Based on Mr. Gorelick’s 2017 performance and market considerations, the Committee approved a grant of $350,000, which</w:t>
      </w:r>
    </w:p>
    <w:p>
      <w:pPr>
        <w:spacing w:after="0" w:line="38" w:lineRule="exact"/>
        <w:rPr>
          <w:rFonts w:ascii="Arial" w:cs="Arial" w:eastAsia="Arial" w:hAnsi="Arial"/>
          <w:sz w:val="16"/>
          <w:szCs w:val="16"/>
          <w:color w:val="auto"/>
        </w:rPr>
      </w:pPr>
    </w:p>
    <w:p>
      <w:pPr>
        <w:ind w:left="860" w:right="140"/>
        <w:spacing w:after="0" w:line="295" w:lineRule="auto"/>
        <w:rPr>
          <w:rFonts w:ascii="Arial" w:cs="Arial" w:eastAsia="Arial" w:hAnsi="Arial"/>
          <w:sz w:val="16"/>
          <w:szCs w:val="16"/>
          <w:color w:val="auto"/>
        </w:rPr>
      </w:pPr>
      <w:r>
        <w:rPr>
          <w:rFonts w:ascii="Arial" w:cs="Arial" w:eastAsia="Arial" w:hAnsi="Arial"/>
          <w:sz w:val="16"/>
          <w:szCs w:val="16"/>
          <w:color w:val="auto"/>
        </w:rPr>
        <w:t>was granted in March 2018, and allocated as follows: (i) approximately 20% in the form of restricted stock (1,245 shares of restricted stock) with annual vesting over three years; (ii) approximately 30% in the form of non-qualified stock options (4,821 shares of non-qualified stock options) with annual vesting over four years; and (iii) approximately 50% in the form of PSUs (3,113 shares of PSUs at target), with annual vesting over three years based on the achievement of annual organic revenue growth goals.</w:t>
      </w:r>
    </w:p>
    <w:p>
      <w:pPr>
        <w:spacing w:after="0" w:line="34" w:lineRule="exact"/>
        <w:rPr>
          <w:rFonts w:ascii="Arial" w:cs="Arial" w:eastAsia="Arial" w:hAnsi="Arial"/>
          <w:sz w:val="16"/>
          <w:szCs w:val="16"/>
          <w:color w:val="auto"/>
        </w:rPr>
      </w:pPr>
    </w:p>
    <w:p>
      <w:pPr>
        <w:ind w:left="860" w:right="240" w:hanging="224"/>
        <w:spacing w:after="0" w:line="268"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2017 and 2018 because the Company achieved the pre-established revenue growth goals which covers their respective performance periods in 2016 and 2017:</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180" w:hanging="20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w:t>
      </w:r>
    </w:p>
    <w:p>
      <w:pPr>
        <w:spacing w:after="0" w:line="90" w:lineRule="exact"/>
        <w:rPr>
          <w:sz w:val="20"/>
          <w:szCs w:val="20"/>
          <w:color w:val="auto"/>
        </w:rPr>
      </w:pPr>
    </w:p>
    <w:p>
      <w:pPr>
        <w:ind w:left="1180" w:hanging="20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Robert T. Davis, Jr., Corporate Vice President and President — Orthopedics and Tissue Technologies</w:t>
      </w:r>
    </w:p>
    <w:p>
      <w:pPr>
        <w:spacing w:after="0" w:line="90" w:lineRule="exact"/>
        <w:rPr>
          <w:sz w:val="20"/>
          <w:szCs w:val="20"/>
          <w:color w:val="auto"/>
        </w:rPr>
      </w:pPr>
    </w:p>
    <w:p>
      <w:pPr>
        <w:ind w:left="200" w:right="20" w:firstLine="441"/>
        <w:spacing w:after="0" w:line="323" w:lineRule="auto"/>
        <w:rPr>
          <w:sz w:val="20"/>
          <w:szCs w:val="20"/>
          <w:color w:val="auto"/>
        </w:rPr>
      </w:pPr>
      <w:r>
        <w:rPr>
          <w:rFonts w:ascii="Arial" w:cs="Arial" w:eastAsia="Arial" w:hAnsi="Arial"/>
          <w:sz w:val="15"/>
          <w:szCs w:val="15"/>
          <w:color w:val="auto"/>
        </w:rPr>
        <w:t>Mr. Davis is Corporate Vice President and President — Orthopedic and Tissue Technologies. In assessing his performance, the Committee considered Mr. Davis’s performance against his objectives in 2017. His contributions included the following: 1) launched channel expansion strategy resulting in four vertical channels and incremental sales headcount to support the growth of the division; 2) led the successful integration of Derma Sciences Inc.; and 3) successfully launched 11 new products. Based on his contributions in these areas the Committee approved the following compensation actions:</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hanging="224"/>
        <w:spacing w:after="0" w:line="268"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2017: An increase in base salary of $15,000 or 3.49% to $445,000, effective April 1, 2017 (Integra’s global salary increase effective date) to reflect Mr. Davis’ performance in 2016.</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120" w:hanging="224"/>
        <w:spacing w:after="0" w:line="268"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2018: An increase in base salary of $17,800 or 4% to $462,800, effective April 1, 2018 (Integra’s global salary increase effective date) to reflect Mr. Davis’ performance in 2017.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860" w:hanging="224"/>
        <w:spacing w:after="0" w:line="268"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2017, the Committee awarded Mr. Davis a cash bonus of $360,000, 135% of target, paid in March 2018 for 2017 performance pursuant to the Bonus Plan.</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2017 Annual Grant: Based on Mr. Davis’ 2016 performance and market considerations, the Committee approved a grant of $625,000, which was</w:t>
      </w:r>
    </w:p>
    <w:p>
      <w:pPr>
        <w:spacing w:after="0" w:line="3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granted in March 2017, and allocated as follows: (i) approximately 20% in the form of restricted stock with annual vesting over three years;</w:t>
      </w:r>
    </w:p>
    <w:p>
      <w:pPr>
        <w:spacing w:after="0" w:line="32" w:lineRule="exact"/>
        <w:rPr>
          <w:rFonts w:ascii="Arial" w:cs="Arial" w:eastAsia="Arial" w:hAnsi="Arial"/>
          <w:sz w:val="16"/>
          <w:szCs w:val="16"/>
          <w:color w:val="auto"/>
        </w:rPr>
      </w:pPr>
    </w:p>
    <w:p>
      <w:pPr>
        <w:ind w:left="860" w:right="20"/>
        <w:spacing w:after="0" w:line="323" w:lineRule="auto"/>
        <w:rPr>
          <w:rFonts w:ascii="Arial" w:cs="Arial" w:eastAsia="Arial" w:hAnsi="Arial"/>
          <w:sz w:val="16"/>
          <w:szCs w:val="16"/>
          <w:color w:val="auto"/>
        </w:rPr>
      </w:pPr>
      <w:r>
        <w:rPr>
          <w:rFonts w:ascii="Arial" w:cs="Arial" w:eastAsia="Arial" w:hAnsi="Arial"/>
          <w:sz w:val="16"/>
          <w:szCs w:val="16"/>
          <w:color w:val="auto"/>
        </w:rPr>
        <w:t>(ii) approximately 30% in the form of non-qualified stock options with annual vesting over four years; and (iii) approximately 50% in the form of PSUs , with annual vesting over a three-year performance period based on the achievement of revenue growth goals..</w:t>
      </w:r>
    </w:p>
    <w:p>
      <w:pPr>
        <w:spacing w:after="0" w:line="11" w:lineRule="exact"/>
        <w:rPr>
          <w:rFonts w:ascii="Arial" w:cs="Arial" w:eastAsia="Arial" w:hAnsi="Arial"/>
          <w:sz w:val="16"/>
          <w:szCs w:val="16"/>
          <w:color w:val="auto"/>
        </w:rPr>
      </w:pPr>
    </w:p>
    <w:p>
      <w:pPr>
        <w:ind w:left="860" w:hanging="224"/>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2018 Annual Grant: Based on Mr. Davis’ 2017 performance and market considerations, the Committee approved a grant of $625,000, which was</w:t>
      </w:r>
    </w:p>
    <w:p>
      <w:pPr>
        <w:spacing w:after="0" w:line="38" w:lineRule="exact"/>
        <w:rPr>
          <w:rFonts w:ascii="Arial" w:cs="Arial" w:eastAsia="Arial" w:hAnsi="Arial"/>
          <w:sz w:val="16"/>
          <w:szCs w:val="16"/>
          <w:color w:val="auto"/>
        </w:rPr>
      </w:pPr>
    </w:p>
    <w:p>
      <w:pPr>
        <w:ind w:left="860" w:right="140"/>
        <w:spacing w:after="0" w:line="295" w:lineRule="auto"/>
        <w:rPr>
          <w:rFonts w:ascii="Arial" w:cs="Arial" w:eastAsia="Arial" w:hAnsi="Arial"/>
          <w:sz w:val="16"/>
          <w:szCs w:val="16"/>
          <w:color w:val="auto"/>
        </w:rPr>
      </w:pPr>
      <w:r>
        <w:rPr>
          <w:rFonts w:ascii="Arial" w:cs="Arial" w:eastAsia="Arial" w:hAnsi="Arial"/>
          <w:sz w:val="16"/>
          <w:szCs w:val="16"/>
          <w:color w:val="auto"/>
        </w:rPr>
        <w:t>granted in March 2018, and allocated as follows: (i) approximately 20% in the form of restricted stock (2,224 shares of restricted stock) with annual vesting over three years; (ii) approximately 30% in the form of non-qualified stock options (8,609 shares of non-qualified stock options) with annual vesting over four years; and (iii) approximately 50% in the form of PSUs (5,558 shares of PSUs at target), with annual vesting over three years based on the achievement of annual organic revenue growth goals.</w:t>
      </w:r>
    </w:p>
    <w:p>
      <w:pPr>
        <w:spacing w:after="0" w:line="34" w:lineRule="exact"/>
        <w:rPr>
          <w:rFonts w:ascii="Arial" w:cs="Arial" w:eastAsia="Arial" w:hAnsi="Arial"/>
          <w:sz w:val="16"/>
          <w:szCs w:val="16"/>
          <w:color w:val="auto"/>
        </w:rPr>
      </w:pPr>
    </w:p>
    <w:p>
      <w:pPr>
        <w:ind w:left="860" w:right="140" w:hanging="224"/>
        <w:spacing w:after="0" w:line="268"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2017 and 2018 because the Company achieved the pre-established revenue growth goals which covers their respective performance periods in 2016 and 2017:</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180" w:hanging="20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w:t>
      </w:r>
    </w:p>
    <w:p>
      <w:pPr>
        <w:spacing w:after="0" w:line="90" w:lineRule="exact"/>
        <w:rPr>
          <w:sz w:val="20"/>
          <w:szCs w:val="20"/>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Daniel L. Reuvers, Corporate Vice President and President — Codman Surgical Solutions</w:t>
      </w:r>
    </w:p>
    <w:p>
      <w:pPr>
        <w:spacing w:after="0" w:line="90" w:lineRule="exact"/>
        <w:rPr>
          <w:sz w:val="20"/>
          <w:szCs w:val="20"/>
          <w:color w:val="auto"/>
        </w:rPr>
      </w:pPr>
    </w:p>
    <w:p>
      <w:pPr>
        <w:ind w:left="200" w:right="400" w:firstLine="441"/>
        <w:spacing w:after="0" w:line="298" w:lineRule="auto"/>
        <w:rPr>
          <w:sz w:val="20"/>
          <w:szCs w:val="20"/>
          <w:color w:val="auto"/>
        </w:rPr>
      </w:pPr>
      <w:r>
        <w:rPr>
          <w:rFonts w:ascii="Arial" w:cs="Arial" w:eastAsia="Arial" w:hAnsi="Arial"/>
          <w:sz w:val="16"/>
          <w:szCs w:val="16"/>
          <w:color w:val="auto"/>
        </w:rPr>
        <w:t>Mr. Reuvers is Corporate Vice President and President — Codman Specialty Surgical. In assessing his performance, the Committee considered Mr. Reuvers’ performance against his objectives and his overall achievement of critical milestones, business metrics and the following significant contributions: 1) successful global launch of CUSA Clarity; and 2) leading the organization through the closing and integration of the Codman Neurosurgery business. Based on his contributions in these areas the Committee approved the following compensation actions: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860" w:right="40" w:hanging="224"/>
        <w:spacing w:after="0" w:line="259"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2017: An increase in base salary of $8,000 or 2.16% to $378,000 effective April 1, 2017 (Integra’s global salary increase effective date) to reflect Mr. Reuvers’ performance in 2016. In addition, the Committee approved an increase in base salary of $22,680 or 6% to $400,680 effective December 11, 2017.</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240" w:top="459" w:right="5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right="60" w:hanging="224"/>
        <w:spacing w:after="0" w:line="268"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2018: An increase in base salary of $24,320 or 6.07% to $425,000 effective April 1, 2018 (Integra’s global salary increase effective date) to reflect Mr. Reuvers’ performance in 2017.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jc w:val="both"/>
        <w:ind w:left="860" w:right="200" w:hanging="224"/>
        <w:spacing w:after="0" w:line="259"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2017, the Committee awarded Mr. Reuvers a cash bonus of $225,000, 112% of target, paid in March 2018 for 2017 performance pursuant to the Bonus Plan. Mr. Reuvers also received a one-time bonus modifier in the amount of $150,000 for meeting performance metrics related to the successful acquisition and integration of the Codman Neurosurgery business.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860" w:hanging="224"/>
        <w:spacing w:after="0"/>
        <w:tabs>
          <w:tab w:leader="none" w:pos="8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2017 Annual Grant: Based on Mr. Reuvers’ 2016 performance and market considerations, the Committee approved a grant of $375,000, which was</w:t>
      </w:r>
    </w:p>
    <w:p>
      <w:pPr>
        <w:spacing w:after="0" w:line="49"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6"/>
          <w:szCs w:val="16"/>
          <w:color w:val="auto"/>
        </w:rPr>
        <w:t>granted in March 2017, and allocated as follows: (i) approximately 20% in the form of restricted stock with annual vesting over three years;</w:t>
      </w:r>
    </w:p>
    <w:p>
      <w:pPr>
        <w:spacing w:after="0" w:line="32" w:lineRule="exact"/>
        <w:rPr>
          <w:rFonts w:ascii="Arial" w:cs="Arial" w:eastAsia="Arial" w:hAnsi="Arial"/>
          <w:sz w:val="15"/>
          <w:szCs w:val="15"/>
          <w:color w:val="auto"/>
        </w:rPr>
      </w:pPr>
    </w:p>
    <w:p>
      <w:pPr>
        <w:ind w:left="860" w:right="120"/>
        <w:spacing w:after="0" w:line="323" w:lineRule="auto"/>
        <w:rPr>
          <w:rFonts w:ascii="Arial" w:cs="Arial" w:eastAsia="Arial" w:hAnsi="Arial"/>
          <w:sz w:val="15"/>
          <w:szCs w:val="15"/>
          <w:color w:val="auto"/>
        </w:rPr>
      </w:pPr>
      <w:r>
        <w:rPr>
          <w:rFonts w:ascii="Arial" w:cs="Arial" w:eastAsia="Arial" w:hAnsi="Arial"/>
          <w:sz w:val="16"/>
          <w:szCs w:val="16"/>
          <w:color w:val="auto"/>
        </w:rPr>
        <w:t>(ii) approximately 30% in the form of non-qualified stock options with annual vesting over four years; and (iii) approximately 50% in the form of PSUs , with annual vesting over a three-year performance period based on the achievement of revenue growth goals.</w:t>
      </w:r>
    </w:p>
    <w:p>
      <w:pPr>
        <w:spacing w:after="0" w:line="11" w:lineRule="exact"/>
        <w:rPr>
          <w:rFonts w:ascii="Arial" w:cs="Arial" w:eastAsia="Arial" w:hAnsi="Arial"/>
          <w:sz w:val="15"/>
          <w:szCs w:val="15"/>
          <w:color w:val="auto"/>
        </w:rPr>
      </w:pPr>
    </w:p>
    <w:p>
      <w:pPr>
        <w:ind w:left="860" w:hanging="224"/>
        <w:spacing w:after="0"/>
        <w:tabs>
          <w:tab w:leader="none" w:pos="8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2018 Annual Grant: Based on Mr. Reuvers’ 2017 performance and market considerations, the Committee approved a grant of $560,000, which was</w:t>
      </w:r>
    </w:p>
    <w:p>
      <w:pPr>
        <w:spacing w:after="0" w:line="49" w:lineRule="exact"/>
        <w:rPr>
          <w:rFonts w:ascii="Arial" w:cs="Arial" w:eastAsia="Arial" w:hAnsi="Arial"/>
          <w:sz w:val="15"/>
          <w:szCs w:val="15"/>
          <w:color w:val="auto"/>
        </w:rPr>
      </w:pPr>
    </w:p>
    <w:p>
      <w:pPr>
        <w:ind w:left="860" w:right="240"/>
        <w:spacing w:after="0" w:line="295" w:lineRule="auto"/>
        <w:rPr>
          <w:rFonts w:ascii="Arial" w:cs="Arial" w:eastAsia="Arial" w:hAnsi="Arial"/>
          <w:sz w:val="15"/>
          <w:szCs w:val="15"/>
          <w:color w:val="auto"/>
        </w:rPr>
      </w:pPr>
      <w:r>
        <w:rPr>
          <w:rFonts w:ascii="Arial" w:cs="Arial" w:eastAsia="Arial" w:hAnsi="Arial"/>
          <w:sz w:val="16"/>
          <w:szCs w:val="16"/>
          <w:color w:val="auto"/>
        </w:rPr>
        <w:t>granted in March 2018, and allocated as follows: (i) approximately 20% in the form of restricted stock (1,992 shares of restricted stock) with annual vesting over three years; (ii) approximately 30% in the form of non-qualified stock options (7,714 shares of non-qualified stock options) with annual vesting over four years; and (iii) approximately 50% in the form of PSUs (4,980 shares of PSUs at target), with annual vesting over three years based on the achievement of annual organic revenue growth goals.</w:t>
      </w:r>
    </w:p>
    <w:p>
      <w:pPr>
        <w:spacing w:after="0" w:line="34" w:lineRule="exact"/>
        <w:rPr>
          <w:rFonts w:ascii="Arial" w:cs="Arial" w:eastAsia="Arial" w:hAnsi="Arial"/>
          <w:sz w:val="15"/>
          <w:szCs w:val="15"/>
          <w:color w:val="auto"/>
        </w:rPr>
      </w:pPr>
    </w:p>
    <w:p>
      <w:pPr>
        <w:ind w:left="860" w:right="240" w:hanging="224"/>
        <w:spacing w:after="0" w:line="268"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2017 and 2018 because the Company achieved the pre-established revenue growth goals which covers their respective performance periods in 2016 and 2017:</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180" w:hanging="20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PSU VESTING IN 2018</w:t>
      </w:r>
    </w:p>
    <w:p>
      <w:pPr>
        <w:spacing w:after="0" w:line="90" w:lineRule="exact"/>
        <w:rPr>
          <w:sz w:val="20"/>
          <w:szCs w:val="20"/>
          <w:color w:val="auto"/>
        </w:rPr>
      </w:pPr>
    </w:p>
    <w:p>
      <w:pPr>
        <w:ind w:left="1180" w:hanging="20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2015 PSU grant — third performance period vested at target;</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2016 PSU grant — second performance period vested at 150% of the target number of shares; and</w:t>
      </w:r>
    </w:p>
    <w:p>
      <w:pPr>
        <w:spacing w:after="0" w:line="90" w:lineRule="exact"/>
        <w:rPr>
          <w:rFonts w:ascii="Arial" w:cs="Arial" w:eastAsia="Arial" w:hAnsi="Arial"/>
          <w:sz w:val="18"/>
          <w:szCs w:val="18"/>
          <w:color w:val="auto"/>
        </w:rPr>
      </w:pPr>
    </w:p>
    <w:p>
      <w:pPr>
        <w:ind w:left="1180" w:hanging="20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2017 PSU grant — first performance period vested at 150% of the target number of shares.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NEOs. It determines the compensation of the CEO, and reviews and approves the compensation of the remaining NEOs.</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The Committee retains Willis Towers Watson PLC as a consultant on executive compensation matters. Willis Towers Watson provides market analyses and recommendations that inform the Committee’s decisions,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59" w:lineRule="exact"/>
        <w:rPr>
          <w:sz w:val="20"/>
          <w:szCs w:val="20"/>
          <w:color w:val="auto"/>
        </w:rPr>
      </w:pPr>
    </w:p>
    <w:p>
      <w:pPr>
        <w:ind w:left="200" w:right="500" w:firstLine="441"/>
        <w:spacing w:after="0" w:line="306" w:lineRule="auto"/>
        <w:rPr>
          <w:sz w:val="20"/>
          <w:szCs w:val="20"/>
          <w:color w:val="auto"/>
        </w:rPr>
      </w:pPr>
      <w:r>
        <w:rPr>
          <w:rFonts w:ascii="Arial" w:cs="Arial" w:eastAsia="Arial" w:hAnsi="Arial"/>
          <w:sz w:val="16"/>
          <w:szCs w:val="16"/>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2017, Willis Towers Watson provided consulting services only to the Committee.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Willis Towers Watson periodically meets with the Committee chair and the Committee in executive session outside the presence of management.</w:t>
      </w:r>
    </w:p>
    <w:p>
      <w:pPr>
        <w:spacing w:after="0" w:line="113"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Committee met six times in 2017; the Committee also meets periodically in executive sessions. The Committee’s independent advisers participated in several of the Committee’s meetings and, when requested by the Committee chair, in the preparatory meetings.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Our CEO provides significant input on the compensation for his direct reports and other NEOs — beginning with an annual review of 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32"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On an annual basis, management considers market competitiveness, business results, experience and individual performance in evaluating executive compensation. The Chief Human Resources Officer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and Accounting Matters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162(m) of the Internal Revenue Code disallows a tax deduction for any publicly held corporation for individual compensation exceeding</w:t>
      </w:r>
    </w:p>
    <w:p>
      <w:pPr>
        <w:spacing w:after="0" w:line="38"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$1 million in any taxable year for “covered employees.” Prior to the Tax Cuts and Jobs Act of 2017 (the “TCJA”), covered employees generally consisted of our CEO and each of the next three highest compensated officers serving at the end of the taxable year other than our CFO, and compensation that qualified as “performance-based” under Section 162(m) was exempt from this $1 million deduction limitation. As part of the TCJA, the ability to rely on this exemption was, with certain limited exceptions, eliminated; in addition, the definition of covered employees was expanded to generally include all named executive officers. Although we maintain compensation plans that originally were intended to permit the payment of compensation deductible under Section 162(m), subject to the TCJA’s limited transition relief rules, we may no longer be able to take a deduction for any compensation in excess of $1 million that is paid to a covered employee.</w:t>
      </w:r>
    </w:p>
    <w:p>
      <w:pPr>
        <w:spacing w:after="0" w:line="42" w:lineRule="exact"/>
        <w:rPr>
          <w:sz w:val="20"/>
          <w:szCs w:val="20"/>
          <w:color w:val="auto"/>
        </w:rPr>
      </w:pPr>
    </w:p>
    <w:p>
      <w:pPr>
        <w:ind w:left="200" w:right="720" w:firstLine="441"/>
        <w:spacing w:after="0" w:line="332" w:lineRule="auto"/>
        <w:rPr>
          <w:sz w:val="20"/>
          <w:szCs w:val="20"/>
          <w:color w:val="auto"/>
        </w:rPr>
      </w:pPr>
      <w:r>
        <w:rPr>
          <w:rFonts w:ascii="Arial" w:cs="Arial" w:eastAsia="Arial" w:hAnsi="Arial"/>
          <w:sz w:val="16"/>
          <w:szCs w:val="16"/>
          <w:color w:val="auto"/>
        </w:rPr>
        <w:t>The Committee also endeavors to structure NEO compensation in a manner that is either compliant with, or exempt from, the application of Section 409A of the Internal Revenue Code, the provisions of which may impose additional taxes to employees.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w:t>
      </w:r>
    </w:p>
    <w:p>
      <w:pPr>
        <w:spacing w:after="0" w:line="90"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We account for stock-based compensation in accordance with FASB ASC Topic 718, which requires us to recognize compensation expense for share-based payments (including non-qualified stock options, restricted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335" w:lineRule="auto"/>
        <w:rPr>
          <w:sz w:val="20"/>
          <w:szCs w:val="20"/>
          <w:color w:val="auto"/>
        </w:rPr>
      </w:pPr>
      <w:r>
        <w:rPr>
          <w:rFonts w:ascii="Arial" w:cs="Arial" w:eastAsia="Arial" w:hAnsi="Arial"/>
          <w:sz w:val="15"/>
          <w:szCs w:val="15"/>
          <w:color w:val="auto"/>
        </w:rPr>
        <w:t>stock, restricted stock units, PSUs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In February 2017, we entered into change-in-control severance agreements with Messrs. Coleman, Gorelick, Davis, and Reuvers that expired January 31, 2018 (the “Change-in-Control Severance Agreements”). The Change-in-Control Severance Agreements provided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Change-in-Control Severance Agreements). Thereafter, the Company entered into new change-in-control severance agreements in February 2018 for Messrs. Coleman, Gorelick, Davis, and Reuvers providing for the same payment of severance and other benefits as stated in the expired Change-in-Control Severance Agreements. These new change-in-control severance agreements do not provide for any excise tax gross-ups and have double-trigger cash payments. These new change-in-control severance agreements will expire in January 2019.</w:t>
      </w:r>
    </w:p>
    <w:p>
      <w:pPr>
        <w:spacing w:after="0" w:line="37" w:lineRule="exact"/>
        <w:rPr>
          <w:sz w:val="20"/>
          <w:szCs w:val="20"/>
          <w:color w:val="auto"/>
        </w:rPr>
      </w:pPr>
    </w:p>
    <w:p>
      <w:pPr>
        <w:ind w:left="200" w:right="260" w:firstLine="441"/>
        <w:spacing w:after="0" w:line="268"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Peter J. Arduini</w:t>
      </w:r>
    </w:p>
    <w:p>
      <w:pPr>
        <w:spacing w:after="0" w:line="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promotion to President and Chief Executive Officer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and then most recently again in October 2017, as it was set to expire December 31, 2017, for retention purposes, as well as the desire to motivate Mr. Arduini to improve the Company’s performance and continue to position Integra for future growth. The terms of the amended and restated employment agreement are described below.</w:t>
      </w:r>
    </w:p>
    <w:p>
      <w:pPr>
        <w:spacing w:after="0" w:line="39"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color w:val="auto"/>
        </w:rPr>
        <w:t>On October 24, 2017, the Company entered into the Third Amended and Restated Employment Agreement with Mr. Arduini (the “Arduini Agreement”). The Arduini Agreement is effective January 1, 2018, and amends and restates the Second Amended and Restated Employment Agreement between the Company and Mr. Arduini, dated June 16, 2014, that was scheduled to expire on December 31, 2017.</w:t>
      </w:r>
    </w:p>
    <w:p>
      <w:pPr>
        <w:spacing w:after="0" w:line="2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Unless earlier terminated, the term of the Arduini Agreement will terminate on December 31, 2020. If a change in control of the Company were to occur prior to the expiration of the term, the employment period will instead continue through the later of December 31, 2020, or the second anniversary of the consummation of the change in control.</w:t>
      </w:r>
    </w:p>
    <w:p>
      <w:pPr>
        <w:spacing w:after="0" w:line="59" w:lineRule="exact"/>
        <w:rPr>
          <w:sz w:val="20"/>
          <w:szCs w:val="20"/>
          <w:color w:val="auto"/>
        </w:rPr>
      </w:pPr>
    </w:p>
    <w:p>
      <w:pPr>
        <w:jc w:val="both"/>
        <w:ind w:left="200" w:right="400" w:firstLine="441"/>
        <w:spacing w:after="0" w:line="306" w:lineRule="auto"/>
        <w:rPr>
          <w:sz w:val="20"/>
          <w:szCs w:val="20"/>
          <w:color w:val="auto"/>
        </w:rPr>
      </w:pPr>
      <w:r>
        <w:rPr>
          <w:rFonts w:ascii="Arial" w:cs="Arial" w:eastAsia="Arial" w:hAnsi="Arial"/>
          <w:sz w:val="16"/>
          <w:szCs w:val="16"/>
          <w:color w:val="auto"/>
        </w:rPr>
        <w:t>Under the Arduini Agreement, Mr. Arduini is entitled to receive an annual base salary of $911,662, and he remains eligible for an annual bonus opportunity targeted at 120% of his annual base salary. Mr. Arduini’s bonus opportunity will range from 50% of his target annual bonus opportunity (if threshold performance goals are achieved) to a maximum of 200% of his target annual bonus opportunity.</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Arduini’s base salary is subject to annual review and may be increased in the discretion of the Company.</w:t>
      </w:r>
    </w:p>
    <w:p>
      <w:pPr>
        <w:spacing w:after="0" w:line="9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Any annual equity awards will be granted pursuant to award agreements on forms substantially similar to the applicable form attached to the Arduini Agreement, which include provisions for accelerated time-vesting in connection with Mr. Arduini’s retirement. 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non-qualified stock options will remain exercisable for up to two years following a qualifying termination or such longer period of time provided in the applicable option agreement.</w:t>
      </w:r>
    </w:p>
    <w:p>
      <w:pPr>
        <w:spacing w:after="0" w:line="64"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26"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Under the Arduini Agreement, if Mr. Arduini’s employment is terminated outside the context of a change in control by the Company other than for “cause,” death or “disability,” or by Mr. Arduini for “good reason” (each, as defined in the Arduini Agreement), then, in addition to accrued amounts, Mr. Arduini will be entitled to the following payments and benefits:</w:t>
      </w:r>
    </w:p>
    <w:p>
      <w:pPr>
        <w:spacing w:after="0" w:line="59" w:lineRule="exact"/>
        <w:rPr>
          <w:sz w:val="20"/>
          <w:szCs w:val="20"/>
          <w:color w:val="auto"/>
        </w:rPr>
      </w:pPr>
    </w:p>
    <w:p>
      <w:pPr>
        <w:ind w:left="860" w:hanging="224"/>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lump-sum payment equal to 2.99 times Mr. Arduini’s annual base salary;</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Company-subsidized healthcare continuation coverage for Mr. Arduini and his dependents for up to eighteen months after his termination date; and</w:t>
      </w:r>
    </w:p>
    <w:p>
      <w:pPr>
        <w:spacing w:after="0" w:line="124" w:lineRule="exact"/>
        <w:rPr>
          <w:rFonts w:ascii="Arial" w:cs="Arial" w:eastAsia="Arial" w:hAnsi="Arial"/>
          <w:sz w:val="15"/>
          <w:szCs w:val="15"/>
          <w:color w:val="auto"/>
        </w:rPr>
      </w:pPr>
    </w:p>
    <w:p>
      <w:pPr>
        <w:ind w:left="860" w:hanging="224"/>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90"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If Mr. Arduini’s employment is terminated by the Company within twenty-four months following a change in control by the Company other than for cause, death or disability, or by Mr. Arduini for good reason, then Mr. Arduini will be entitled to receive the same payments and benefits as in the non-change in control context, except: (i) the lump-sum cash payment will instead equal 2.99 times the sum of Mr. Arduini’s annual base salary and target bonus and (ii) Mr. Arduini will receive a pro-rata portion of his annual bonus for the year of termination, determined based on actual performance.</w:t>
      </w:r>
    </w:p>
    <w:p>
      <w:pPr>
        <w:spacing w:after="0" w:line="32"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If Mr. Arduini’s employment is terminated due to his death, then his estate will receive (i) a lump sum cash payment equal to Mr. Arduini’s annual base salary, and (ii) Company-subsidized healthcare continuation coverage for up to twelve months after his termination date.</w:t>
      </w:r>
    </w:p>
    <w:p>
      <w:pPr>
        <w:spacing w:after="0" w:line="4"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color w:val="auto"/>
        </w:rPr>
        <w:t>Mr. Arduini’s right to receive the severance payments pursuant to the Arduini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Change-in-Control Severance Agreements for Other Executive Officers</w:t>
      </w:r>
    </w:p>
    <w:p>
      <w:pPr>
        <w:spacing w:after="0" w:line="90"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In February 2017, the Company entered into Change-in-Control Severance Agreements with Messrs. Coleman, Gorelick, Davis, and Reuvers in order to keep such executives engaged both before and during any possible impending deals or transactions, as well as the need for continuity in management after any potential change in control. Each Change-in-Control Severance Agreement provides for the payment of severance and other benefits to the executives in the event of a “qualifying termination,” which means a termination of</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620"/>
        <w:spacing w:after="0" w:line="306" w:lineRule="auto"/>
        <w:rPr>
          <w:sz w:val="20"/>
          <w:szCs w:val="20"/>
          <w:color w:val="auto"/>
        </w:rPr>
      </w:pPr>
      <w:r>
        <w:rPr>
          <w:rFonts w:ascii="Arial" w:cs="Arial" w:eastAsia="Arial" w:hAnsi="Arial"/>
          <w:sz w:val="16"/>
          <w:szCs w:val="16"/>
          <w:color w:val="auto"/>
        </w:rPr>
        <w:t>employment with the Company without “cause” or by the executive for “good reason,” in either case, on or within two years following a “change in control” of the Company and so long as such change in control occurred by January 31, 2018 (each, as defined in the Change-in-Control Severance Agreements). In the event of a qualifying termination, the Change-in-Control Severance Agreements provide for</w:t>
      </w:r>
    </w:p>
    <w:p>
      <w:pPr>
        <w:spacing w:after="0" w:line="26" w:lineRule="exact"/>
        <w:rPr>
          <w:sz w:val="20"/>
          <w:szCs w:val="20"/>
          <w:color w:val="auto"/>
        </w:rPr>
      </w:pPr>
    </w:p>
    <w:p>
      <w:pPr>
        <w:ind w:left="860" w:right="360" w:hanging="224"/>
        <w:spacing w:after="0" w:line="268"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lump sum payment equal to 1.5 times (or 2.0 times in the case of Mr. Coleman) the sum of the executive’s annual base salary and target cash bonus;</w:t>
      </w:r>
    </w:p>
    <w:p>
      <w:pPr>
        <w:spacing w:after="0" w:line="50" w:lineRule="exact"/>
        <w:rPr>
          <w:rFonts w:ascii="Arial" w:cs="Arial" w:eastAsia="Arial" w:hAnsi="Arial"/>
          <w:sz w:val="18"/>
          <w:szCs w:val="18"/>
          <w:color w:val="auto"/>
        </w:rPr>
      </w:pPr>
    </w:p>
    <w:p>
      <w:pPr>
        <w:ind w:left="860" w:hanging="224"/>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lump sum payment equal to a pro rata portion of the executive’s target cash bonus for the partial fiscal year in which the termination occurs;</w:t>
      </w:r>
    </w:p>
    <w:p>
      <w:pPr>
        <w:spacing w:after="0" w:line="113" w:lineRule="exact"/>
        <w:rPr>
          <w:rFonts w:ascii="Arial" w:cs="Arial" w:eastAsia="Arial" w:hAnsi="Arial"/>
          <w:sz w:val="16"/>
          <w:szCs w:val="16"/>
          <w:color w:val="auto"/>
        </w:rPr>
      </w:pPr>
    </w:p>
    <w:p>
      <w:pPr>
        <w:ind w:left="860" w:hanging="2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90"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his delivery and non-revocation of an effective general release of claims in favor of the Company.</w:t>
      </w:r>
    </w:p>
    <w:p>
      <w:pPr>
        <w:spacing w:after="0" w:line="5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Change-in-Control Severance Agreements clarified that to the extent the executive has not yet received his short-term annual cash bonus for his prior year’s performance with the Company, the executive shall still receive such short-term annual cash bonus for prior year performance at the time non-terminated employees receive such short-term annual cash bonus if such payment is due.</w:t>
      </w:r>
    </w:p>
    <w:p>
      <w:pPr>
        <w:spacing w:after="0" w:line="5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receives the greater of (i) the net amount of the change in control payments and benefits reduced such that such payments and benefits will not be subject to the excise tax, and (ii) the net amount of the change in control payments and benefits without such reduction.</w:t>
      </w:r>
    </w:p>
    <w:p>
      <w:pPr>
        <w:spacing w:after="0" w:line="62"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The term of each Change-in-Control Severance Agreement expired on January 31, 2018. However, upon the occurrence of a change in control, the term would have automatically been extended until the two-year anniversary of the date on which the change in control occurred. In addition, if the executive incurred a qualifying termination during the term of the Change-in-Control Severance Agreement, the term would automatically have been further extended until each party’s rights and obligations were fully satisfied.</w:t>
      </w:r>
    </w:p>
    <w:p>
      <w:pPr>
        <w:spacing w:after="0" w:line="62"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After the Change-in-Control Severance Agreements expired, the Company entered into new change-in-control severance agreements in February 2018 for Messrs. Coleman, Gorelick, Davis, and Reuvers. The terms of these agreements are the same as the prior Change in Control Severance Agreements that expired January 2018. To clarify the new Change in Control Severance Agreements, a “qualifying termination” may occur on or within two years following a “change in control” of the Company and so long as such change in control occurs by January 31, 2019.</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2017 Annual Report on Form 10-K.</w:t>
      </w:r>
    </w:p>
    <w:p>
      <w:pPr>
        <w:spacing w:after="0" w:line="18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BARBARA B. HILL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DONALD E. MOREL, JR.</w:t>
      </w:r>
    </w:p>
    <w:p>
      <w:pPr>
        <w:spacing w:after="0" w:line="16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240" w:top="459" w:right="6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OF EXECUTIVE OFFICERS *</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ind w:left="200" w:right="260" w:firstLine="441"/>
        <w:spacing w:after="0" w:line="332" w:lineRule="auto"/>
        <w:rPr>
          <w:sz w:val="20"/>
          <w:szCs w:val="20"/>
          <w:color w:val="auto"/>
        </w:rPr>
      </w:pPr>
      <w:r>
        <w:rPr>
          <w:rFonts w:ascii="Arial" w:cs="Arial" w:eastAsia="Arial" w:hAnsi="Arial"/>
          <w:sz w:val="16"/>
          <w:szCs w:val="16"/>
          <w:color w:val="auto"/>
        </w:rPr>
        <w:t>The following table sets forth information regarding compensation paid to our President and Chief Executive Officer, our Corporate Vice President and Chief Financial Officer, and each of our three other most highly compensated executive officers based on total compensation earned during 2017.</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9"/>
              </w:rPr>
              <w:t>Salary</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Awards(1)</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Compensation(2)</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3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Compensation(3)</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2"/>
                <w:szCs w:val="12"/>
                <w:color w:val="auto"/>
              </w:rPr>
            </w:pPr>
          </w:p>
        </w:tc>
        <w:tc>
          <w:tcPr>
            <w:tcW w:w="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Position (a)</w:t>
            </w:r>
          </w:p>
        </w:tc>
        <w:tc>
          <w:tcPr>
            <w:tcW w:w="120" w:type="dxa"/>
            <w:vAlign w:val="bottom"/>
          </w:tcPr>
          <w:p>
            <w:pPr>
              <w:spacing w:after="0"/>
              <w:rPr>
                <w:sz w:val="14"/>
                <w:szCs w:val="14"/>
                <w:color w:val="auto"/>
              </w:rPr>
            </w:pPr>
          </w:p>
        </w:tc>
        <w:tc>
          <w:tcPr>
            <w:tcW w:w="5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(b)</w:t>
            </w:r>
          </w:p>
        </w:tc>
        <w:tc>
          <w:tcPr>
            <w:tcW w:w="4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(c)</w:t>
            </w:r>
          </w:p>
        </w:tc>
        <w:tc>
          <w:tcPr>
            <w:tcW w:w="180" w:type="dxa"/>
            <w:vAlign w:val="bottom"/>
          </w:tcPr>
          <w:p>
            <w:pPr>
              <w:spacing w:after="0"/>
              <w:rPr>
                <w:sz w:val="14"/>
                <w:szCs w:val="14"/>
                <w:color w:val="auto"/>
              </w:rPr>
            </w:pPr>
          </w:p>
        </w:tc>
        <w:tc>
          <w:tcPr>
            <w:tcW w:w="360" w:type="dxa"/>
            <w:vAlign w:val="bottom"/>
          </w:tcPr>
          <w:p>
            <w:pPr>
              <w:jc w:val="right"/>
              <w:ind w:right="32"/>
              <w:spacing w:after="0" w:line="148" w:lineRule="exact"/>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60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(e)</w:t>
            </w:r>
          </w:p>
        </w:tc>
        <w:tc>
          <w:tcPr>
            <w:tcW w:w="18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(f)</w:t>
            </w:r>
          </w:p>
        </w:tc>
        <w:tc>
          <w:tcPr>
            <w:tcW w:w="18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(g)</w:t>
            </w:r>
          </w:p>
        </w:tc>
        <w:tc>
          <w:tcPr>
            <w:tcW w:w="18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(h)</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(i)</w:t>
            </w:r>
          </w:p>
        </w:tc>
        <w:tc>
          <w:tcPr>
            <w:tcW w:w="64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905,024</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3,325,053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1,463,422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16,066</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7,134,568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878,763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3,150,122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1,555,524</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6,993,984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 and Director</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885,642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3,053,586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2,267,236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1,389,535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7,603,824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Glenn G. Coleman</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4"/>
                <w:szCs w:val="14"/>
                <w:color w:val="auto"/>
                <w:w w:val="82"/>
              </w:rPr>
              <w:t>536,250</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805,022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345,000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590,000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10,950</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2,287,222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 and</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481,600</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490,078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591,986</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1,973,614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color w:val="auto"/>
                <w:w w:val="82"/>
              </w:rPr>
              <w:t>478,077</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397,049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480,009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348,000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7,825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1,710,960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441,250</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437,543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187,501</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1,434,294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 President,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400,465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336,082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415,946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10,945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1,463,438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Orthopedics and Tissue Technologies</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391,635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297,961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60,505</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232,500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Daniel L. Reuvers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8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4"/>
                <w:szCs w:val="14"/>
                <w:color w:val="auto"/>
                <w:w w:val="82"/>
              </w:rPr>
              <w:t>407,258</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262,560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112,514</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117,726</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1,275,058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2"/>
                <w:szCs w:val="12"/>
                <w:color w:val="auto"/>
              </w:rPr>
            </w:pP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328,177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133,794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216,029</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205,000</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902,950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Arial" w:cs="Arial" w:eastAsia="Arial" w:hAnsi="Arial"/>
                <w:sz w:val="14"/>
                <w:szCs w:val="14"/>
                <w:color w:val="auto"/>
              </w:rPr>
              <w:t>President, Codman Surgical Solutions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29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Richard D. Gorelick</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394,688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220,540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94,513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11,645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1,036,386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384,727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184,887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91,273</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876,837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 Administration and Secretary</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388,734</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188,767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228,066</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20" w:hanging="436"/>
        <w:spacing w:after="0" w:line="256"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dates in 2017, 2016, and 2015. In regards to the stock options, for a discussion of assumptions used to estimate fair value, please see Note 15, “Stock-Based Compensation,” to our consolidated financial statements included in our Annual Report on Form 10-K for the year ended December 31, 2017.</w:t>
      </w:r>
    </w:p>
    <w:p>
      <w:pPr>
        <w:spacing w:after="0" w:line="62" w:lineRule="exact"/>
        <w:rPr>
          <w:rFonts w:ascii="Arial" w:cs="Arial" w:eastAsia="Arial" w:hAnsi="Arial"/>
          <w:sz w:val="18"/>
          <w:szCs w:val="18"/>
          <w:color w:val="auto"/>
        </w:rPr>
      </w:pPr>
    </w:p>
    <w:p>
      <w:pPr>
        <w:ind w:left="640" w:right="100" w:hanging="436"/>
        <w:spacing w:after="0" w:line="255"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in column (g) reflect cash awards for 2017, 2016 and 2015 earned pursuant to the terms of the Performance Incentive Compensation Plan. See “— Compensation Discussion and Analysis — Annual Review of Compensation” for more information. Based on the achievement of performance objectives related to the successful integration of Codman Neurosurgery, the following NEOs received an additional one-time bonus modifier: Mr. Arduini in the amount of $250,000, Mr. Coleman in the amount of $100,000, Mr. Reuvers in the amount of $150,000, and Mr. Gorelick in the amount of $100,000.</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80" w:hanging="436"/>
        <w:spacing w:after="0" w:line="25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amounts reported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column for each NEO represents legal fees, relocation expenses, 401(k) employer matching contributions, and executive physicals. In connection with his relocation, Mr. Reuvers received a relocation reimbursement of $63,311 and a tax gross-up of $41,965 for certain one-time taxable relocation expenses consistent with the Company’s corporate relocation policy. The breakout of the components is shown in the following table below:</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BREAKDOWN OF ALL OTHER COMPENSATION</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401(k)</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Employer</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Relocation</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Matching</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Executive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Legal Fees</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Expenses</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Physical</w:t>
            </w:r>
          </w:p>
        </w:tc>
        <w:tc>
          <w:tcPr>
            <w:tcW w:w="7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2017</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740" w:type="dxa"/>
            <w:vAlign w:val="bottom"/>
            <w:gridSpan w:val="2"/>
          </w:tcPr>
          <w:p>
            <w:pPr>
              <w:ind w:left="380"/>
              <w:spacing w:after="0"/>
              <w:rPr>
                <w:sz w:val="20"/>
                <w:szCs w:val="20"/>
                <w:color w:val="auto"/>
              </w:rPr>
            </w:pPr>
            <w:r>
              <w:rPr>
                <w:rFonts w:ascii="Arial" w:cs="Arial" w:eastAsia="Arial" w:hAnsi="Arial"/>
                <w:sz w:val="18"/>
                <w:szCs w:val="18"/>
                <w:b w:val="1"/>
                <w:bCs w:val="1"/>
                <w:color w:val="auto"/>
                <w:w w:val="84"/>
              </w:rPr>
              <w:t>2017</w:t>
            </w:r>
          </w:p>
        </w:tc>
        <w:tc>
          <w:tcPr>
            <w:tcW w:w="4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b w:val="1"/>
                <w:bCs w:val="1"/>
                <w:color w:val="auto"/>
                <w:w w:val="84"/>
              </w:rPr>
              <w:t>2016</w:t>
            </w:r>
          </w:p>
        </w:tc>
        <w:tc>
          <w:tcPr>
            <w:tcW w:w="4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b w:val="1"/>
                <w:bCs w:val="1"/>
                <w:color w:val="auto"/>
                <w:w w:val="84"/>
              </w:rPr>
              <w:t>2015</w:t>
            </w:r>
          </w:p>
        </w:tc>
        <w:tc>
          <w:tcPr>
            <w:tcW w:w="4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4,125</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3,700</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84"/>
              </w:rPr>
              <w:t>2017</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Daniel L. Reuvers</w:t>
            </w:r>
          </w:p>
        </w:tc>
        <w:tc>
          <w:tcPr>
            <w:tcW w:w="740" w:type="dxa"/>
            <w:vAlign w:val="bottom"/>
            <w:gridSpan w:val="2"/>
          </w:tcPr>
          <w:p>
            <w:pPr>
              <w:ind w:left="380"/>
              <w:spacing w:after="0"/>
              <w:rPr>
                <w:sz w:val="20"/>
                <w:szCs w:val="20"/>
                <w:color w:val="auto"/>
              </w:rPr>
            </w:pPr>
            <w:r>
              <w:rPr>
                <w:rFonts w:ascii="Arial" w:cs="Arial" w:eastAsia="Arial" w:hAnsi="Arial"/>
                <w:sz w:val="18"/>
                <w:szCs w:val="18"/>
                <w:b w:val="1"/>
                <w:bCs w:val="1"/>
                <w:color w:val="auto"/>
                <w:w w:val="84"/>
              </w:rPr>
              <w:t>2017</w:t>
            </w:r>
          </w:p>
        </w:tc>
        <w:tc>
          <w:tcPr>
            <w:tcW w:w="48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105,276</w:t>
            </w:r>
            <w:r>
              <w:rPr>
                <w:rFonts w:ascii="Arial" w:cs="Arial" w:eastAsia="Arial" w:hAnsi="Arial"/>
                <w:sz w:val="11"/>
                <w:szCs w:val="11"/>
                <w:color w:val="auto"/>
                <w:w w:val="96"/>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4,450</w:t>
            </w: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117,726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b w:val="1"/>
                <w:bCs w:val="1"/>
                <w:color w:val="auto"/>
                <w:w w:val="84"/>
              </w:rPr>
              <w:t>2016</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84"/>
              </w:rPr>
              <w:t>2017</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2015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40" w:right="360" w:hanging="436"/>
        <w:spacing w:after="0" w:line="268"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his relocation, Mr. Reuvers received a relocation reimbursement of $63,311 and a tax gross-up of $41,965 for certain one-time taxable relocation expenses consistent with the Company’s corporate relocation policy.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Plan.</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All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00" w:type="dxa"/>
            <w:vAlign w:val="bottom"/>
          </w:tcPr>
          <w:p>
            <w:pPr>
              <w:spacing w:after="0"/>
              <w:rPr>
                <w:sz w:val="12"/>
                <w:szCs w:val="12"/>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4"/>
                <w:szCs w:val="4"/>
                <w:color w:val="auto"/>
              </w:rPr>
            </w:pP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100" w:type="dxa"/>
            <w:vAlign w:val="bottom"/>
          </w:tcPr>
          <w:p>
            <w:pPr>
              <w:spacing w:after="0"/>
              <w:rPr>
                <w:sz w:val="8"/>
                <w:szCs w:val="8"/>
                <w:color w:val="auto"/>
              </w:rPr>
            </w:pP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Awards(2)</w:t>
            </w: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Borders>
              <w:bottom w:val="single" w:sz="8" w:color="auto"/>
            </w:tcBorders>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Borders>
              <w:bottom w:val="single" w:sz="8" w:color="auto"/>
            </w:tcBorders>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760" w:type="dxa"/>
            <w:vAlign w:val="bottom"/>
            <w:gridSpan w:val="2"/>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5"/>
                <w:szCs w:val="5"/>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00" w:type="dxa"/>
            <w:vAlign w:val="bottom"/>
          </w:tcPr>
          <w:p>
            <w:pPr>
              <w:spacing w:after="0"/>
              <w:rPr>
                <w:sz w:val="5"/>
                <w:szCs w:val="5"/>
                <w:color w:val="auto"/>
              </w:rPr>
            </w:pPr>
          </w:p>
        </w:tc>
        <w:tc>
          <w:tcPr>
            <w:tcW w:w="6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Board or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76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Award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10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Comp.</w:t>
            </w: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70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Threshold</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Units(3)</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Awards(4)</w:t>
            </w:r>
          </w:p>
        </w:tc>
        <w:tc>
          <w:tcPr>
            <w:tcW w:w="0" w:type="dxa"/>
            <w:vAlign w:val="bottom"/>
          </w:tcPr>
          <w:p>
            <w:pPr>
              <w:spacing w:after="0"/>
              <w:rPr>
                <w:sz w:val="1"/>
                <w:szCs w:val="1"/>
                <w:color w:val="auto"/>
              </w:rPr>
            </w:pPr>
          </w:p>
        </w:tc>
      </w:tr>
      <w:tr>
        <w:trPr>
          <w:trHeight w:val="135"/>
        </w:trPr>
        <w:tc>
          <w:tcPr>
            <w:tcW w:w="14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Date</w:t>
            </w:r>
          </w:p>
        </w:tc>
        <w:tc>
          <w:tcPr>
            <w:tcW w:w="7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w w:val="85"/>
              </w:rPr>
              <w:t>Committee</w:t>
            </w:r>
          </w:p>
        </w:tc>
        <w:tc>
          <w:tcPr>
            <w:tcW w:w="72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right"/>
              <w:ind w:right="172"/>
              <w:spacing w:after="0" w:line="13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ind w:left="32"/>
              <w:spacing w:after="0" w:line="135" w:lineRule="exact"/>
              <w:rPr>
                <w:sz w:val="20"/>
                <w:szCs w:val="20"/>
                <w:color w:val="auto"/>
              </w:rPr>
            </w:pPr>
            <w:r>
              <w:rPr>
                <w:rFonts w:ascii="Arial" w:cs="Arial" w:eastAsia="Arial" w:hAnsi="Arial"/>
                <w:sz w:val="14"/>
                <w:szCs w:val="14"/>
                <w:b w:val="1"/>
                <w:bCs w:val="1"/>
                <w:color w:val="auto"/>
                <w:w w:val="93"/>
              </w:rPr>
              <w:t>(#)</w:t>
            </w:r>
          </w:p>
        </w:tc>
        <w:tc>
          <w:tcPr>
            <w:tcW w:w="52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32"/>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w:t>
            </w:r>
          </w:p>
        </w:tc>
        <w:tc>
          <w:tcPr>
            <w:tcW w:w="720" w:type="dxa"/>
            <w:vAlign w:val="bottom"/>
            <w:gridSpan w:val="2"/>
          </w:tcPr>
          <w:p>
            <w:pPr>
              <w:jc w:val="center"/>
              <w:ind w:left="12"/>
              <w:spacing w:after="0" w:line="135"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Type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b w:val="1"/>
                <w:bCs w:val="1"/>
                <w:color w:val="auto"/>
              </w:rPr>
              <w:t>Action</w:t>
            </w:r>
          </w:p>
        </w:tc>
        <w:tc>
          <w:tcPr>
            <w:tcW w:w="12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(c)</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(h)</w:t>
            </w: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(j)</w:t>
            </w: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(k)</w:t>
            </w:r>
          </w:p>
        </w:tc>
        <w:tc>
          <w:tcPr>
            <w:tcW w:w="1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Peter J. Arduini</w:t>
            </w: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PSU</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3/13/2017</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27,186</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4"/>
                <w:szCs w:val="14"/>
                <w:color w:val="auto"/>
                <w:w w:val="93"/>
              </w:rPr>
              <w:t>54,373(5)</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81,559</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2,375,013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RSU</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21,750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Stock Option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84,071</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Cash Bonus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455,831</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1,002,829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1,823,325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Bonus Modifier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spacing w:after="0"/>
              <w:rPr>
                <w:sz w:val="20"/>
                <w:szCs w:val="20"/>
                <w:color w:val="auto"/>
              </w:rPr>
            </w:pPr>
            <w:r>
              <w:rPr>
                <w:rFonts w:ascii="Arial" w:cs="Arial" w:eastAsia="Arial" w:hAnsi="Arial"/>
                <w:sz w:val="14"/>
                <w:szCs w:val="14"/>
                <w:color w:val="auto"/>
              </w:rPr>
              <w:t>Glenn G. Coleman</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PSU</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6,582</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13,164(5)</w:t>
            </w:r>
          </w:p>
        </w:tc>
        <w:tc>
          <w:tcPr>
            <w:tcW w:w="600" w:type="dxa"/>
            <w:vAlign w:val="bottom"/>
          </w:tcPr>
          <w:p>
            <w:pPr>
              <w:jc w:val="right"/>
              <w:spacing w:after="0"/>
              <w:rPr>
                <w:sz w:val="20"/>
                <w:szCs w:val="20"/>
                <w:color w:val="auto"/>
              </w:rPr>
            </w:pPr>
            <w:r>
              <w:rPr>
                <w:rFonts w:ascii="Arial" w:cs="Arial" w:eastAsia="Arial" w:hAnsi="Arial"/>
                <w:sz w:val="14"/>
                <w:szCs w:val="14"/>
                <w:color w:val="auto"/>
              </w:rPr>
              <w:t>19,746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575,004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RSA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5,266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Stock Option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20,354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Cash Bonus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81,000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Bonus Modifier</w:t>
            </w:r>
          </w:p>
        </w:tc>
        <w:tc>
          <w:tcPr>
            <w:tcW w:w="600" w:type="dxa"/>
            <w:vAlign w:val="bottom"/>
          </w:tcPr>
          <w:p>
            <w:pPr>
              <w:jc w:val="right"/>
              <w:spacing w:after="0"/>
              <w:rPr>
                <w:sz w:val="20"/>
                <w:szCs w:val="20"/>
                <w:color w:val="auto"/>
              </w:rPr>
            </w:pPr>
            <w:r>
              <w:rPr>
                <w:rFonts w:ascii="Arial" w:cs="Arial" w:eastAsia="Arial" w:hAnsi="Arial"/>
                <w:sz w:val="14"/>
                <w:szCs w:val="14"/>
                <w:color w:val="auto"/>
              </w:rPr>
              <w:t>1/1/2017</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T. Davis, Jr.</w:t>
            </w: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PSU</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3,577</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7,155(5)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RSA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Stock Option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11,062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Cash Bonus</w:t>
            </w:r>
          </w:p>
        </w:tc>
        <w:tc>
          <w:tcPr>
            <w:tcW w:w="600" w:type="dxa"/>
            <w:vAlign w:val="bottom"/>
          </w:tcPr>
          <w:p>
            <w:pPr>
              <w:jc w:val="right"/>
              <w:spacing w:after="0"/>
              <w:rPr>
                <w:sz w:val="20"/>
                <w:szCs w:val="20"/>
                <w:color w:val="auto"/>
              </w:rPr>
            </w:pPr>
            <w:r>
              <w:rPr>
                <w:rFonts w:ascii="Arial" w:cs="Arial" w:eastAsia="Arial" w:hAnsi="Arial"/>
                <w:sz w:val="14"/>
                <w:szCs w:val="14"/>
                <w:color w:val="auto"/>
              </w:rPr>
              <w:t>1/1/2017</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w w:val="83"/>
              </w:rPr>
              <w:t>2/23/2017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53,400</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267,000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534,000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L. Reuvers</w:t>
            </w: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PSU</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2,146</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4,293(5)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RSA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Stock Option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6,638</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112,514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Cash Bonus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40,068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200,340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400,680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Bonus Modifier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spacing w:after="0"/>
              <w:rPr>
                <w:sz w:val="20"/>
                <w:szCs w:val="20"/>
                <w:color w:val="auto"/>
              </w:rPr>
            </w:pPr>
            <w:r>
              <w:rPr>
                <w:rFonts w:ascii="Arial" w:cs="Arial" w:eastAsia="Arial" w:hAnsi="Arial"/>
                <w:sz w:val="14"/>
                <w:szCs w:val="14"/>
                <w:color w:val="auto"/>
              </w:rPr>
              <w:t>Richard D. Gorelick</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PSU</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1,803</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3,606(5)</w:t>
            </w:r>
          </w:p>
        </w:tc>
        <w:tc>
          <w:tcPr>
            <w:tcW w:w="600" w:type="dxa"/>
            <w:vAlign w:val="bottom"/>
          </w:tcPr>
          <w:p>
            <w:pPr>
              <w:jc w:val="right"/>
              <w:spacing w:after="0"/>
              <w:rPr>
                <w:sz w:val="20"/>
                <w:szCs w:val="20"/>
                <w:color w:val="auto"/>
              </w:rPr>
            </w:pPr>
            <w:r>
              <w:rPr>
                <w:rFonts w:ascii="Arial" w:cs="Arial" w:eastAsia="Arial" w:hAnsi="Arial"/>
                <w:sz w:val="14"/>
                <w:szCs w:val="14"/>
                <w:color w:val="auto"/>
              </w:rPr>
              <w:t>5,409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157,510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RSA</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Stock Option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9"/>
              </w:rPr>
              <w:t>3/13/2017</w:t>
            </w:r>
          </w:p>
        </w:tc>
        <w:tc>
          <w:tcPr>
            <w:tcW w:w="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94,513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Cash Bonus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2/23/2017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35,747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178,735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357,469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Bonus Modifier</w:t>
            </w:r>
          </w:p>
        </w:tc>
        <w:tc>
          <w:tcPr>
            <w:tcW w:w="600" w:type="dxa"/>
            <w:vAlign w:val="bottom"/>
          </w:tcPr>
          <w:p>
            <w:pPr>
              <w:jc w:val="right"/>
              <w:spacing w:after="0"/>
              <w:rPr>
                <w:sz w:val="20"/>
                <w:szCs w:val="20"/>
                <w:color w:val="auto"/>
              </w:rPr>
            </w:pPr>
            <w:r>
              <w:rPr>
                <w:rFonts w:ascii="Arial" w:cs="Arial" w:eastAsia="Arial" w:hAnsi="Arial"/>
                <w:sz w:val="14"/>
                <w:szCs w:val="14"/>
                <w:color w:val="auto"/>
              </w:rPr>
              <w:t>1/1/2017</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w w:val="83"/>
              </w:rPr>
              <w:t>2/23/2017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62230</wp:posOffset>
            </wp:positionV>
            <wp:extent cx="909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10" w:lineRule="exact"/>
        <w:rPr>
          <w:sz w:val="20"/>
          <w:szCs w:val="20"/>
          <w:color w:val="auto"/>
        </w:rPr>
      </w:pPr>
    </w:p>
    <w:p>
      <w:pPr>
        <w:ind w:left="640" w:right="200" w:hanging="436"/>
        <w:spacing w:after="0" w:line="294"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provided in the applicable employment agreement. See “— Compensation Discussion and Analysis — Annual Review of Compensation” for more information. In addition, column (d) represents a one-time cash bonus opportunity for successfully meeting performance objectives related to the acquisition of Codman Neurosurgery.</w:t>
      </w:r>
    </w:p>
    <w:p>
      <w:pPr>
        <w:spacing w:after="0" w:line="34" w:lineRule="exact"/>
        <w:rPr>
          <w:rFonts w:ascii="Arial" w:cs="Arial" w:eastAsia="Arial" w:hAnsi="Arial"/>
          <w:sz w:val="16"/>
          <w:szCs w:val="16"/>
          <w:color w:val="auto"/>
        </w:rPr>
      </w:pPr>
    </w:p>
    <w:p>
      <w:pPr>
        <w:ind w:left="640" w:right="80" w:hanging="436"/>
        <w:spacing w:after="0" w:line="332"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 shown in this column represents shares of performance stock granted under the Company’s 2003 Equity Incentive Plan. See “— Compensation Discussion and Analysis — Annual Review of Compensation” for a description of the material terms of this performance stock award.</w:t>
      </w:r>
    </w:p>
    <w:p>
      <w:pPr>
        <w:spacing w:after="0" w:line="4" w:lineRule="exact"/>
        <w:rPr>
          <w:rFonts w:ascii="Arial" w:cs="Arial" w:eastAsia="Arial" w:hAnsi="Arial"/>
          <w:sz w:val="16"/>
          <w:szCs w:val="16"/>
          <w:color w:val="auto"/>
        </w:rPr>
      </w:pPr>
    </w:p>
    <w:p>
      <w:pPr>
        <w:ind w:left="640" w:right="40" w:hanging="436"/>
        <w:spacing w:after="0" w:line="25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stock units granted under the Company’s 2003 Equity Incentive Plan. See “— Compensation Discussion and Analysis — Annual Review of Compensation” for a description of the material terms of these restricted stock and contract stock/restricted unit awards.</w:t>
      </w:r>
    </w:p>
    <w:p>
      <w:pPr>
        <w:spacing w:after="0" w:line="59" w:lineRule="exact"/>
        <w:rPr>
          <w:rFonts w:ascii="Arial" w:cs="Arial" w:eastAsia="Arial" w:hAnsi="Arial"/>
          <w:sz w:val="18"/>
          <w:szCs w:val="18"/>
          <w:color w:val="auto"/>
        </w:rPr>
      </w:pPr>
    </w:p>
    <w:p>
      <w:pPr>
        <w:ind w:left="640" w:right="100" w:hanging="436"/>
        <w:spacing w:after="0" w:line="25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of the restricted stock, contract stock/restricted stock units, performance stock and stock options granted to each NEO in 2017. For restricted stock and contract stock/restricted stock units, fair value is calculated using the closing price of the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0"/>
        <w:spacing w:after="0" w:line="306" w:lineRule="auto"/>
        <w:rPr>
          <w:sz w:val="20"/>
          <w:szCs w:val="20"/>
          <w:color w:val="auto"/>
        </w:rPr>
      </w:pPr>
      <w:r>
        <w:rPr>
          <w:rFonts w:ascii="Arial" w:cs="Arial" w:eastAsia="Arial" w:hAnsi="Arial"/>
          <w:sz w:val="16"/>
          <w:szCs w:val="16"/>
          <w:color w:val="auto"/>
        </w:rPr>
        <w:t>Company’s common stock on the grant date noted. For stock options, fair value is based on the fair value of the option on the grant date as estimated using the binomial distribution model. For a discussion of the assumptions used to estimate fair value, please see Note 8, “Stock-Based Compensation” to our consolidated financial statements included in our Annual Report on Form 10-K for the year ended December 31, 2017.</w:t>
      </w:r>
    </w:p>
    <w:p>
      <w:pPr>
        <w:spacing w:after="0" w:line="26" w:lineRule="exact"/>
        <w:rPr>
          <w:sz w:val="20"/>
          <w:szCs w:val="20"/>
          <w:color w:val="auto"/>
        </w:rPr>
      </w:pPr>
    </w:p>
    <w:p>
      <w:pPr>
        <w:ind w:left="640" w:hanging="436"/>
        <w:spacing w:after="0" w:line="294"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grant of performance stock was made to the executive for his 2017 performance. Each NEO is eligible to vest in and receive a number of shares of the Company’s common stock ranging from 0% to 150% of the target number of shares of Performance Stock granted based on the Company’s achievement of goals relating to the increase in the Company’s annual revenue over the initial revenue target, defined as the Company’s revenue for the fiscal year ended December 31, 2016, during each fiscal year of the performance period running from January 1, 2017 through December 31, 2019. See “— Compensation Discussion and Analysis — Long-Term Equity Incentive Plan” for a description.</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240" w:top="459" w:right="5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2017.</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0" w:type="dxa"/>
            <w:vAlign w:val="bottom"/>
            <w:gridSpan w:val="2"/>
          </w:tcPr>
          <w:p>
            <w:pPr>
              <w:jc w:val="center"/>
              <w:ind w:left="158"/>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80" w:type="dxa"/>
            <w:vAlign w:val="bottom"/>
            <w:gridSpan w:val="3"/>
          </w:tcPr>
          <w:p>
            <w:pPr>
              <w:jc w:val="center"/>
              <w:ind w:left="78"/>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gridSpan w:val="2"/>
          </w:tcPr>
          <w:p>
            <w:pPr>
              <w:jc w:val="center"/>
              <w:ind w:left="815"/>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Rights</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gridSpan w:val="2"/>
          </w:tcPr>
          <w:p>
            <w:pPr>
              <w:jc w:val="center"/>
              <w:ind w:left="155"/>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That Have</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40" w:type="dxa"/>
            <w:vAlign w:val="bottom"/>
            <w:gridSpan w:val="2"/>
          </w:tcPr>
          <w:p>
            <w:pPr>
              <w:jc w:val="center"/>
              <w:ind w:left="815"/>
              <w:spacing w:after="0" w:line="149" w:lineRule="exact"/>
              <w:rPr>
                <w:sz w:val="20"/>
                <w:szCs w:val="20"/>
                <w:color w:val="auto"/>
              </w:rPr>
            </w:pPr>
            <w:r>
              <w:rPr>
                <w:rFonts w:ascii="Arial" w:cs="Arial" w:eastAsia="Arial" w:hAnsi="Arial"/>
                <w:sz w:val="14"/>
                <w:szCs w:val="14"/>
                <w:b w:val="1"/>
                <w:bCs w:val="1"/>
                <w:color w:val="auto"/>
                <w:w w:val="81"/>
              </w:rPr>
              <w:t>(#)</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Price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Vested (2)</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Vested(3)</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Not Vested</w:t>
            </w:r>
          </w:p>
        </w:tc>
      </w:tr>
      <w:tr>
        <w:trPr>
          <w:trHeight w:val="149"/>
        </w:trPr>
        <w:tc>
          <w:tcPr>
            <w:tcW w:w="2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40" w:type="dxa"/>
            <w:vAlign w:val="bottom"/>
            <w:gridSpan w:val="2"/>
          </w:tcPr>
          <w:p>
            <w:pPr>
              <w:jc w:val="center"/>
              <w:ind w:left="155"/>
              <w:spacing w:after="0" w:line="149"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1040" w:type="dxa"/>
            <w:vAlign w:val="bottom"/>
            <w:gridSpan w:val="2"/>
          </w:tcPr>
          <w:p>
            <w:pPr>
              <w:jc w:val="center"/>
              <w:ind w:left="158"/>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right"/>
              <w:ind w:right="226"/>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r>
      <w:tr>
        <w:trPr>
          <w:trHeight w:val="148"/>
        </w:trPr>
        <w:tc>
          <w:tcPr>
            <w:tcW w:w="2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t>
            </w:r>
          </w:p>
        </w:tc>
        <w:tc>
          <w:tcPr>
            <w:tcW w:w="9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3"/>
              </w:rPr>
              <w:t>(c)</w:t>
            </w:r>
          </w:p>
        </w:tc>
        <w:tc>
          <w:tcPr>
            <w:tcW w:w="7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1"/>
              </w:rPr>
              <w:t>(e)</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(g)</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rPr>
              <w:t>(j)</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311,588</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3/1/2020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54,276</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3/1/2020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67,786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5/22/2021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118,434</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3/6/2022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26.865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3/23/2023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75,395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53,855</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32.585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84,071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2,333,271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176,277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8,436,593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10,832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26.865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3/23/2023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31.685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11/16/2023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6,634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13,472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32.585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32.425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20,354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3/13/2025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12,957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620,122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2,037,209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26.865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3/23/2023</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32.585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17,410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38.425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310,516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946,982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Reuvers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26.865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4,115</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32.585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38.425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6,638</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3/13/2025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3,480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166,553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495,949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26.865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3/23/2023</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31.685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11/16/2023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5,688</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32.585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503,822</w:t>
            </w:r>
          </w:p>
        </w:tc>
        <w:tc>
          <w:tcPr>
            <w:tcW w:w="6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ind w:right="155"/>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282575</wp:posOffset>
            </wp:positionV>
            <wp:extent cx="909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 w:right="80" w:hanging="436"/>
        <w:spacing w:after="0" w:line="268"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information for each outstanding non-qualified stock option award as of December 31, 2017 for the Named Executive Officers is described in the table below.</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2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Vesting Date</w:t>
            </w:r>
          </w:p>
        </w:tc>
        <w:tc>
          <w:tcPr>
            <w:tcW w:w="54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rPr>
              <w:t>Price</w:t>
            </w:r>
          </w:p>
        </w:tc>
        <w:tc>
          <w:tcPr>
            <w:tcW w:w="15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Peter J. Arduini</w:t>
            </w:r>
          </w:p>
        </w:tc>
        <w:tc>
          <w:tcPr>
            <w:tcW w:w="1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Glenn G. Coleman</w:t>
            </w:r>
          </w:p>
        </w:tc>
        <w:tc>
          <w:tcPr>
            <w:tcW w:w="1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Robert T. Davis Jr.</w:t>
            </w:r>
          </w:p>
        </w:tc>
        <w:tc>
          <w:tcPr>
            <w:tcW w:w="1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Daniel L. Reuvers</w:t>
            </w:r>
          </w:p>
        </w:tc>
        <w:tc>
          <w:tcPr>
            <w:tcW w:w="1820" w:type="dxa"/>
            <w:vAlign w:val="bottom"/>
            <w:gridSpan w:val="3"/>
          </w:tcPr>
          <w:p>
            <w:pPr>
              <w:ind w:left="580"/>
              <w:spacing w:after="0" w:line="148" w:lineRule="exact"/>
              <w:rPr>
                <w:sz w:val="20"/>
                <w:szCs w:val="20"/>
                <w:color w:val="auto"/>
              </w:rPr>
            </w:pPr>
            <w:r>
              <w:rPr>
                <w:rFonts w:ascii="Arial" w:cs="Arial" w:eastAsia="Arial" w:hAnsi="Arial"/>
                <w:sz w:val="14"/>
                <w:szCs w:val="14"/>
                <w:b w:val="1"/>
                <w:bCs w:val="1"/>
                <w:color w:val="auto"/>
                <w:w w:val="93"/>
              </w:rPr>
              <w:t>Richard D. Gorelick</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60" w:type="dxa"/>
            <w:vAlign w:val="bottom"/>
            <w:gridSpan w:val="4"/>
          </w:tcPr>
          <w:p>
            <w:pPr>
              <w:ind w:left="220"/>
              <w:spacing w:after="0" w:line="135" w:lineRule="exact"/>
              <w:rPr>
                <w:sz w:val="20"/>
                <w:szCs w:val="20"/>
                <w:color w:val="auto"/>
              </w:rPr>
            </w:pPr>
            <w:r>
              <w:rPr>
                <w:rFonts w:ascii="Arial" w:cs="Arial" w:eastAsia="Arial" w:hAnsi="Arial"/>
                <w:sz w:val="14"/>
                <w:szCs w:val="14"/>
                <w:b w:val="1"/>
                <w:bCs w:val="1"/>
                <w:color w:val="auto"/>
                <w:w w:val="87"/>
              </w:rPr>
              <w:t>Number of Shares Underlying Non-Qualified Stock</w:t>
            </w:r>
          </w:p>
        </w:tc>
        <w:tc>
          <w:tcPr>
            <w:tcW w:w="110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w w:val="90"/>
              </w:rPr>
              <w:t>Option Awards</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3/13/2018</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2,765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3/14/2018</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32.585</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3/23/2018</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26.865</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5,584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11/16/2018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31.685</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6"/>
              </w:rPr>
              <w:t>5/2/2018</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19.41</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12,665</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3/13/2019</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6,717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2,765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3/14/2019</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32.585</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3/23/2019</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26.865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12/1/2019</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38.425</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(c)</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3/13/2020</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3/14/2020</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32.585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3/13/2021</w:t>
            </w: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2,766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1,660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19"/>
                <w:szCs w:val="19"/>
                <w:color w:val="auto"/>
              </w:rPr>
            </w:pPr>
          </w:p>
        </w:tc>
      </w:tr>
    </w:tbl>
    <w:p>
      <w:pPr>
        <w:spacing w:after="0" w:line="66" w:lineRule="exact"/>
        <w:rPr>
          <w:sz w:val="20"/>
          <w:szCs w:val="20"/>
          <w:color w:val="auto"/>
        </w:rPr>
      </w:pPr>
    </w:p>
    <w:p>
      <w:pPr>
        <w:ind w:left="960" w:right="240" w:hanging="432"/>
        <w:spacing w:after="0" w:line="286"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11,521 of the unexercisable non-qualified stock options pursuant to</w:t>
      </w:r>
    </w:p>
    <w:p>
      <w:pPr>
        <w:ind w:left="960" w:right="80"/>
        <w:spacing w:after="0" w:line="253" w:lineRule="auto"/>
        <w:rPr>
          <w:rFonts w:ascii="Arial" w:cs="Arial" w:eastAsia="Arial" w:hAnsi="Arial"/>
          <w:sz w:val="16"/>
          <w:szCs w:val="16"/>
          <w:color w:val="auto"/>
        </w:rPr>
      </w:pPr>
      <w:r>
        <w:rPr>
          <w:rFonts w:ascii="Arial" w:cs="Arial" w:eastAsia="Arial" w:hAnsi="Arial"/>
          <w:sz w:val="18"/>
          <w:szCs w:val="18"/>
          <w:color w:val="auto"/>
        </w:rPr>
        <w:t>Mr. Arduini’s March 23, 2015 non-qualified stock option grant will vest monthly over the first three months of 2018. 43,084 of the unexercisable non-qualified stock options pursuant to Mr. Arduini’s March 14, 2016 non-qualified stock option grant will vest monthly throughout 2018. In addition, 28,023 of the 84,071 unexercisable non-qualified stock options pursuant to Mr. Arduini’s March 13, 2017 grant will vest on March 13, 2018, the first anniversary of such grant. Thereafter, 21,018 non-qualified stock options pursuant to Mr. Arduini’s March 13, 2017 grant will vest monthly for the remaining nine months of 2018.</w:t>
      </w:r>
    </w:p>
    <w:p>
      <w:pPr>
        <w:spacing w:after="0" w:line="64" w:lineRule="exact"/>
        <w:rPr>
          <w:rFonts w:ascii="Arial" w:cs="Arial" w:eastAsia="Arial" w:hAnsi="Arial"/>
          <w:sz w:val="16"/>
          <w:szCs w:val="16"/>
          <w:color w:val="auto"/>
        </w:rPr>
      </w:pPr>
    </w:p>
    <w:p>
      <w:pPr>
        <w:ind w:left="960" w:right="240" w:hanging="432"/>
        <w:spacing w:after="0" w:line="255"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10,771 of the unexercisable non-qualified stock options pursuant to Mr. Arduini’s March 14, 2016 non-qualified stock option grant will vest monthly over the first three months of 2019. 28,024 of the 35,030 unexercisable non-qualified stock options pursuant to Mr. Arduini’s March 13, 2017 non-qualified stock option grant will vest monthly throughout 2019.</w:t>
      </w:r>
    </w:p>
    <w:p>
      <w:pPr>
        <w:spacing w:after="0" w:line="61" w:lineRule="exact"/>
        <w:rPr>
          <w:rFonts w:ascii="Arial" w:cs="Arial" w:eastAsia="Arial" w:hAnsi="Arial"/>
          <w:sz w:val="18"/>
          <w:szCs w:val="18"/>
          <w:color w:val="auto"/>
        </w:rPr>
      </w:pPr>
    </w:p>
    <w:p>
      <w:pPr>
        <w:ind w:left="960" w:right="240" w:hanging="432"/>
        <w:spacing w:after="0" w:line="286"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7,006 of the unexercisable non-qualified stock options pursuant to</w:t>
      </w:r>
    </w:p>
    <w:p>
      <w:pPr>
        <w:ind w:left="960"/>
        <w:spacing w:after="0"/>
        <w:rPr>
          <w:rFonts w:ascii="Arial" w:cs="Arial" w:eastAsia="Arial" w:hAnsi="Arial"/>
          <w:sz w:val="16"/>
          <w:szCs w:val="16"/>
          <w:color w:val="auto"/>
        </w:rPr>
      </w:pPr>
      <w:r>
        <w:rPr>
          <w:rFonts w:ascii="Arial" w:cs="Arial" w:eastAsia="Arial" w:hAnsi="Arial"/>
          <w:sz w:val="18"/>
          <w:szCs w:val="18"/>
          <w:color w:val="auto"/>
        </w:rPr>
        <w:t>Mr. Arduini’s March 13, 2017 non-qualified stock option grant will vest monthly over the first three months of 2020.</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20" w:right="40" w:hanging="316"/>
        <w:spacing w:after="0" w:line="259"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 columns (g) and (h) reflect the number and market values of the outstanding RSUs and RSAs as of December 31, 2017 for the Named Executive Officers. Scheduled vesting of such RSUs and RSAs and the number of shares underlying such awards is described in the table below. Please note that Mr. Arduini is the only Named Executive Officer with RSUs.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Vesting Date</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Peter J. Arduini</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Glenn G. Coleman</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Robert T. Davis Jr.</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Daniel L. Reuvers</w:t>
            </w:r>
          </w:p>
        </w:tc>
        <w:tc>
          <w:tcPr>
            <w:tcW w:w="200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Richard D. Gorelick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75"/>
              </w:rPr>
              <w:t>Outstanding</w:t>
            </w: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1"/>
              </w:rPr>
              <w:t>Number of Shares Underlying</w:t>
            </w:r>
          </w:p>
        </w:tc>
        <w:tc>
          <w:tcPr>
            <w:tcW w:w="740" w:type="dxa"/>
            <w:vAlign w:val="bottom"/>
            <w:vMerge w:val="continue"/>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RSUs and RSAs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3/13/2018</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3/14/2018</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3/23/2018</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8,588(a)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5/2/2018</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3/13/2019</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3/14/2019</w:t>
            </w:r>
          </w:p>
        </w:tc>
        <w:tc>
          <w:tcPr>
            <w:tcW w:w="9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9,207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3/13/2020</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7,250(a)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1,791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60" w:right="240" w:hanging="432"/>
        <w:spacing w:after="0" w:line="268" w:lineRule="auto"/>
        <w:tabs>
          <w:tab w:leader="none" w:pos="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0" w:lineRule="exact"/>
        <w:rPr>
          <w:rFonts w:ascii="Arial" w:cs="Arial" w:eastAsia="Arial" w:hAnsi="Arial"/>
          <w:sz w:val="18"/>
          <w:szCs w:val="18"/>
          <w:color w:val="auto"/>
        </w:rPr>
      </w:pPr>
    </w:p>
    <w:p>
      <w:pPr>
        <w:ind w:left="640" w:right="440" w:hanging="436"/>
        <w:spacing w:after="0" w:line="256"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in columns (i) and (j) reflect the number and market values of the outstanding performance stock as of December 31, 2017 for the Named Executive Officers. Scheduled vesting of all performance stock awards and the number of shares underlying such awards, subject to the satisfaction of the performance goals, is described in the table below. Payouts for the March 14, 2016 and March 13, 2017 grant are calculated at 150% of target maximum level.</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Vesting Date</w:t>
            </w: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Peter J. Arduini</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Glenn G. Coleman</w:t>
            </w:r>
          </w:p>
        </w:tc>
        <w:tc>
          <w:tcPr>
            <w:tcW w:w="2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Robert T. Davis Jr.</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Daniel L. Reuvers</w:t>
            </w:r>
          </w:p>
        </w:tc>
        <w:tc>
          <w:tcPr>
            <w:tcW w:w="200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Richard D. Gorelick</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120" w:type="dxa"/>
            <w:vAlign w:val="bottom"/>
            <w:gridSpan w:val="6"/>
          </w:tcPr>
          <w:p>
            <w:pPr>
              <w:jc w:val="right"/>
              <w:ind w:right="220"/>
              <w:spacing w:after="0" w:line="135" w:lineRule="exact"/>
              <w:rPr>
                <w:sz w:val="20"/>
                <w:szCs w:val="20"/>
                <w:color w:val="auto"/>
              </w:rPr>
            </w:pPr>
            <w:r>
              <w:rPr>
                <w:rFonts w:ascii="Arial" w:cs="Arial" w:eastAsia="Arial" w:hAnsi="Arial"/>
                <w:sz w:val="14"/>
                <w:szCs w:val="14"/>
                <w:b w:val="1"/>
                <w:bCs w:val="1"/>
                <w:color w:val="auto"/>
              </w:rPr>
              <w:t>Number of Shares Underlying Outstanding Performance Stock Awards</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3/13/2018</w:t>
            </w:r>
          </w:p>
        </w:tc>
        <w:tc>
          <w:tcPr>
            <w:tcW w:w="9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26,915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6,516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3/14/2018</w:t>
            </w:r>
          </w:p>
        </w:tc>
        <w:tc>
          <w:tcPr>
            <w:tcW w:w="9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34,182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3/23/2018</w:t>
            </w:r>
          </w:p>
        </w:tc>
        <w:tc>
          <w:tcPr>
            <w:tcW w:w="9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25,318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3,006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5/2/2018</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3/13/2019</w:t>
            </w:r>
          </w:p>
        </w:tc>
        <w:tc>
          <w:tcPr>
            <w:tcW w:w="9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3/14/2019</w:t>
            </w:r>
          </w:p>
        </w:tc>
        <w:tc>
          <w:tcPr>
            <w:tcW w:w="9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35,217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5,481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3,759</w:t>
            </w:r>
          </w:p>
        </w:tc>
        <w:tc>
          <w:tcPr>
            <w:tcW w:w="5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3/13/2020</w:t>
            </w:r>
          </w:p>
        </w:tc>
        <w:tc>
          <w:tcPr>
            <w:tcW w:w="9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27,731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6,714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2,190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1,841</w:t>
            </w:r>
          </w:p>
        </w:tc>
        <w:tc>
          <w:tcPr>
            <w:tcW w:w="6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jc w:val="right"/>
              <w:ind w:right="475"/>
              <w:spacing w:after="0"/>
              <w:rPr>
                <w:sz w:val="20"/>
                <w:szCs w:val="20"/>
                <w:color w:val="auto"/>
              </w:rPr>
            </w:pPr>
            <w:r>
              <w:rPr>
                <w:rFonts w:ascii="Arial" w:cs="Arial" w:eastAsia="Arial" w:hAnsi="Arial"/>
                <w:sz w:val="18"/>
                <w:szCs w:val="18"/>
                <w:color w:val="auto"/>
                <w:w w:val="89"/>
              </w:rPr>
              <w:t>59</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2017.</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w w:val="96"/>
              </w:rPr>
              <w:t>Option Awards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w w:val="97"/>
              </w:rPr>
              <w:t>Stock Awards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Number of Shares</w:t>
            </w:r>
          </w:p>
        </w:tc>
        <w:tc>
          <w:tcPr>
            <w:tcW w:w="1000" w:type="dxa"/>
            <w:vAlign w:val="bottom"/>
            <w:gridSpan w:val="2"/>
          </w:tcPr>
          <w:p>
            <w:pPr>
              <w:jc w:val="center"/>
              <w:ind w:left="32"/>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920" w:type="dxa"/>
            <w:vAlign w:val="bottom"/>
          </w:tcPr>
          <w:p>
            <w:pPr>
              <w:spacing w:after="0"/>
              <w:rPr>
                <w:sz w:val="11"/>
                <w:szCs w:val="11"/>
                <w:color w:val="auto"/>
              </w:rPr>
            </w:pPr>
          </w:p>
        </w:tc>
        <w:tc>
          <w:tcPr>
            <w:tcW w:w="20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9"/>
              </w:rPr>
              <w:t>Number of Shares</w:t>
            </w:r>
          </w:p>
        </w:tc>
        <w:tc>
          <w:tcPr>
            <w:tcW w:w="1000" w:type="dxa"/>
            <w:vAlign w:val="bottom"/>
            <w:gridSpan w:val="2"/>
          </w:tcPr>
          <w:p>
            <w:pPr>
              <w:jc w:val="center"/>
              <w:ind w:left="19"/>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24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Acquired on Exercise</w:t>
            </w:r>
          </w:p>
        </w:tc>
        <w:tc>
          <w:tcPr>
            <w:tcW w:w="10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on Exercise(1)</w:t>
            </w:r>
          </w:p>
        </w:tc>
        <w:tc>
          <w:tcPr>
            <w:tcW w:w="294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88"/>
              </w:rPr>
              <w:t>Acquired on Vesting</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49"/>
        </w:trPr>
        <w:tc>
          <w:tcPr>
            <w:tcW w:w="2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w:t>
            </w:r>
          </w:p>
        </w:tc>
        <w:tc>
          <w:tcPr>
            <w:tcW w:w="2440" w:type="dxa"/>
            <w:vAlign w:val="bottom"/>
            <w:gridSpan w:val="2"/>
          </w:tcPr>
          <w:p>
            <w:pPr>
              <w:jc w:val="center"/>
              <w:ind w:left="1092"/>
              <w:spacing w:after="0" w:line="149"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2"/>
                <w:szCs w:val="12"/>
                <w:color w:val="auto"/>
              </w:rPr>
            </w:pPr>
          </w:p>
        </w:tc>
        <w:tc>
          <w:tcPr>
            <w:tcW w:w="10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93"/>
              </w:rPr>
              <w:t>($)</w:t>
            </w:r>
          </w:p>
        </w:tc>
        <w:tc>
          <w:tcPr>
            <w:tcW w:w="2140" w:type="dxa"/>
            <w:vAlign w:val="bottom"/>
            <w:gridSpan w:val="2"/>
          </w:tcPr>
          <w:p>
            <w:pPr>
              <w:jc w:val="center"/>
              <w:ind w:left="819"/>
              <w:spacing w:after="0" w:line="149"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2"/>
                <w:szCs w:val="12"/>
                <w:color w:val="auto"/>
              </w:rPr>
            </w:pPr>
          </w:p>
        </w:tc>
        <w:tc>
          <w:tcPr>
            <w:tcW w:w="100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r>
      <w:tr>
        <w:trPr>
          <w:trHeight w:val="148"/>
        </w:trPr>
        <w:tc>
          <w:tcPr>
            <w:tcW w:w="26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t>
            </w:r>
          </w:p>
        </w:tc>
        <w:tc>
          <w:tcPr>
            <w:tcW w:w="1160" w:type="dxa"/>
            <w:vAlign w:val="bottom"/>
          </w:tcPr>
          <w:p>
            <w:pPr>
              <w:spacing w:after="0"/>
              <w:rPr>
                <w:sz w:val="12"/>
                <w:szCs w:val="12"/>
                <w:color w:val="auto"/>
              </w:rPr>
            </w:pPr>
          </w:p>
        </w:tc>
        <w:tc>
          <w:tcPr>
            <w:tcW w:w="208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(c)</w:t>
            </w:r>
          </w:p>
        </w:tc>
        <w:tc>
          <w:tcPr>
            <w:tcW w:w="920" w:type="dxa"/>
            <w:vAlign w:val="bottom"/>
          </w:tcPr>
          <w:p>
            <w:pPr>
              <w:spacing w:after="0"/>
              <w:rPr>
                <w:sz w:val="12"/>
                <w:szCs w:val="12"/>
                <w:color w:val="auto"/>
              </w:rPr>
            </w:pPr>
          </w:p>
        </w:tc>
        <w:tc>
          <w:tcPr>
            <w:tcW w:w="20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9"/>
              </w:rPr>
              <w:t>(d)</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3"/>
              </w:rPr>
              <w:t>(e)</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1,135,624</w:t>
            </w:r>
          </w:p>
        </w:tc>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116,237</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4,967,620(2)</w:t>
            </w: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1160" w:type="dxa"/>
            <w:vAlign w:val="bottom"/>
          </w:tcPr>
          <w:p>
            <w:pPr>
              <w:spacing w:after="0"/>
              <w:rPr>
                <w:sz w:val="18"/>
                <w:szCs w:val="18"/>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23,444</w:t>
            </w:r>
          </w:p>
        </w:tc>
        <w:tc>
          <w:tcPr>
            <w:tcW w:w="8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1,049,065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1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535,579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160" w:type="dxa"/>
            <w:vAlign w:val="bottom"/>
          </w:tcPr>
          <w:p>
            <w:pPr>
              <w:spacing w:after="0"/>
              <w:rPr>
                <w:sz w:val="18"/>
                <w:szCs w:val="18"/>
                <w:color w:val="auto"/>
              </w:rPr>
            </w:pP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6,855</w:t>
            </w:r>
          </w:p>
        </w:tc>
        <w:tc>
          <w:tcPr>
            <w:tcW w:w="8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292,777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376,743</w:t>
            </w:r>
          </w:p>
        </w:tc>
        <w:tc>
          <w:tcPr>
            <w:tcW w:w="2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180" w:hanging="436"/>
        <w:spacing w:after="0" w:line="259"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59" w:lineRule="exact"/>
        <w:rPr>
          <w:rFonts w:ascii="Arial" w:cs="Arial" w:eastAsia="Arial" w:hAnsi="Arial"/>
          <w:sz w:val="18"/>
          <w:szCs w:val="18"/>
          <w:color w:val="auto"/>
        </w:rPr>
      </w:pPr>
    </w:p>
    <w:p>
      <w:pPr>
        <w:ind w:left="640" w:right="20" w:hanging="436"/>
        <w:spacing w:after="0" w:line="289"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includes the market value of the shares that are vested, but delivery is deferred. These awards are also shown in the Non-Qualified Deferred Compensation Table as follows: (i) 8,830 shares of common stock underlying restricted stock units from an initial grant in March 2016 of 27,622 units (of which 378 units were withheld to pay taxes), of which the first installment vested fully on the first anniversary of the grant date, based on the $43.03 closing price of our common stock on the vesting date, (ii) 8,235 shares of common stock underlying restricted stock units from an initial grant in March 2015 of 25,766 units (of which 707 units were withheld to pay taxes), of which the second installment fully vested on the second anniversary of the grant date, based on the $42.35 closing price of our common stock on the vesting date, (iii) 9,641 shares of common stock underlying restricted stock units from an initial grant in March 2014 of 30,166 units (of which 1,241 units were withheld to pay taxes), of which the third installment fully vested on the third anniversary of the grant date, based on the $42.74 closing price of our common stock on the vesting date.</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in 2017</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Executive</w:t>
            </w:r>
          </w:p>
        </w:tc>
        <w:tc>
          <w:tcPr>
            <w:tcW w:w="18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Registrant</w:t>
            </w:r>
          </w:p>
        </w:tc>
        <w:tc>
          <w:tcPr>
            <w:tcW w:w="16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3"/>
              </w:rPr>
              <w:t>Aggregate</w:t>
            </w:r>
          </w:p>
        </w:tc>
        <w:tc>
          <w:tcPr>
            <w:tcW w:w="2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1920" w:type="dxa"/>
            <w:vAlign w:val="bottom"/>
            <w:gridSpan w:val="3"/>
            <w:vMerge w:val="restart"/>
          </w:tcPr>
          <w:p>
            <w:pPr>
              <w:jc w:val="center"/>
              <w:ind w:left="212"/>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Contributions</w:t>
            </w:r>
          </w:p>
        </w:tc>
        <w:tc>
          <w:tcPr>
            <w:tcW w:w="1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Contributions</w:t>
            </w:r>
          </w:p>
        </w:tc>
        <w:tc>
          <w:tcPr>
            <w:tcW w:w="16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Earnings (Losses)</w:t>
            </w:r>
          </w:p>
        </w:tc>
        <w:tc>
          <w:tcPr>
            <w:tcW w:w="10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92"/>
              </w:rPr>
              <w:t>Withdrawals/</w:t>
            </w: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49"/>
        </w:trPr>
        <w:tc>
          <w:tcPr>
            <w:tcW w:w="2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10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93"/>
              </w:rPr>
              <w:t>($)</w:t>
            </w:r>
          </w:p>
        </w:tc>
        <w:tc>
          <w:tcPr>
            <w:tcW w:w="1660" w:type="dxa"/>
            <w:vAlign w:val="bottom"/>
            <w:gridSpan w:val="2"/>
          </w:tcPr>
          <w:p>
            <w:pPr>
              <w:jc w:val="center"/>
              <w:ind w:left="472"/>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w:t>
            </w:r>
          </w:p>
        </w:tc>
        <w:tc>
          <w:tcPr>
            <w:tcW w:w="168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1"/>
              </w:rPr>
              <w:t>(c)</w:t>
            </w:r>
          </w:p>
        </w:tc>
        <w:tc>
          <w:tcPr>
            <w:tcW w:w="16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9"/>
              </w:rPr>
              <w:t>(d)</w:t>
            </w:r>
          </w:p>
        </w:tc>
        <w:tc>
          <w:tcPr>
            <w:tcW w:w="2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(e)</w:t>
            </w:r>
          </w:p>
        </w:tc>
        <w:tc>
          <w:tcPr>
            <w:tcW w:w="560" w:type="dxa"/>
            <w:vAlign w:val="bottom"/>
          </w:tcPr>
          <w:p>
            <w:pPr>
              <w:spacing w:after="0"/>
              <w:rPr>
                <w:sz w:val="12"/>
                <w:szCs w:val="12"/>
                <w:color w:val="auto"/>
              </w:rPr>
            </w:pPr>
          </w:p>
        </w:tc>
        <w:tc>
          <w:tcPr>
            <w:tcW w:w="13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1120" w:type="dxa"/>
            <w:vAlign w:val="bottom"/>
            <w:shd w:val="clear" w:color="auto" w:fill="CCEEFF"/>
          </w:tcPr>
          <w:p>
            <w:pPr>
              <w:ind w:left="940"/>
              <w:spacing w:after="0" w:line="203" w:lineRule="exact"/>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1,140,764(1)</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2,291,193(2)</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22,039,721(3)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20" w:hanging="436"/>
        <w:spacing w:after="0" w:line="290"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represents the market value of: (i) 8,830 shares of common stock underlying restricted stock units from an initial grant in March 2016 of 27,622 units (of which 378 units were withheld to pay taxes), of which the first installment vested fully on the first anniversary of the grant date, based on the $43.03 closing price of our common stock on the vesting date, (ii) 8,235 shares of common stock underlying restricted stock units from an initial grant in March 2015 of 25,766 units (of which 707 units were withheld to pay taxes), of which the second installment fully vested on the second anniversary of the grant date, based on the $42.35 closing price of our common stock on the vesting date, (iii) 9,641 shares of common stock underlying restricted stock units from an initial grant in March 2014 of 30,166 units (of which 1,241 units were withheld to pay taxes), of which the third installment fully vested on the third anniversary of the grant date, based on the $42.74 closing price of our common stock on the vesting date.</w:t>
      </w:r>
    </w:p>
    <w:p>
      <w:pPr>
        <w:spacing w:after="0" w:line="37" w:lineRule="exact"/>
        <w:rPr>
          <w:rFonts w:ascii="Arial" w:cs="Arial" w:eastAsia="Arial" w:hAnsi="Arial"/>
          <w:sz w:val="16"/>
          <w:szCs w:val="16"/>
          <w:color w:val="auto"/>
        </w:rPr>
      </w:pPr>
    </w:p>
    <w:p>
      <w:pPr>
        <w:ind w:left="640" w:right="560" w:hanging="436"/>
        <w:spacing w:after="0" w:line="268"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represents the gain in the value of 460,504 shares of common stock underlying restricted stock units and deferred performance stock units through December 31, 2017.</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00" w:hanging="436"/>
        <w:spacing w:after="0" w:line="256" w:lineRule="auto"/>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represents the year-end value of the 460,504 shares of common stock underlying restricted stock units and deferred performance stock units through December 31, 2017. All of these shares are deliverable within 30 days following the first business day that occurs immediately following the six-month period after the date of Mr. Arduini’s separation from service from the Company. The aggregate balance shown is based on the $47.68 closing price of our common stock on December 29, 2017.</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of December 31, 2017, the Company has entered into agreements with each of its named executive officers,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2017. On December 29, 2017, the Company’s common stock had a closing sale price on the NASDAQ Global Select Market of $47.68. Actual amounts payable would vary based on the date of the named executive officer’s termination of employment and can only be finally determined at that time.</w:t>
      </w:r>
    </w:p>
    <w:p>
      <w:pPr>
        <w:spacing w:after="0" w:line="3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Unless specified otherwise, the information in this section is based upon the terms of (i) the Third Amended and Restated Employment Agreement between the Company and Peter J. Arduini, dated as of October 24, 2017 (the “Arduini Agreement”) and (ii) individual Change in Control Severance Agreements, dated February 1, 2017, between the Company and Glenn Coleman, Robert Davis, Jr., Daniel L. Reuvers, and Richard Gorelick (collectively, the “Change in Control Agreements”) (the Arduini Agreement and the Change in Control Agreements are collectively referred to in this section as the “Agreements”).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Payments Upon Termination By The Company Without Cause Or By The Executive For Good Reason Prior to a Change in Control</w:t>
      </w:r>
    </w:p>
    <w:p>
      <w:pPr>
        <w:spacing w:after="0" w:line="11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62" w:lineRule="exact"/>
        <w:rPr>
          <w:sz w:val="20"/>
          <w:szCs w:val="20"/>
          <w:color w:val="auto"/>
        </w:rPr>
      </w:pPr>
    </w:p>
    <w:p>
      <w:pPr>
        <w:ind w:left="200" w:right="380" w:firstLine="441"/>
        <w:spacing w:after="0" w:line="306" w:lineRule="auto"/>
        <w:rPr>
          <w:sz w:val="20"/>
          <w:szCs w:val="20"/>
          <w:color w:val="auto"/>
        </w:rPr>
      </w:pPr>
      <w:r>
        <w:rPr>
          <w:rFonts w:ascii="Arial" w:cs="Arial" w:eastAsia="Arial" w:hAnsi="Arial"/>
          <w:sz w:val="16"/>
          <w:szCs w:val="16"/>
          <w:color w:val="auto"/>
        </w:rPr>
        <w:t>None of the unvested equity awards held by Messrs. Arduini, Coleman, Davis, Reuvers or Gorelick will vest upon such termination. The Arduini Agreement, which went into effect January 1, 2018, provides for accelerated time-vesting of certain equity awards in connection with Mr. Arduini’s retirement. Mr. Arduini is not currently retirement eligible under the terms of the Arduini Agreement.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9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jc w:val="both"/>
        <w:ind w:left="200" w:right="160" w:firstLine="441"/>
        <w:spacing w:after="0" w:line="335" w:lineRule="auto"/>
        <w:rPr>
          <w:sz w:val="20"/>
          <w:szCs w:val="20"/>
          <w:color w:val="auto"/>
        </w:rPr>
      </w:pPr>
      <w:r>
        <w:rPr>
          <w:rFonts w:ascii="Arial" w:cs="Arial" w:eastAsia="Arial" w:hAnsi="Arial"/>
          <w:sz w:val="15"/>
          <w:szCs w:val="15"/>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7"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All of Mr. Arduini’s unvested equity awards will vest in the event of death other than the non-deferred PSU grants in March of 2015, 2016 and 2017, which would remain outstanding and subject to the achievement of the respective performance goals. All of Messrs. Coleman’s, Davis’, Reuver’s, and Gorelick’s unvested equity awards will vest in the event of death other than their respective outstanding PSU grants, which would remain outstanding and subject to the achievement of the respective performance goals.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death as stated above.</w:t>
      </w:r>
    </w:p>
    <w:p>
      <w:pPr>
        <w:spacing w:after="0" w:line="59" w:lineRule="exact"/>
        <w:rPr>
          <w:sz w:val="20"/>
          <w:szCs w:val="20"/>
          <w:color w:val="auto"/>
        </w:rPr>
      </w:pPr>
    </w:p>
    <w:p>
      <w:pPr>
        <w:ind w:left="200" w:right="260" w:firstLine="441"/>
        <w:spacing w:after="0" w:line="33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Arduini Agreement and Change in Control Agreements provide each of the applicable named executive officers with severance payments and benefits upon termination of their employment in connection with or following a change in control.</w:t>
      </w:r>
    </w:p>
    <w:p>
      <w:pPr>
        <w:spacing w:after="0" w:line="5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Arduini Agreement provides that, if Mr. Arduini’s employment with the Company is terminated within twenty-four months following a change in control by the Company other than cause, death, or disability, or by Mr. Arduini for good reason, then the Company will pay (i) a lump-sum cash payment equal to a multiple of 2.99 times the sum of Mr. Arduini’s base salary and target cash bonus as well as (ii) a pro-rata portion of 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39"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Change in Control Agreements for Messrs. Coleman, Davis, Reuvers, and Gorelick provide that, if any applicable named executive officer’s employment with the Company is terminated within twenty-four months following a change in control so long as such change of control occurs before January 31, 2019 by the Company without cause or by such named executive officer for good reason, then the Company will pay the following to such named executive officer: (i) a lump-sum cash payment equal to a multiple of 1.5 times the sum of the named executive officer’s base salary and target cash bonus (or 2 times in the case of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37"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since January 1, 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For PSU award agreements granted in 2017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spacing w:after="0" w:line="332" w:lineRule="auto"/>
        <w:rPr>
          <w:sz w:val="20"/>
          <w:szCs w:val="20"/>
          <w:color w:val="auto"/>
        </w:rPr>
      </w:pPr>
      <w:r>
        <w:rPr>
          <w:rFonts w:ascii="Arial" w:cs="Arial" w:eastAsia="Arial" w:hAnsi="Arial"/>
          <w:sz w:val="16"/>
          <w:szCs w:val="16"/>
          <w:color w:val="auto"/>
        </w:rPr>
        <w:t>stock underlying such grants of restricted stock, stock options, and PSUs in such event. In addition, Mr. Arduini will receive deferred payment of common stock underlying such grants of restricted stock units on the date that represents six months after the date of his termination of employment.</w:t>
      </w:r>
    </w:p>
    <w:p>
      <w:pPr>
        <w:spacing w:after="0" w:line="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63"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Under the Change in Control Agreements as well as the equity award agreements (except for the PSU award agreements granted in 2014 and 2015)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 Pursuant to Mr. Arduini’s PSU award agreements granted in 2014 and 2015, a qualifying termination would be deemed to have occurred: (i) if the Company terminates Mr. Arduini without cause, (ii) if Mr. Arduini terminates his employment with the Company for good reason, (iii) by reason of Mr. Arduini’s disability, or (iv) by reason of Mr. Arduini’s death. In addition, for all other NEOs’ PSU award agreements granted in 2014 and 2015, a qualifying termination would be deemed to have occurred by reason of such NEO’s disability or death.</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9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2017 or a change in control of the Company occurred on December 31, 2017, as applicable:</w:t>
      </w:r>
    </w:p>
    <w:p>
      <w:pPr>
        <w:spacing w:after="0" w:line="4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Termination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Without Cause,</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Without Cause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w w:val="90"/>
              </w:rPr>
              <w:t>With Good Reason</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or With Good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w w:val="92"/>
              </w:rPr>
              <w:t>Death or Disability</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00" w:type="dxa"/>
            <w:vAlign w:val="bottom"/>
            <w:gridSpan w:val="3"/>
          </w:tcPr>
          <w:p>
            <w:pPr>
              <w:ind w:left="1600"/>
              <w:spacing w:after="0" w:line="149" w:lineRule="exact"/>
              <w:rPr>
                <w:sz w:val="20"/>
                <w:szCs w:val="20"/>
                <w:color w:val="auto"/>
              </w:rPr>
            </w:pPr>
            <w:r>
              <w:rPr>
                <w:rFonts w:ascii="Arial" w:cs="Arial" w:eastAsia="Arial" w:hAnsi="Arial"/>
                <w:sz w:val="14"/>
                <w:szCs w:val="14"/>
                <w:b w:val="1"/>
                <w:bCs w:val="1"/>
                <w:color w:val="auto"/>
                <w:w w:val="85"/>
              </w:rPr>
              <w:t>Reason (Before a</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(“Double trigger”</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Change In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after a Change</w:t>
            </w:r>
          </w:p>
        </w:tc>
      </w:tr>
      <w:tr>
        <w:trPr>
          <w:trHeight w:val="168"/>
        </w:trPr>
        <w:tc>
          <w:tcPr>
            <w:tcW w:w="4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Named Executive Officer</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line="148" w:lineRule="exact"/>
              <w:rPr>
                <w:sz w:val="20"/>
                <w:szCs w:val="20"/>
                <w:color w:val="auto"/>
              </w:rPr>
            </w:pPr>
            <w:r>
              <w:rPr>
                <w:rFonts w:ascii="Arial" w:cs="Arial" w:eastAsia="Arial" w:hAnsi="Arial"/>
                <w:sz w:val="14"/>
                <w:szCs w:val="14"/>
                <w:b w:val="1"/>
                <w:bCs w:val="1"/>
                <w:color w:val="auto"/>
                <w:w w:val="91"/>
              </w:rPr>
              <w:t>Control)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Death</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53"/>
              <w:spacing w:after="0" w:line="148" w:lineRule="exact"/>
              <w:rPr>
                <w:sz w:val="20"/>
                <w:szCs w:val="20"/>
                <w:color w:val="auto"/>
              </w:rPr>
            </w:pPr>
            <w:r>
              <w:rPr>
                <w:rFonts w:ascii="Arial" w:cs="Arial" w:eastAsia="Arial" w:hAnsi="Arial"/>
                <w:sz w:val="14"/>
                <w:szCs w:val="14"/>
                <w:b w:val="1"/>
                <w:bCs w:val="1"/>
                <w:color w:val="auto"/>
                <w:w w:val="89"/>
              </w:rPr>
              <w:t>Disability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in Control)</w:t>
            </w:r>
          </w:p>
        </w:tc>
      </w:tr>
      <w:tr>
        <w:trPr>
          <w:trHeight w:val="190"/>
        </w:trPr>
        <w:tc>
          <w:tcPr>
            <w:tcW w:w="2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Peter J. Arduini</w:t>
            </w:r>
          </w:p>
        </w:tc>
        <w:tc>
          <w:tcPr>
            <w:tcW w:w="28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Cash Severance</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2,725,869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911,662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6,937,748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Continued Health &amp; Other Benefits(1)</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Acceleration of Stock Options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1,415,935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1,415,935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1,415,935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Other Grants(2)</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2,333,271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2,333,271</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9,532,738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Fees/Interest(3)</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7,164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53,221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2,789,900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4,696,001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3,749,206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17,982,564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Severance</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Continued Health &amp; Other Benefits(1)</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Stock Options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1,368,893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1,368,893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Acceleration of Other Grants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620,122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620,122</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2,389,429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Fees/Interest</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1,989,015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1,989,015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5,607,084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Cash Severance</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Continued Health &amp; Other Benefits(1)</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Acceleration of Stock Options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434,218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434,218</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434,218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Other Grants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310,516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Fees/Interest</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2,887,791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Daniel L. Reuvers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Severance</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Continued Health &amp; Other Benefits(1)</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Stock Options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Acceleration of Other Grants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166,553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166,553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578,147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Fees/Interest</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381,139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381,139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1,916,587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Cash Severance</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1,042,619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Continued Health &amp; Other Benefits(1)</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Acceleration of Stock Options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437,109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437,109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437,109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Other Grants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Fees/Interest</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608,209</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2,101,648</w:t>
            </w:r>
          </w:p>
        </w:tc>
        <w:tc>
          <w:tcPr>
            <w:tcW w:w="6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282575</wp:posOffset>
            </wp:positionV>
            <wp:extent cx="909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0" w:right="20" w:hanging="316"/>
        <w:spacing w:after="0" w:line="298"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will pay Mr. Arduini the monthly premium cost of COBRA health insurance as well as the Company’s monthly premium cost of the Company’s life and disability insurance plans for up to 18 months following Mr. Arduini’s termination date. The Company will pay Messrs. Coleman, Davis, Reuvers, and Gorelick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31" w:lineRule="exact"/>
        <w:rPr>
          <w:rFonts w:ascii="Arial" w:cs="Arial" w:eastAsia="Arial" w:hAnsi="Arial"/>
          <w:sz w:val="16"/>
          <w:szCs w:val="16"/>
          <w:color w:val="auto"/>
        </w:rPr>
      </w:pPr>
    </w:p>
    <w:p>
      <w:pPr>
        <w:ind w:left="520" w:right="340" w:hanging="316"/>
        <w:spacing w:after="0" w:line="268"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520" w:right="120" w:hanging="316"/>
        <w:spacing w:after="0" w:line="259"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1.52% compounded monthly.</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provide for any excise tax gross-up payments.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9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is permitted under the SEC rules, to determine our estimated medianemployee, we chose to use an employee population as of October 1, 2017. We chose not to use the SEC Summary Compensation table definition for our calculation but instead chose to use full year actual 2017 base pay earnings, bonus, commission and overtime. We annualized pay for those who were hired in 2017. We excluded non-US population that accounts for 5% or less of Integra’s total U.S. and non-U.S. employee population. Specifically, we excluded all employees in Mexico (approximately 163 employees). By excluding these employees, we reduced the total number of our US and non-US employees considered in determining the median employee from 4,088 to 3,925. We selected an employee from that group and determined that person’s Summary Compensation table total compensation was $57,786. The ratio of CEO pay to median worker pay is 123:1.</w:t>
      </w:r>
    </w:p>
    <w:p>
      <w:pPr>
        <w:spacing w:after="0" w:line="3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left="200" w:right="40" w:firstLine="441"/>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2017 included the compensation payable during the period beginning with the Company’s 2016</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24, 2016 and ending with the Company’s 2017 Annual Meeting of Stockholders on May 23, 2017.</w:t>
      </w:r>
    </w:p>
    <w:p>
      <w:pPr>
        <w:spacing w:after="0" w:line="4"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2017 Annual Meeting of Stockholders, non-employee directors received an annual equity grant in the form of restricted stock with a fair market value on the date of grant of $170,000 (or $220,000 for the Chairman). Directors also received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$15,000 for the Audit Committee Chair, (4) $15,000 for the Finance Committee Chair, (5) $25,000 for the Presiding Director and (6) $75,000 for the Chairman.</w:t>
      </w:r>
    </w:p>
    <w:p>
      <w:pPr>
        <w:spacing w:after="0" w:line="39"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Effective as of the 2018 Annual Meeting of Stockholders, non-employee directors will receive an annual equity grant in the form of restricted stock with a fair market value on the date of grant of $190,000 (increased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from $170,000) (or $220,000 for the Chairman). Directors will also continue to receive an annual retainer of $75,000, payable in one of three ways, at their election: (1) in cash, (2) in restricted stock, or (3) one half in cash and one half in restricted stock. In addition, the Company will pay the following separate annual cash fees to certain directors as follows: (1) $15,000 for the Nominating and Corporate Governance Committee Chair, (2) $15,000 for the Compensation Committee Chair, (3) $20,000 (increased from $15,000) for the Audit Committee Chair, (4) $15,000 for the Finance Committee Chair, (5) $25,000 for the Presiding Director and (6) $75,000 for the Chairman.</w:t>
      </w:r>
    </w:p>
    <w:p>
      <w:pPr>
        <w:spacing w:after="0" w:line="62"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details of the total compensation for non-employee directors in 2017.</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gridSpan w:val="2"/>
          </w:tcPr>
          <w:p>
            <w:pPr>
              <w:jc w:val="center"/>
              <w:ind w:left="937"/>
              <w:spacing w:after="0"/>
              <w:rPr>
                <w:sz w:val="20"/>
                <w:szCs w:val="20"/>
                <w:color w:val="auto"/>
              </w:rPr>
            </w:pPr>
            <w:r>
              <w:rPr>
                <w:rFonts w:ascii="Arial" w:cs="Arial" w:eastAsia="Arial" w:hAnsi="Arial"/>
                <w:sz w:val="14"/>
                <w:szCs w:val="14"/>
                <w:b w:val="1"/>
                <w:bCs w:val="1"/>
                <w:color w:val="auto"/>
                <w:w w:val="86"/>
              </w:rPr>
              <w:t>Fees Earned or</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Paid in Cash</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 Awards(1)(2)</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Option Awards(3)(4)</w:t>
            </w:r>
          </w:p>
        </w:tc>
        <w:tc>
          <w:tcPr>
            <w:tcW w:w="218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Compensation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900" w:type="dxa"/>
            <w:vAlign w:val="bottom"/>
            <w:gridSpan w:val="2"/>
          </w:tcPr>
          <w:p>
            <w:pPr>
              <w:jc w:val="center"/>
              <w:ind w:left="937"/>
              <w:spacing w:after="0" w:line="149" w:lineRule="exact"/>
              <w:rPr>
                <w:sz w:val="20"/>
                <w:szCs w:val="20"/>
                <w:color w:val="auto"/>
              </w:rPr>
            </w:pPr>
            <w:r>
              <w:rPr>
                <w:rFonts w:ascii="Arial" w:cs="Arial" w:eastAsia="Arial" w:hAnsi="Arial"/>
                <w:sz w:val="14"/>
                <w:szCs w:val="14"/>
                <w:b w:val="1"/>
                <w:bCs w:val="1"/>
                <w:color w:val="auto"/>
                <w:w w:val="93"/>
              </w:rPr>
              <w:t>($)</w:t>
            </w:r>
          </w:p>
        </w:tc>
        <w:tc>
          <w:tcPr>
            <w:tcW w:w="1840" w:type="dxa"/>
            <w:vAlign w:val="bottom"/>
            <w:gridSpan w:val="2"/>
          </w:tcPr>
          <w:p>
            <w:pPr>
              <w:jc w:val="right"/>
              <w:ind w:right="442"/>
              <w:spacing w:after="0" w:line="149" w:lineRule="exact"/>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right"/>
              <w:ind w:right="454"/>
              <w:spacing w:after="0" w:line="149" w:lineRule="exact"/>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256"/>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r>
      <w:tr>
        <w:trPr>
          <w:trHeight w:val="148"/>
        </w:trPr>
        <w:tc>
          <w:tcPr>
            <w:tcW w:w="2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Name (a)</w:t>
            </w:r>
          </w:p>
        </w:tc>
        <w:tc>
          <w:tcPr>
            <w:tcW w:w="10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(b)</w:t>
            </w:r>
          </w:p>
        </w:tc>
        <w:tc>
          <w:tcPr>
            <w:tcW w:w="680" w:type="dxa"/>
            <w:vAlign w:val="bottom"/>
          </w:tcPr>
          <w:p>
            <w:pPr>
              <w:spacing w:after="0"/>
              <w:rPr>
                <w:sz w:val="12"/>
                <w:szCs w:val="12"/>
                <w:color w:val="auto"/>
              </w:rPr>
            </w:pPr>
          </w:p>
        </w:tc>
        <w:tc>
          <w:tcPr>
            <w:tcW w:w="1160" w:type="dxa"/>
            <w:vAlign w:val="bottom"/>
          </w:tcPr>
          <w:p>
            <w:pPr>
              <w:jc w:val="right"/>
              <w:ind w:right="442"/>
              <w:spacing w:after="0" w:line="148" w:lineRule="exact"/>
              <w:rPr>
                <w:sz w:val="20"/>
                <w:szCs w:val="20"/>
                <w:color w:val="auto"/>
              </w:rPr>
            </w:pPr>
            <w:r>
              <w:rPr>
                <w:rFonts w:ascii="Arial" w:cs="Arial" w:eastAsia="Arial" w:hAnsi="Arial"/>
                <w:sz w:val="14"/>
                <w:szCs w:val="14"/>
                <w:b w:val="1"/>
                <w:bCs w:val="1"/>
                <w:color w:val="auto"/>
              </w:rPr>
              <w:t>(c)</w:t>
            </w:r>
          </w:p>
        </w:tc>
        <w:tc>
          <w:tcPr>
            <w:tcW w:w="660" w:type="dxa"/>
            <w:vAlign w:val="bottom"/>
          </w:tcPr>
          <w:p>
            <w:pPr>
              <w:spacing w:after="0"/>
              <w:rPr>
                <w:sz w:val="12"/>
                <w:szCs w:val="12"/>
                <w:color w:val="auto"/>
              </w:rPr>
            </w:pPr>
          </w:p>
        </w:tc>
        <w:tc>
          <w:tcPr>
            <w:tcW w:w="1240" w:type="dxa"/>
            <w:vAlign w:val="bottom"/>
          </w:tcPr>
          <w:p>
            <w:pPr>
              <w:jc w:val="right"/>
              <w:ind w:right="454"/>
              <w:spacing w:after="0" w:line="148" w:lineRule="exact"/>
              <w:rPr>
                <w:sz w:val="20"/>
                <w:szCs w:val="20"/>
                <w:color w:val="auto"/>
              </w:rPr>
            </w:pPr>
            <w:r>
              <w:rPr>
                <w:rFonts w:ascii="Arial" w:cs="Arial" w:eastAsia="Arial" w:hAnsi="Arial"/>
                <w:sz w:val="14"/>
                <w:szCs w:val="14"/>
                <w:b w:val="1"/>
                <w:bCs w:val="1"/>
                <w:color w:val="auto"/>
              </w:rPr>
              <w:t>(d)</w:t>
            </w:r>
          </w:p>
        </w:tc>
        <w:tc>
          <w:tcPr>
            <w:tcW w:w="660" w:type="dxa"/>
            <w:vAlign w:val="bottom"/>
          </w:tcPr>
          <w:p>
            <w:pPr>
              <w:spacing w:after="0"/>
              <w:rPr>
                <w:sz w:val="12"/>
                <w:szCs w:val="12"/>
                <w:color w:val="auto"/>
              </w:rPr>
            </w:pPr>
          </w:p>
        </w:tc>
        <w:tc>
          <w:tcPr>
            <w:tcW w:w="1520" w:type="dxa"/>
            <w:vAlign w:val="bottom"/>
            <w:gridSpan w:val="2"/>
          </w:tcPr>
          <w:p>
            <w:pPr>
              <w:jc w:val="right"/>
              <w:ind w:right="1020"/>
              <w:spacing w:after="0" w:line="148" w:lineRule="exact"/>
              <w:rPr>
                <w:sz w:val="20"/>
                <w:szCs w:val="20"/>
                <w:color w:val="auto"/>
              </w:rPr>
            </w:pPr>
            <w:r>
              <w:rPr>
                <w:rFonts w:ascii="Arial" w:cs="Arial" w:eastAsia="Arial" w:hAnsi="Arial"/>
                <w:sz w:val="14"/>
                <w:szCs w:val="14"/>
                <w:b w:val="1"/>
                <w:bCs w:val="1"/>
                <w:color w:val="auto"/>
              </w:rPr>
              <w:t>(g)</w:t>
            </w:r>
          </w:p>
        </w:tc>
        <w:tc>
          <w:tcPr>
            <w:tcW w:w="70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(h)</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Keith Bradley</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52,500</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207,518</w:t>
            </w: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260,018</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Richard E. Caruso</w:t>
            </w:r>
            <w:r>
              <w:rPr>
                <w:rFonts w:ascii="Arial" w:cs="Arial" w:eastAsia="Arial" w:hAnsi="Arial"/>
                <w:sz w:val="11"/>
                <w:szCs w:val="11"/>
                <w:color w:val="auto"/>
              </w:rPr>
              <w:t>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295,063</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0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245,031</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245,031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245,031</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245,031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170,006</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245,006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245,031</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170,006</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245,031</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285,031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909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4" w:lineRule="exact"/>
        <w:rPr>
          <w:sz w:val="20"/>
          <w:szCs w:val="20"/>
          <w:color w:val="auto"/>
        </w:rPr>
      </w:pPr>
    </w:p>
    <w:p>
      <w:pPr>
        <w:ind w:left="640" w:right="660" w:hanging="436"/>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ind w:left="640" w:right="360" w:hanging="436"/>
        <w:spacing w:after="0" w:line="306"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Stock awards outstanding as of December 31, 2017 for each director consisted of restricted shares of common stock, as follows: Keith Bradley — 2,162; Richard E. Caruso — 42,736; Stuart M. Essig — 3,075; Barbara B. Hill — 2,554; Lloyd W. Howell, Jr. — 2,554; Donald E. Morel, Jr. — 1,772; Raymond G. Murphy — 2,554; Christian S. Schade — 1,771 and James M. Sullivan — 2,554.</w:t>
      </w:r>
    </w:p>
    <w:p>
      <w:pPr>
        <w:spacing w:after="0" w:line="25" w:lineRule="exact"/>
        <w:rPr>
          <w:rFonts w:ascii="Arial" w:cs="Arial" w:eastAsia="Arial" w:hAnsi="Arial"/>
          <w:sz w:val="16"/>
          <w:szCs w:val="16"/>
          <w:color w:val="auto"/>
        </w:rPr>
      </w:pPr>
    </w:p>
    <w:p>
      <w:pPr>
        <w:ind w:left="640" w:right="80" w:hanging="436"/>
        <w:spacing w:after="0" w:line="256"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“Stock-Based Compensation,” to our consolidated financial statements included in our Annual Report on Form 10-K for the year ended December 31, 2017.</w:t>
      </w:r>
    </w:p>
    <w:p>
      <w:pPr>
        <w:spacing w:after="0" w:line="62" w:lineRule="exact"/>
        <w:rPr>
          <w:rFonts w:ascii="Arial" w:cs="Arial" w:eastAsia="Arial" w:hAnsi="Arial"/>
          <w:sz w:val="18"/>
          <w:szCs w:val="18"/>
          <w:color w:val="auto"/>
        </w:rPr>
      </w:pPr>
    </w:p>
    <w:p>
      <w:pPr>
        <w:ind w:left="640" w:right="120" w:hanging="436"/>
        <w:spacing w:after="0" w:line="259"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number of options held by each director as of December 31, 2017 was as follows: Keith Bradley — 15,658; Richard E. Caruso — 92,542; Stuart M. Essig — 260,976; Barbara B. Hill — 0; Lloyd W. Howell, Jr. — 0; Donald E. Morel, Jr. — 0; Raymond G. Murphy — 0; Christian S. Schade — 31,316 and James M. Sullivan — 15,658.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909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0" w:lineRule="exact"/>
        <w:rPr>
          <w:sz w:val="20"/>
          <w:szCs w:val="20"/>
          <w:color w:val="auto"/>
        </w:rPr>
      </w:pPr>
    </w:p>
    <w:p>
      <w:pPr>
        <w:ind w:left="420" w:right="320" w:hanging="216"/>
        <w:spacing w:after="0" w:line="228" w:lineRule="auto"/>
        <w:tabs>
          <w:tab w:leader="none" w:pos="420" w:val="left"/>
        </w:tabs>
        <w:numPr>
          <w:ilvl w:val="0"/>
          <w:numId w:val="77"/>
        </w:numPr>
        <w:rPr>
          <w:rFonts w:ascii="Arial" w:cs="Arial" w:eastAsia="Arial" w:hAnsi="Arial"/>
          <w:sz w:val="22"/>
          <w:szCs w:val="22"/>
          <w:color w:val="auto"/>
          <w:vertAlign w:val="superscript"/>
        </w:rPr>
      </w:pPr>
      <w:r>
        <w:rPr>
          <w:rFonts w:ascii="Arial" w:cs="Arial" w:eastAsia="Arial" w:hAnsi="Arial"/>
          <w:sz w:val="18"/>
          <w:szCs w:val="18"/>
          <w:color w:val="auto"/>
        </w:rPr>
        <w:t>Fees earned by Dr. Caruso for his service as a director in 2016 which are paid in arrears. Dr. Caruso did not stand for reelection in 2017 and has since assumed the honorary role of Chairman Emeritus and Director Emeritus.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The following table provides information as of December 31, 2017 regarding existing compensation plans (including individual compensation arrangements) under which equity securities of the Company are authorized for issuance:</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Number of Securities to be</w:t>
            </w:r>
          </w:p>
        </w:tc>
        <w:tc>
          <w:tcPr>
            <w:tcW w:w="540" w:type="dxa"/>
            <w:vAlign w:val="bottom"/>
          </w:tcPr>
          <w:p>
            <w:pPr>
              <w:spacing w:after="0"/>
              <w:rPr>
                <w:sz w:val="14"/>
                <w:szCs w:val="14"/>
                <w:color w:val="auto"/>
              </w:rPr>
            </w:pPr>
          </w:p>
        </w:tc>
        <w:tc>
          <w:tcPr>
            <w:tcW w:w="19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Weighted–Average</w:t>
            </w:r>
          </w:p>
        </w:tc>
        <w:tc>
          <w:tcPr>
            <w:tcW w:w="52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Number of Securities</w:t>
            </w: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540" w:type="dxa"/>
            <w:vAlign w:val="bottom"/>
          </w:tcPr>
          <w:p>
            <w:pPr>
              <w:spacing w:after="0"/>
              <w:rPr>
                <w:sz w:val="12"/>
                <w:szCs w:val="12"/>
                <w:color w:val="auto"/>
              </w:rPr>
            </w:pPr>
          </w:p>
        </w:tc>
        <w:tc>
          <w:tcPr>
            <w:tcW w:w="19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520" w:type="dxa"/>
            <w:vAlign w:val="bottom"/>
          </w:tcPr>
          <w:p>
            <w:pPr>
              <w:spacing w:after="0"/>
              <w:rPr>
                <w:sz w:val="12"/>
                <w:szCs w:val="12"/>
                <w:color w:val="auto"/>
              </w:rPr>
            </w:pP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5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20" w:type="dxa"/>
            <w:vAlign w:val="bottom"/>
          </w:tcPr>
          <w:p>
            <w:pPr>
              <w:spacing w:after="0"/>
              <w:rPr>
                <w:sz w:val="12"/>
                <w:szCs w:val="12"/>
                <w:color w:val="auto"/>
              </w:rPr>
            </w:pPr>
          </w:p>
        </w:tc>
        <w:tc>
          <w:tcPr>
            <w:tcW w:w="2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8"/>
        </w:trPr>
        <w:tc>
          <w:tcPr>
            <w:tcW w:w="3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Plan Category</w:t>
            </w:r>
          </w:p>
        </w:tc>
        <w:tc>
          <w:tcPr>
            <w:tcW w:w="560" w:type="dxa"/>
            <w:vAlign w:val="bottom"/>
          </w:tcPr>
          <w:p>
            <w:pPr>
              <w:spacing w:after="0"/>
              <w:rPr>
                <w:sz w:val="12"/>
                <w:szCs w:val="12"/>
                <w:color w:val="auto"/>
              </w:rPr>
            </w:pPr>
          </w:p>
        </w:tc>
        <w:tc>
          <w:tcPr>
            <w:tcW w:w="22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540" w:type="dxa"/>
            <w:vAlign w:val="bottom"/>
          </w:tcPr>
          <w:p>
            <w:pPr>
              <w:spacing w:after="0"/>
              <w:rPr>
                <w:sz w:val="12"/>
                <w:szCs w:val="12"/>
                <w:color w:val="auto"/>
              </w:rPr>
            </w:pPr>
          </w:p>
        </w:tc>
        <w:tc>
          <w:tcPr>
            <w:tcW w:w="19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560" w:type="dxa"/>
            <w:vAlign w:val="bottom"/>
            <w:gridSpan w:val="3"/>
          </w:tcPr>
          <w:p>
            <w:pPr>
              <w:jc w:val="center"/>
              <w:ind w:left="159"/>
              <w:spacing w:after="0" w:line="148" w:lineRule="exact"/>
              <w:rPr>
                <w:sz w:val="20"/>
                <w:szCs w:val="20"/>
                <w:color w:val="auto"/>
              </w:rPr>
            </w:pPr>
            <w:r>
              <w:rPr>
                <w:rFonts w:ascii="Arial" w:cs="Arial" w:eastAsia="Arial" w:hAnsi="Arial"/>
                <w:sz w:val="14"/>
                <w:szCs w:val="14"/>
                <w:b w:val="1"/>
                <w:bCs w:val="1"/>
                <w:color w:val="auto"/>
                <w:w w:val="86"/>
              </w:rPr>
              <w:t>Equity Compensation Plans(1)</w:t>
            </w: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stockholders</w:t>
            </w:r>
          </w:p>
        </w:tc>
        <w:tc>
          <w:tcPr>
            <w:tcW w:w="28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2,617,868(2)</w:t>
            </w:r>
          </w:p>
        </w:tc>
        <w:tc>
          <w:tcPr>
            <w:tcW w:w="2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23.84(3)</w:t>
            </w:r>
          </w:p>
        </w:tc>
        <w:tc>
          <w:tcPr>
            <w:tcW w:w="256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w w:val="94"/>
              </w:rPr>
              <w:t>5,454,387(4)</w:t>
            </w:r>
          </w:p>
        </w:tc>
      </w:tr>
      <w:tr>
        <w:trPr>
          <w:trHeight w:val="222"/>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ind w:left="1380"/>
              <w:spacing w:after="0"/>
              <w:rPr>
                <w:sz w:val="20"/>
                <w:szCs w:val="20"/>
                <w:color w:val="auto"/>
              </w:rPr>
            </w:pPr>
            <w:r>
              <w:rPr>
                <w:rFonts w:ascii="Arial" w:cs="Arial" w:eastAsia="Arial" w:hAnsi="Arial"/>
                <w:sz w:val="18"/>
                <w:szCs w:val="18"/>
                <w:color w:val="auto"/>
                <w:w w:val="87"/>
              </w:rPr>
              <w:t>2,617,868</w:t>
            </w:r>
          </w:p>
        </w:tc>
        <w:tc>
          <w:tcPr>
            <w:tcW w:w="720" w:type="dxa"/>
            <w:vAlign w:val="bottom"/>
          </w:tcPr>
          <w:p>
            <w:pPr>
              <w:spacing w:after="0"/>
              <w:rPr>
                <w:sz w:val="19"/>
                <w:szCs w:val="19"/>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w w:val="84"/>
              </w:rPr>
              <w:t>23.84</w:t>
            </w:r>
          </w:p>
        </w:tc>
        <w:tc>
          <w:tcPr>
            <w:tcW w:w="740" w:type="dxa"/>
            <w:vAlign w:val="bottom"/>
          </w:tcPr>
          <w:p>
            <w:pPr>
              <w:spacing w:after="0"/>
              <w:rPr>
                <w:sz w:val="19"/>
                <w:szCs w:val="19"/>
                <w:color w:val="auto"/>
              </w:rPr>
            </w:pPr>
          </w:p>
        </w:tc>
        <w:tc>
          <w:tcPr>
            <w:tcW w:w="2300" w:type="dxa"/>
            <w:vAlign w:val="bottom"/>
            <w:gridSpan w:val="2"/>
          </w:tcPr>
          <w:p>
            <w:pPr>
              <w:ind w:left="1580"/>
              <w:spacing w:after="0"/>
              <w:rPr>
                <w:sz w:val="20"/>
                <w:szCs w:val="20"/>
                <w:color w:val="auto"/>
              </w:rPr>
            </w:pPr>
            <w:r>
              <w:rPr>
                <w:rFonts w:ascii="Arial" w:cs="Arial" w:eastAsia="Arial" w:hAnsi="Arial"/>
                <w:sz w:val="18"/>
                <w:szCs w:val="18"/>
                <w:color w:val="auto"/>
                <w:w w:val="87"/>
              </w:rPr>
              <w:t>5,454,387</w:t>
            </w:r>
          </w:p>
        </w:tc>
        <w:tc>
          <w:tcPr>
            <w:tcW w:w="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909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7" w:lineRule="exact"/>
        <w:rPr>
          <w:sz w:val="20"/>
          <w:szCs w:val="20"/>
          <w:color w:val="auto"/>
        </w:rPr>
      </w:pPr>
    </w:p>
    <w:p>
      <w:pPr>
        <w:ind w:left="520" w:hanging="316"/>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90" w:lineRule="exact"/>
        <w:rPr>
          <w:rFonts w:ascii="Arial" w:cs="Arial" w:eastAsia="Arial" w:hAnsi="Arial"/>
          <w:sz w:val="18"/>
          <w:szCs w:val="18"/>
          <w:color w:val="auto"/>
        </w:rPr>
      </w:pPr>
    </w:p>
    <w:p>
      <w:pPr>
        <w:ind w:left="520" w:right="40" w:hanging="316"/>
        <w:spacing w:after="0" w:line="289" w:lineRule="auto"/>
        <w:tabs>
          <w:tab w:leader="none" w:pos="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 30,484 shares of common stock underlying unvested Restricted Stock Units, (b) 62,542 shares of common stock underlying outstanding unvested contract stock, (c) 405,278 shares of common stock underlying outstanding unvested options, (d) 325,776 shares underlying unvested Performance Stock Units, (e) 42,364 shares underlying vested and deferred Performance Stock Units, (f) 418,140 shares underlying vested and deferred contract stock and (g) 1,333,284 shares of common stock underlying outstanding vested options. Of these amounts, the following securities are issuable under the 2003 Plan: (a) 30,484 shares of common stock underlying Restricted Stock Units, (b) 325,776 shares of common stock underlying outstanding Performance Stock Units, (c) 42,364 shares underlying vested and deferred Performance Stock Units, (d) 480,682 shares of common stock underlying contract stock and (e) 1,709,028 shares of common stock underlying outstanding options. Performance Stock Units granted in March 2016 and March 2017 are calculated at 150% of target.</w:t>
      </w:r>
    </w:p>
    <w:p>
      <w:pPr>
        <w:spacing w:after="0" w:line="37" w:lineRule="exact"/>
        <w:rPr>
          <w:rFonts w:ascii="Arial" w:cs="Arial" w:eastAsia="Arial" w:hAnsi="Arial"/>
          <w:sz w:val="16"/>
          <w:szCs w:val="16"/>
          <w:color w:val="auto"/>
        </w:rPr>
      </w:pPr>
    </w:p>
    <w:p>
      <w:pPr>
        <w:ind w:left="520" w:hanging="316"/>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$23.8443.</w:t>
      </w:r>
    </w:p>
    <w:p>
      <w:pPr>
        <w:spacing w:after="0" w:line="90" w:lineRule="exact"/>
        <w:rPr>
          <w:rFonts w:ascii="Arial" w:cs="Arial" w:eastAsia="Arial" w:hAnsi="Arial"/>
          <w:sz w:val="18"/>
          <w:szCs w:val="18"/>
          <w:color w:val="auto"/>
        </w:rPr>
      </w:pPr>
    </w:p>
    <w:p>
      <w:pPr>
        <w:ind w:left="520" w:right="400" w:hanging="316"/>
        <w:spacing w:after="0" w:line="332" w:lineRule="auto"/>
        <w:tabs>
          <w:tab w:leader="none" w:pos="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2,049,631 shares of common stock which remain available for issuance under the Employee Stock Purchase Plan and 3,404,756 shares which remain available for issuance under the other Approved Plans, including 3,402,809 shares under the 2003 Plan.</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Dr. Bradley,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88" w:lineRule="exact"/>
        <w:rPr>
          <w:sz w:val="20"/>
          <w:szCs w:val="20"/>
          <w:color w:val="auto"/>
        </w:rPr>
      </w:pPr>
    </w:p>
    <w:p>
      <w:pPr>
        <w:ind w:left="200" w:right="3020" w:firstLine="3006"/>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ind w:left="200" w:right="100" w:firstLine="441"/>
        <w:spacing w:after="0" w:line="335" w:lineRule="auto"/>
        <w:rPr>
          <w:sz w:val="20"/>
          <w:szCs w:val="20"/>
          <w:color w:val="auto"/>
        </w:rPr>
      </w:pPr>
      <w:r>
        <w:rPr>
          <w:rFonts w:ascii="Arial" w:cs="Arial" w:eastAsia="Arial" w:hAnsi="Arial"/>
          <w:sz w:val="15"/>
          <w:szCs w:val="15"/>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7" w:lineRule="exact"/>
        <w:rPr>
          <w:sz w:val="20"/>
          <w:szCs w:val="20"/>
          <w:color w:val="auto"/>
        </w:rPr>
      </w:pPr>
    </w:p>
    <w:p>
      <w:pPr>
        <w:ind w:left="640" w:right="180" w:firstLine="428"/>
        <w:spacing w:after="0" w:line="268" w:lineRule="auto"/>
        <w:tabs>
          <w:tab w:leader="none" w:pos="13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50" w:lineRule="exact"/>
        <w:rPr>
          <w:rFonts w:ascii="Arial" w:cs="Arial" w:eastAsia="Arial" w:hAnsi="Arial"/>
          <w:sz w:val="18"/>
          <w:szCs w:val="18"/>
          <w:color w:val="auto"/>
        </w:rPr>
      </w:pPr>
    </w:p>
    <w:p>
      <w:pPr>
        <w:ind w:left="1320" w:hanging="252"/>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00" w:hanging="23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90" w:lineRule="exact"/>
        <w:rPr>
          <w:rFonts w:ascii="Arial" w:cs="Arial" w:eastAsia="Arial" w:hAnsi="Arial"/>
          <w:sz w:val="18"/>
          <w:szCs w:val="18"/>
          <w:color w:val="auto"/>
        </w:rPr>
      </w:pPr>
    </w:p>
    <w:p>
      <w:pPr>
        <w:ind w:left="640" w:right="60" w:firstLine="428"/>
        <w:spacing w:after="0" w:line="268" w:lineRule="auto"/>
        <w:tabs>
          <w:tab w:leader="none" w:pos="13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1" w:lineRule="exact"/>
        <w:rPr>
          <w:sz w:val="20"/>
          <w:szCs w:val="20"/>
          <w:color w:val="auto"/>
        </w:rPr>
      </w:pPr>
    </w:p>
    <w:p>
      <w:pPr>
        <w:ind w:left="200" w:right="240" w:firstLine="441"/>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37" w:lineRule="exact"/>
        <w:rPr>
          <w:sz w:val="20"/>
          <w:szCs w:val="20"/>
          <w:color w:val="auto"/>
        </w:rPr>
      </w:pPr>
    </w:p>
    <w:p>
      <w:pPr>
        <w:jc w:val="both"/>
        <w:ind w:left="200" w:right="660" w:firstLine="441"/>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Chairman Emeritus and a principal stockholder of the Company. Dr. Caruso is the President of Provco Industries. The Company paid $276,176.34 for rent of this facility for 2017.</w:t>
      </w:r>
    </w:p>
    <w:p>
      <w:pPr>
        <w:spacing w:after="0" w:line="62"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The Company leased certain production equipment from Medicus Corporation. On January 5, 2017, the Company purchased the leased equipment from Medicus Corporation. The sole stockholder of Medicus is TRU ST PARTNERSHIP, L.P., a Pennsylvania general partnership, of which Dr. Caruso is a partner and the President. Under the terms sale, the Company paid $375,000 to Medicus Corporation for the equipment.</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62" w:lineRule="exact"/>
        <w:rPr>
          <w:sz w:val="20"/>
          <w:szCs w:val="20"/>
          <w:color w:val="auto"/>
        </w:rPr>
      </w:pPr>
    </w:p>
    <w:p>
      <w:pPr>
        <w:jc w:val="both"/>
        <w:ind w:left="200" w:right="600" w:firstLine="441"/>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21, 2015, a copy of which is available on the Company’s website.</w:t>
      </w:r>
    </w:p>
    <w:p>
      <w:pPr>
        <w:spacing w:after="0" w:line="5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2017.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2017 be included in the Company’s Annual Report on Form 10-K for such fiscal year, as filed with the Securities and Exchange Commission on February 28, 2018.</w:t>
      </w:r>
    </w:p>
    <w:p>
      <w:pPr>
        <w:spacing w:after="0" w:line="5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JAMES M. SULLIVAN</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28, 2018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Name and Address of Beneficial Owner</w:t>
            </w:r>
          </w:p>
        </w:tc>
        <w:tc>
          <w:tcPr>
            <w:tcW w:w="196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rPr>
              <w:t>Shares Owned(1)</w:t>
            </w:r>
          </w:p>
        </w:tc>
        <w:tc>
          <w:tcPr>
            <w:tcW w:w="2400" w:type="dxa"/>
            <w:vAlign w:val="bottom"/>
            <w:gridSpan w:val="3"/>
          </w:tcPr>
          <w:p>
            <w:pPr>
              <w:jc w:val="right"/>
              <w:ind w:right="920"/>
              <w:spacing w:after="0" w:line="148" w:lineRule="exact"/>
              <w:rPr>
                <w:sz w:val="20"/>
                <w:szCs w:val="20"/>
                <w:color w:val="auto"/>
              </w:rPr>
            </w:pPr>
            <w:r>
              <w:rPr>
                <w:rFonts w:ascii="Arial" w:cs="Arial" w:eastAsia="Arial" w:hAnsi="Arial"/>
                <w:sz w:val="14"/>
                <w:szCs w:val="14"/>
                <w:b w:val="1"/>
                <w:bCs w:val="1"/>
                <w:color w:val="auto"/>
              </w:rPr>
              <w:t>Right to Acquire(2)</w:t>
            </w:r>
          </w:p>
        </w:tc>
        <w:tc>
          <w:tcPr>
            <w:tcW w:w="148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680" w:type="dxa"/>
            <w:vAlign w:val="bottom"/>
          </w:tcPr>
          <w:p>
            <w:pPr>
              <w:jc w:val="right"/>
              <w:ind w:right="62"/>
              <w:spacing w:after="0" w:line="148"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8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vMerge w:val="continue"/>
            <w:shd w:val="clear" w:color="auto" w:fill="CCEEFF"/>
          </w:tcPr>
          <w:p>
            <w:pPr>
              <w:spacing w:after="0"/>
              <w:rPr>
                <w:sz w:val="17"/>
                <w:szCs w:val="17"/>
                <w:color w:val="auto"/>
              </w:rPr>
            </w:pPr>
          </w:p>
        </w:tc>
        <w:tc>
          <w:tcPr>
            <w:tcW w:w="18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90,877</w:t>
            </w:r>
          </w:p>
        </w:tc>
        <w:tc>
          <w:tcPr>
            <w:tcW w:w="62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202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896,840(4)</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987,717</w:t>
            </w:r>
          </w:p>
        </w:tc>
        <w:tc>
          <w:tcPr>
            <w:tcW w:w="6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37,065</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37,065</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 Ph.D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2,000,326</w:t>
            </w: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260,976</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2,261,302</w:t>
            </w:r>
          </w:p>
        </w:tc>
        <w:tc>
          <w:tcPr>
            <w:tcW w:w="6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55,540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55,540</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36,204</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36,204</w:t>
            </w:r>
          </w:p>
        </w:tc>
        <w:tc>
          <w:tcPr>
            <w:tcW w:w="6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Donald E. Morel, Jr., Ph.D.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37,112</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37,112</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66,002(5)</w:t>
            </w:r>
          </w:p>
        </w:tc>
        <w:tc>
          <w:tcPr>
            <w:tcW w:w="3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66,002(5)</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29,668</w:t>
            </w:r>
          </w:p>
        </w:tc>
        <w:tc>
          <w:tcPr>
            <w:tcW w:w="6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31,316</w:t>
            </w:r>
          </w:p>
        </w:tc>
        <w:tc>
          <w:tcPr>
            <w:tcW w:w="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60,984</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59,604</w:t>
            </w: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15,658</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6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18,519</w:t>
            </w:r>
          </w:p>
        </w:tc>
        <w:tc>
          <w:tcPr>
            <w:tcW w:w="6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98,248</w:t>
            </w:r>
          </w:p>
        </w:tc>
        <w:tc>
          <w:tcPr>
            <w:tcW w:w="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116,767</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w:t>
            </w:r>
          </w:p>
        </w:tc>
        <w:tc>
          <w:tcPr>
            <w:tcW w:w="6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33,571</w:t>
            </w:r>
          </w:p>
        </w:tc>
        <w:tc>
          <w:tcPr>
            <w:tcW w:w="6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23,193</w:t>
            </w:r>
          </w:p>
        </w:tc>
        <w:tc>
          <w:tcPr>
            <w:tcW w:w="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56,764</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L. Reuvers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6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All directors, nominees for director and executive</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officers as a group (19 persons)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2,574,040</w:t>
            </w:r>
          </w:p>
        </w:tc>
        <w:tc>
          <w:tcPr>
            <w:tcW w:w="620" w:type="dxa"/>
            <w:vAlign w:val="bottom"/>
          </w:tcPr>
          <w:p>
            <w:pPr>
              <w:spacing w:after="0"/>
              <w:rPr>
                <w:sz w:val="19"/>
                <w:szCs w:val="19"/>
                <w:color w:val="auto"/>
              </w:rPr>
            </w:pPr>
          </w:p>
        </w:tc>
        <w:tc>
          <w:tcPr>
            <w:tcW w:w="2400" w:type="dxa"/>
            <w:vAlign w:val="bottom"/>
            <w:gridSpan w:val="3"/>
          </w:tcPr>
          <w:p>
            <w:pPr>
              <w:jc w:val="right"/>
              <w:ind w:right="700"/>
              <w:spacing w:after="0"/>
              <w:rPr>
                <w:sz w:val="20"/>
                <w:szCs w:val="20"/>
                <w:color w:val="auto"/>
              </w:rPr>
            </w:pPr>
            <w:r>
              <w:rPr>
                <w:rFonts w:ascii="Arial" w:cs="Arial" w:eastAsia="Arial" w:hAnsi="Arial"/>
                <w:sz w:val="18"/>
                <w:szCs w:val="18"/>
                <w:color w:val="auto"/>
              </w:rPr>
              <w:t>1,386,745(4)</w:t>
            </w:r>
          </w:p>
        </w:tc>
        <w:tc>
          <w:tcPr>
            <w:tcW w:w="840" w:type="dxa"/>
            <w:vAlign w:val="bottom"/>
          </w:tcPr>
          <w:p>
            <w:pPr>
              <w:jc w:val="right"/>
              <w:spacing w:after="0"/>
              <w:rPr>
                <w:sz w:val="20"/>
                <w:szCs w:val="20"/>
                <w:color w:val="auto"/>
              </w:rPr>
            </w:pPr>
            <w:r>
              <w:rPr>
                <w:rFonts w:ascii="Arial" w:cs="Arial" w:eastAsia="Arial" w:hAnsi="Arial"/>
                <w:sz w:val="18"/>
                <w:szCs w:val="18"/>
                <w:color w:val="auto"/>
              </w:rPr>
              <w:t>3,960,785</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 Ph.D., Tru St Partnership LP</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Provco Leasing Corporation, and The Uncommon</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Individual Foundation 795 E. Lancaster Avenue,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Suite 200, Villanova, PA</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12,309,512(6)</w:t>
            </w:r>
          </w:p>
        </w:tc>
        <w:tc>
          <w:tcPr>
            <w:tcW w:w="2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92,542(6)</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12,402,054(6)</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97"/>
              </w:rPr>
              <w:t>FMR LLC, Abigail P. Johnson and Fidelity Small Cap</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Discovery Fund</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245 Summer Street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Boston, MA 02210</w:t>
            </w:r>
          </w:p>
        </w:tc>
        <w:tc>
          <w:tcPr>
            <w:tcW w:w="1960" w:type="dxa"/>
            <w:vAlign w:val="bottom"/>
            <w:gridSpan w:val="3"/>
          </w:tcPr>
          <w:p>
            <w:pPr>
              <w:jc w:val="right"/>
              <w:ind w:right="420"/>
              <w:spacing w:after="0"/>
              <w:rPr>
                <w:sz w:val="20"/>
                <w:szCs w:val="20"/>
                <w:color w:val="auto"/>
              </w:rPr>
            </w:pPr>
            <w:r>
              <w:rPr>
                <w:rFonts w:ascii="Arial" w:cs="Arial" w:eastAsia="Arial" w:hAnsi="Arial"/>
                <w:sz w:val="18"/>
                <w:szCs w:val="18"/>
                <w:color w:val="auto"/>
              </w:rPr>
              <w:t>9,664,349(7)</w:t>
            </w:r>
          </w:p>
        </w:tc>
        <w:tc>
          <w:tcPr>
            <w:tcW w:w="380" w:type="dxa"/>
            <w:vAlign w:val="bottom"/>
          </w:tcPr>
          <w:p>
            <w:pPr>
              <w:spacing w:after="0"/>
              <w:rPr>
                <w:sz w:val="19"/>
                <w:szCs w:val="19"/>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9,664,349(7)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&amp; Management Co.</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 Investors) 333 South Hope Street Los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Angeles, CA 90071</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9,613,126(8)</w:t>
            </w:r>
          </w:p>
        </w:tc>
        <w:tc>
          <w:tcPr>
            <w:tcW w:w="3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9,613,126(8)</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55 East 52nd Street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New York, NY 10055</w:t>
            </w:r>
          </w:p>
        </w:tc>
        <w:tc>
          <w:tcPr>
            <w:tcW w:w="1960" w:type="dxa"/>
            <w:vAlign w:val="bottom"/>
            <w:gridSpan w:val="3"/>
          </w:tcPr>
          <w:p>
            <w:pPr>
              <w:jc w:val="right"/>
              <w:ind w:right="420"/>
              <w:spacing w:after="0"/>
              <w:rPr>
                <w:sz w:val="20"/>
                <w:szCs w:val="20"/>
                <w:color w:val="auto"/>
              </w:rPr>
            </w:pPr>
            <w:r>
              <w:rPr>
                <w:rFonts w:ascii="Arial" w:cs="Arial" w:eastAsia="Arial" w:hAnsi="Arial"/>
                <w:sz w:val="18"/>
                <w:szCs w:val="18"/>
                <w:color w:val="auto"/>
              </w:rPr>
              <w:t>8,135,552(9)</w:t>
            </w:r>
          </w:p>
        </w:tc>
        <w:tc>
          <w:tcPr>
            <w:tcW w:w="380" w:type="dxa"/>
            <w:vAlign w:val="bottom"/>
          </w:tcPr>
          <w:p>
            <w:pPr>
              <w:spacing w:after="0"/>
              <w:rPr>
                <w:sz w:val="19"/>
                <w:szCs w:val="19"/>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8,135,552(9)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5,899,122(10)</w:t>
            </w:r>
          </w:p>
        </w:tc>
        <w:tc>
          <w:tcPr>
            <w:tcW w:w="3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5,899,122(10)</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Champlain Investment Partners, LLC 180 Battery</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Street, Suite 400 Burlington, VT 05401</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3,941,230(11)</w:t>
            </w:r>
          </w:p>
        </w:tc>
        <w:tc>
          <w:tcPr>
            <w:tcW w:w="380" w:type="dxa"/>
            <w:vAlign w:val="bottom"/>
          </w:tcPr>
          <w:p>
            <w:pPr>
              <w:spacing w:after="0"/>
              <w:rPr>
                <w:sz w:val="19"/>
                <w:szCs w:val="19"/>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3,941,230(11)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909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6"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5620" w:right="2660" w:hanging="5416"/>
        <w:spacing w:after="0" w:line="440" w:lineRule="auto"/>
        <w:tabs>
          <w:tab w:leader="none" w:pos="6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 70</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40" w:hanging="436"/>
        <w:spacing w:after="0" w:line="306"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not outstanding but deemed beneficially owned by virtue of the right of an individual to acquire them within 60 days of February 28, 2018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25" w:lineRule="exact"/>
        <w:rPr>
          <w:rFonts w:ascii="Arial" w:cs="Arial" w:eastAsia="Arial" w:hAnsi="Arial"/>
          <w:sz w:val="16"/>
          <w:szCs w:val="16"/>
          <w:color w:val="auto"/>
        </w:rPr>
      </w:pPr>
    </w:p>
    <w:p>
      <w:pPr>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February 28, 2018, we had 78,495,832 shares of common stock outstanding.</w:t>
      </w:r>
    </w:p>
    <w:p>
      <w:pPr>
        <w:spacing w:after="0" w:line="90" w:lineRule="exact"/>
        <w:rPr>
          <w:rFonts w:ascii="Arial" w:cs="Arial" w:eastAsia="Arial" w:hAnsi="Arial"/>
          <w:sz w:val="18"/>
          <w:szCs w:val="18"/>
          <w:color w:val="auto"/>
        </w:rPr>
      </w:pPr>
    </w:p>
    <w:p>
      <w:pPr>
        <w:ind w:left="640" w:right="20" w:hanging="436"/>
        <w:spacing w:after="0" w:line="291"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that vested but are not yet deliverable and do not give Mr. Arduini the right to acquire any shares within 60 days of February 28, 2018. Such Restricted Stock Units are deferred and shall be delivered to Mr. Arduini within 30 days following the first business day that occurs immediately following the six-month period after the date of his separation of service. Also excludes 43,578 outstanding PSUs awarded to Mr. Arduini in March 2013 that vested but are not yet deliverable and do not give Mr. Arduini the right to acquire any shares within 60 days of February 28, 2018. Such PSUs are deferred and shall be delivered to Mr. Arduini within 30 days following the first business day that occurs immediately following the six-month period after the date of his separation of service.</w:t>
      </w:r>
    </w:p>
    <w:p>
      <w:pPr>
        <w:spacing w:after="0" w:line="39" w:lineRule="exact"/>
        <w:rPr>
          <w:rFonts w:ascii="Arial" w:cs="Arial" w:eastAsia="Arial" w:hAnsi="Arial"/>
          <w:sz w:val="16"/>
          <w:szCs w:val="16"/>
          <w:color w:val="auto"/>
        </w:rPr>
      </w:pPr>
    </w:p>
    <w:p>
      <w:pPr>
        <w:ind w:left="640" w:right="20" w:hanging="436"/>
        <w:spacing w:after="0" w:line="268"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28,761 shares held by Mr. Murphy’s spouse in a revocable trust of which his spouse is trustee. Mr. Murphy disclaims beneficial ownership of these shares.</w:t>
      </w:r>
    </w:p>
    <w:p>
      <w:pPr>
        <w:spacing w:after="0" w:line="50" w:lineRule="exact"/>
        <w:rPr>
          <w:rFonts w:ascii="Arial" w:cs="Arial" w:eastAsia="Arial" w:hAnsi="Arial"/>
          <w:sz w:val="18"/>
          <w:szCs w:val="18"/>
          <w:color w:val="auto"/>
        </w:rPr>
      </w:pPr>
    </w:p>
    <w:p>
      <w:pPr>
        <w:ind w:left="640" w:hanging="436"/>
        <w:spacing w:after="0" w:line="289"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Richard E. Caruso, Ph.D reports a total of 12,402,054 beneficially owned shares in the aggregate which includes 11,982,410 shares held by Tru St Partnership, L.P., a Pennsylvania limited partnership (“Tru St”). Also includes 46,676 shares held by Provco Leasing Corporation (“Provco”), of which Dr. Caruso is President and sole director and 146,292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134,134 shares owned by Dr. Caruso and options to purchase 92,542 shares of common stock that are exercisable within 60 days of February 28, 2018.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37" w:lineRule="exact"/>
        <w:rPr>
          <w:rFonts w:ascii="Arial" w:cs="Arial" w:eastAsia="Arial" w:hAnsi="Arial"/>
          <w:sz w:val="16"/>
          <w:szCs w:val="16"/>
          <w:color w:val="auto"/>
        </w:rPr>
      </w:pPr>
    </w:p>
    <w:p>
      <w:pPr>
        <w:ind w:left="640" w:hanging="436"/>
        <w:spacing w:after="0" w:line="286"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Abigail P. Johnson each report beneficially owning and having sole dispositive power over 9,664,349 shares of which FMR LLC has sole voting power over 525,001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 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 filed by FMR LLC with the Securities and Exchange Commission on February 13, 2018.</w:t>
      </w:r>
    </w:p>
    <w:p>
      <w:pPr>
        <w:spacing w:after="0" w:line="46" w:lineRule="exact"/>
        <w:rPr>
          <w:rFonts w:ascii="Arial" w:cs="Arial" w:eastAsia="Arial" w:hAnsi="Arial"/>
          <w:sz w:val="16"/>
          <w:szCs w:val="16"/>
          <w:color w:val="auto"/>
        </w:rPr>
      </w:pPr>
    </w:p>
    <w:p>
      <w:pPr>
        <w:ind w:left="640" w:right="340" w:hanging="436"/>
        <w:spacing w:after="0" w:line="335" w:lineRule="auto"/>
        <w:tabs>
          <w:tab w:leader="none" w:pos="6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Capital Research &amp; Management Co. (Global Investors) has sole voting power of 9,613,126 shares and sole dispositive power over all of the 9,613,126 shares. The foregoing information has been included solely in reliance upon, and without independent investigation of, the disclosures contained in the Schedule 13G/A filed by Capital Research Global Investors. with the Securities and Exchange Commission on February 7, 2018.</w:t>
      </w:r>
    </w:p>
    <w:p>
      <w:pPr>
        <w:spacing w:after="0" w:line="7" w:lineRule="exact"/>
        <w:rPr>
          <w:rFonts w:ascii="Arial" w:cs="Arial" w:eastAsia="Arial" w:hAnsi="Arial"/>
          <w:sz w:val="15"/>
          <w:szCs w:val="15"/>
          <w:color w:val="auto"/>
        </w:rPr>
      </w:pPr>
    </w:p>
    <w:p>
      <w:pPr>
        <w:ind w:left="640" w:right="40" w:hanging="436"/>
        <w:spacing w:after="0" w:line="268"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BlackRock, Inc. has sole voting power of 8,135,552 shares and sole dispositive power over all of the 8,135,552 shares. The foregoing information has been included solely in reliance upon, and without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80"/>
        <w:spacing w:after="0" w:line="268" w:lineRule="auto"/>
        <w:rPr>
          <w:sz w:val="20"/>
          <w:szCs w:val="20"/>
          <w:color w:val="auto"/>
        </w:rPr>
      </w:pPr>
      <w:r>
        <w:rPr>
          <w:rFonts w:ascii="Arial" w:cs="Arial" w:eastAsia="Arial" w:hAnsi="Arial"/>
          <w:sz w:val="18"/>
          <w:szCs w:val="18"/>
          <w:color w:val="auto"/>
        </w:rPr>
        <w:t>independent investigation of, the disclosures contained in the Schedule 13G filed by BlackRock, Inc. with the Securities and Exchange Commission on January 17, 2018.</w:t>
      </w:r>
    </w:p>
    <w:p>
      <w:pPr>
        <w:spacing w:after="0" w:line="51" w:lineRule="exact"/>
        <w:rPr>
          <w:sz w:val="20"/>
          <w:szCs w:val="20"/>
          <w:color w:val="auto"/>
        </w:rPr>
      </w:pPr>
    </w:p>
    <w:p>
      <w:pPr>
        <w:ind w:left="640" w:right="60" w:hanging="436"/>
        <w:spacing w:after="0" w:line="291"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Vanguard Group has sole voting power of 124,171 shares and sole dispositive power of 5,773,144 shares of the total 5,899,122 shares. Vanguard Fiduciary Trust Company, a wholly-owned subsidiary of The Vanguard Group, is the beneficial owner of 118,490 shares as a result of its serving as investment manager of collective trust accounts. Vanguard Investments Australia, Ltd., a wholly-owned subsidiary of The Vanguard Group, is the beneficial owner of 13,169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7, 2018.</w:t>
      </w:r>
    </w:p>
    <w:p>
      <w:pPr>
        <w:spacing w:after="0" w:line="39" w:lineRule="exact"/>
        <w:rPr>
          <w:rFonts w:ascii="Arial" w:cs="Arial" w:eastAsia="Arial" w:hAnsi="Arial"/>
          <w:sz w:val="16"/>
          <w:szCs w:val="16"/>
          <w:color w:val="auto"/>
        </w:rPr>
      </w:pPr>
    </w:p>
    <w:p>
      <w:pPr>
        <w:ind w:left="640" w:right="300" w:hanging="436"/>
        <w:spacing w:after="0" w:line="259"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Champlain Investment Partners, LLC has sole voting power of 4,646,075 shares of the total 4,646,075 shares. The foregoing information has been included solely in reliance upon, and without independent investigation of, the disclosures contained in the Schedule 13F filed by Champlain Investment Partners, LLC with the Securities and Exchange Commission on February 8, 2018.</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62" w:lineRule="exact"/>
        <w:rPr>
          <w:sz w:val="20"/>
          <w:szCs w:val="20"/>
          <w:color w:val="auto"/>
        </w:rPr>
      </w:pPr>
    </w:p>
    <w:p>
      <w:pPr>
        <w:ind w:left="200" w:right="180" w:firstLine="441"/>
        <w:spacing w:after="0" w:line="370" w:lineRule="auto"/>
        <w:rPr>
          <w:sz w:val="20"/>
          <w:szCs w:val="20"/>
          <w:color w:val="auto"/>
        </w:rPr>
      </w:pPr>
      <w:r>
        <w:rPr>
          <w:rFonts w:ascii="Arial" w:cs="Arial" w:eastAsia="Arial" w:hAnsi="Arial"/>
          <w:sz w:val="15"/>
          <w:szCs w:val="15"/>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2017.</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2019 Annual Meeting of Stockholders is December 7, 2018.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7, 2018. If notice of a stockholder proposal submitted outside of the processes of Rule 14a-8 of the Exchange is received by the Company after December 7, 2018, then the Company’s proxy for the 2019 Annual Meeting of Stockholders may confer discretionary authority to vote on such matter without any discussion of such matter in the proxy statement for such annual meeting of stockholders.</w:t>
      </w:r>
    </w:p>
    <w:p>
      <w:pPr>
        <w:spacing w:after="0" w:line="37" w:lineRule="exact"/>
        <w:rPr>
          <w:sz w:val="20"/>
          <w:szCs w:val="20"/>
          <w:color w:val="auto"/>
        </w:rPr>
      </w:pPr>
    </w:p>
    <w:p>
      <w:pPr>
        <w:ind w:left="200" w:right="320" w:firstLine="441"/>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2019 Annual Meeting that is not included in the proxy statement if proper written notice is received by our Corporate Vice President, General Counsel, Administration and Secretary at our principal executive offices between January 17, 2019 and the close of business on February 16, 2019. The proposal must contain the specific information required by our Bylaws. You may obtain a copy of the Bylaws by writing to our Corporate Vice President, General Counsel, Administration and Secretary.</w:t>
      </w:r>
    </w:p>
    <w:p>
      <w:pPr>
        <w:spacing w:after="0" w:line="1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jc w:val="both"/>
        <w:ind w:left="200" w:right="100" w:firstLine="441"/>
        <w:spacing w:after="0" w:line="256" w:lineRule="auto"/>
        <w:rPr>
          <w:sz w:val="20"/>
          <w:szCs w:val="20"/>
          <w:color w:val="auto"/>
        </w:rPr>
      </w:pPr>
      <w:r>
        <w:rPr>
          <w:rFonts w:ascii="Arial" w:cs="Arial" w:eastAsia="Arial" w:hAnsi="Arial"/>
          <w:sz w:val="18"/>
          <w:szCs w:val="18"/>
          <w:color w:val="auto"/>
        </w:rPr>
        <w:t>A copy of the Company’s 2017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2017 as filed with the Securities and Exchange Commission on February 28, 2018.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20"/>
        <w:spacing w:after="0"/>
        <w:tabs>
          <w:tab w:leader="none" w:pos="7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27959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9"/>
              </w:rPr>
              <w:t>APPENDIX A</w:t>
            </w:r>
          </w:p>
        </w:tc>
      </w:tr>
      <w:tr>
        <w:trPr>
          <w:trHeight w:val="378"/>
        </w:trPr>
        <w:tc>
          <w:tcPr>
            <w:tcW w:w="20" w:type="dxa"/>
            <w:vAlign w:val="bottom"/>
          </w:tcPr>
          <w:p>
            <w:pPr>
              <w:spacing w:after="0"/>
              <w:rPr>
                <w:sz w:val="24"/>
                <w:szCs w:val="24"/>
                <w:color w:val="auto"/>
              </w:rPr>
            </w:pPr>
          </w:p>
        </w:tc>
        <w:tc>
          <w:tcPr>
            <w:tcW w:w="8240" w:type="dxa"/>
            <w:vAlign w:val="bottom"/>
          </w:tcPr>
          <w:p>
            <w:pPr>
              <w:ind w:left="362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Reconciliations of GAAP Net Income to EBITDA and Adjusted EBITDA</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826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Intangible asset amortization expense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(53,358)</w:t>
            </w: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Subtotal of non-GAAP adjustments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113,441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188,005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137,421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Global ERP implementation charges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Structural optimization charges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Certain employee severance charges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product line charges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Acquisition-related charges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Hurricane-related losses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Total of non-GAAP adjustments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157,164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204,781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231,728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269,524</w:t>
            </w:r>
          </w:p>
        </w:tc>
        <w:tc>
          <w:tcPr>
            <w:tcW w:w="1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20" w:right="420" w:hanging="216"/>
        <w:spacing w:after="0" w:line="268"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Fourth quarter 2017 includes a $37.9M benefit relating to $43.4M of deferred tax rate changes for the U.S. Tax Cuts and Jobs Act offset by a $5.5M one-time toll charge imposed on deemed repatriation of foreign untaxed earnings.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4939665</wp:posOffset>
            </wp:positionV>
            <wp:extent cx="746125" cy="11233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46125"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Printed with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Vegetable oils</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1140"/>
          </w:cols>
          <w:pgMar w:left="240" w:top="459" w:right="519" w:bottom="5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line="194" w:lineRule="auto"/>
        <w:rPr>
          <w:sz w:val="20"/>
          <w:szCs w:val="20"/>
          <w:color w:val="auto"/>
        </w:rPr>
      </w:pPr>
      <w:r>
        <w:rPr>
          <w:rFonts w:ascii="Arial" w:cs="Arial" w:eastAsia="Arial" w:hAnsi="Arial"/>
          <w:sz w:val="9"/>
          <w:szCs w:val="9"/>
          <w:color w:val="FFFFFF"/>
        </w:rPr>
        <w:t xml:space="preserve">14475PROXY CARDINTEGRA LIFESCIENCES HOLDINGS CORPORATION311 ENTERPRISE DRIVEPLAINSBORO, NEW JERSEY 08536PROXY - Annual Meeting of Stockholders - Thursday, May 17, 2018THIS PROXY IS SOLICITED ON BEHALF OF THE BOARD OF DIRECTORSThe undersigned hereby appoints Peter J. Arduini and Glenn G. Coleman as proxies, each with thepower to appoint his substitute, and hereby authorizes </w:t>
      </w:r>
      <w:r>
        <w:rPr>
          <w:rFonts w:ascii="Arial" w:cs="Arial" w:eastAsia="Arial" w:hAnsi="Arial"/>
          <w:sz w:val="15"/>
          <w:szCs w:val="15"/>
          <w:color w:val="FFFFFF"/>
          <w:vertAlign w:val="subscript"/>
        </w:rPr>
        <w:t>the</w:t>
      </w:r>
      <w:r>
        <w:rPr>
          <w:rFonts w:ascii="Arial" w:cs="Arial" w:eastAsia="Arial" w:hAnsi="Arial"/>
          <w:sz w:val="9"/>
          <w:szCs w:val="9"/>
          <w:color w:val="FFFFFF"/>
        </w:rPr>
        <w:t xml:space="preserve">m to represent and to vote, as </w:t>
      </w:r>
      <w:r>
        <w:rPr>
          <w:rFonts w:ascii="Arial" w:cs="Arial" w:eastAsia="Arial" w:hAnsi="Arial"/>
          <w:sz w:val="15"/>
          <w:szCs w:val="15"/>
          <w:color w:val="FFFFFF"/>
          <w:vertAlign w:val="subscript"/>
        </w:rPr>
        <w:t>designatedon</w:t>
      </w:r>
      <w:r>
        <w:rPr>
          <w:rFonts w:ascii="Arial" w:cs="Arial" w:eastAsia="Arial" w:hAnsi="Arial"/>
          <w:sz w:val="9"/>
          <w:szCs w:val="9"/>
          <w:color w:val="FFFFFF"/>
        </w:rPr>
        <w:t xml:space="preserve"> the reverse side hereof, all the shares of Common Stock of Integra LifeSciences HoldingsCorporation (the “Company”) held of record by undersigned on March 30, 2018 the AnnualMeeting of Stockholders to be held on Thursday, May 17, 2018 or at any adjournment or postponementthereof.THIS PROXY WHEN PROPERLY EXECUTED WILL BE VOTED IN THE </w:t>
      </w:r>
      <w:r>
        <w:rPr>
          <w:rFonts w:ascii="Arial" w:cs="Arial" w:eastAsia="Arial" w:hAnsi="Arial"/>
          <w:sz w:val="15"/>
          <w:szCs w:val="15"/>
          <w:color w:val="FFFFFF"/>
          <w:vertAlign w:val="superscript"/>
        </w:rPr>
        <w:t>MANNER</w:t>
      </w:r>
      <w:r>
        <w:rPr>
          <w:rFonts w:ascii="Arial" w:cs="Arial" w:eastAsia="Arial" w:hAnsi="Arial"/>
          <w:sz w:val="9"/>
          <w:szCs w:val="9"/>
          <w:color w:val="FFFFFF"/>
        </w:rPr>
        <w:t xml:space="preserve"> DIRECTED HEREIN BY THEUNDERSIGNED STOCKHOLDER. IF NO DIRECTION IS MADE ON THIS PROXY WHEN PROPERLY EXECUTED, THISPROXY WILL BE VOTED IN F VOR OF PROPOSALS 2 AND 3; FOR ALL NOMINEES LISTED FOR ELECTION OFDIRECTORS UNDER PROPOSAL 1; AND IN ACCORDANCE WITH THE PROXIES’ JUDGMENT UPON OTHERMATTERS PROPERLY COMING BEFORE THE MEETING AND ANY ADJOURNMENT OR POSTPONEMENT THEREOF.(Continued and to be signed on the reverse side.)1.1</w:t>
      </w:r>
    </w:p>
    <w:p>
      <w:pPr>
        <w:sectPr>
          <w:pgSz w:w="11900" w:h="16838" w:orient="portrait"/>
          <w:cols w:equalWidth="0" w:num="1">
            <w:col w:w="11140"/>
          </w:cols>
          <w:pgMar w:left="240" w:top="459" w:right="519" w:bottom="593" w:gutter="0" w:footer="0" w:header="0"/>
          <w:type w:val="continuous"/>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7031990" cy="90989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1200"/>
          </w:cols>
          <w:pgMar w:left="240" w:top="459" w:right="45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0" w:type="dxa"/>
            <w:vAlign w:val="bottom"/>
            <w:gridSpan w:val="5"/>
          </w:tcPr>
          <w:p>
            <w:pPr>
              <w:spacing w:after="0"/>
              <w:rPr>
                <w:sz w:val="20"/>
                <w:szCs w:val="20"/>
                <w:color w:val="auto"/>
              </w:rPr>
            </w:pPr>
            <w:r>
              <w:rPr>
                <w:rFonts w:ascii="Arial" w:cs="Arial" w:eastAsia="Arial" w:hAnsi="Arial"/>
                <w:sz w:val="14"/>
                <w:szCs w:val="14"/>
                <w:color w:val="FFFFFF"/>
                <w:w w:val="95"/>
              </w:rPr>
              <w:t>ANNUAL MEETING OF STOCKHOLDERS OFINTEGRA LIFESCIENCES HOLDINGS CORPORATIONMay 17, 2018NOTICE OF INTERNET AVAILABILITY OF PROXY MATERIAL:The</w:t>
            </w:r>
          </w:p>
        </w:tc>
        <w:tc>
          <w:tcPr>
            <w:tcW w:w="0" w:type="dxa"/>
            <w:vAlign w:val="bottom"/>
          </w:tcPr>
          <w:p>
            <w:pPr>
              <w:spacing w:after="0"/>
              <w:rPr>
                <w:sz w:val="1"/>
                <w:szCs w:val="1"/>
                <w:color w:val="auto"/>
              </w:rPr>
            </w:pPr>
          </w:p>
        </w:tc>
      </w:tr>
      <w:tr>
        <w:trPr>
          <w:trHeight w:val="41"/>
        </w:trPr>
        <w:tc>
          <w:tcPr>
            <w:tcW w:w="3480" w:type="dxa"/>
            <w:vAlign w:val="bottom"/>
          </w:tcPr>
          <w:p>
            <w:pPr>
              <w:spacing w:after="0"/>
              <w:rPr>
                <w:sz w:val="20"/>
                <w:szCs w:val="20"/>
                <w:color w:val="auto"/>
              </w:rPr>
            </w:pPr>
            <w:r>
              <w:rPr>
                <w:rFonts w:ascii="Arial" w:cs="Arial" w:eastAsia="Arial" w:hAnsi="Arial"/>
                <w:sz w:val="3"/>
                <w:szCs w:val="3"/>
                <w:color w:val="FFFFFF"/>
              </w:rPr>
              <w:t>Notice of Meeting, proxy statement and proxy cardare available</w:t>
            </w:r>
          </w:p>
        </w:tc>
        <w:tc>
          <w:tcPr>
            <w:tcW w:w="3500" w:type="dxa"/>
            <w:vAlign w:val="bottom"/>
          </w:tcPr>
          <w:p>
            <w:pPr>
              <w:ind w:left="140"/>
              <w:spacing w:after="0"/>
              <w:rPr>
                <w:sz w:val="20"/>
                <w:szCs w:val="20"/>
                <w:color w:val="auto"/>
              </w:rPr>
            </w:pPr>
            <w:r>
              <w:rPr>
                <w:rFonts w:ascii="Arial" w:cs="Arial" w:eastAsia="Arial" w:hAnsi="Arial"/>
                <w:sz w:val="3"/>
                <w:szCs w:val="3"/>
                <w:color w:val="FFFFFF"/>
              </w:rPr>
              <w:t>http://investor.integralife.com/financials.cfmYour vote is very</w:t>
            </w:r>
          </w:p>
        </w:tc>
        <w:tc>
          <w:tcPr>
            <w:tcW w:w="3300" w:type="dxa"/>
            <w:vAlign w:val="bottom"/>
          </w:tcPr>
          <w:p>
            <w:pPr>
              <w:ind w:left="580"/>
              <w:spacing w:after="0"/>
              <w:rPr>
                <w:sz w:val="20"/>
                <w:szCs w:val="20"/>
                <w:color w:val="auto"/>
              </w:rPr>
            </w:pPr>
            <w:r>
              <w:rPr>
                <w:rFonts w:ascii="Arial" w:cs="Arial" w:eastAsia="Arial" w:hAnsi="Arial"/>
                <w:sz w:val="3"/>
                <w:szCs w:val="3"/>
                <w:color w:val="FFFFFF"/>
              </w:rPr>
              <w:t>to us.Please sign, date and mailyour proxy card</w:t>
            </w:r>
          </w:p>
        </w:tc>
        <w:tc>
          <w:tcPr>
            <w:tcW w:w="720" w:type="dxa"/>
            <w:vAlign w:val="bottom"/>
            <w:gridSpan w:val="2"/>
          </w:tcPr>
          <w:p>
            <w:pPr>
              <w:jc w:val="right"/>
              <w:ind w:right="43"/>
              <w:spacing w:after="0"/>
              <w:rPr>
                <w:sz w:val="20"/>
                <w:szCs w:val="20"/>
                <w:color w:val="auto"/>
              </w:rPr>
            </w:pPr>
            <w:r>
              <w:rPr>
                <w:rFonts w:ascii="Arial" w:cs="Arial" w:eastAsia="Arial" w:hAnsi="Arial"/>
                <w:sz w:val="3"/>
                <w:szCs w:val="3"/>
                <w:color w:val="FFFFFF"/>
              </w:rPr>
              <w:t>theenvelope</w:t>
            </w:r>
          </w:p>
        </w:tc>
        <w:tc>
          <w:tcPr>
            <w:tcW w:w="0" w:type="dxa"/>
            <w:vAlign w:val="bottom"/>
          </w:tcPr>
          <w:p>
            <w:pPr>
              <w:spacing w:after="0"/>
              <w:rPr>
                <w:sz w:val="1"/>
                <w:szCs w:val="1"/>
                <w:color w:val="auto"/>
              </w:rPr>
            </w:pPr>
          </w:p>
        </w:tc>
      </w:tr>
      <w:tr>
        <w:trPr>
          <w:trHeight w:val="41"/>
        </w:trPr>
        <w:tc>
          <w:tcPr>
            <w:tcW w:w="6980" w:type="dxa"/>
            <w:vAlign w:val="bottom"/>
            <w:gridSpan w:val="2"/>
          </w:tcPr>
          <w:p>
            <w:pPr>
              <w:spacing w:after="0"/>
              <w:rPr>
                <w:sz w:val="20"/>
                <w:szCs w:val="20"/>
                <w:color w:val="auto"/>
              </w:rPr>
            </w:pPr>
            <w:r>
              <w:rPr>
                <w:rFonts w:ascii="Arial" w:cs="Arial" w:eastAsia="Arial" w:hAnsi="Arial"/>
                <w:sz w:val="3"/>
                <w:szCs w:val="3"/>
                <w:color w:val="FFFFFF"/>
              </w:rPr>
              <w:t>provided as soonas possible.Signature of Stockholder Date: Signature of Stockholder Date:Note: Please sign exactly as your</w:t>
            </w:r>
          </w:p>
        </w:tc>
        <w:tc>
          <w:tcPr>
            <w:tcW w:w="4020" w:type="dxa"/>
            <w:vAlign w:val="bottom"/>
            <w:gridSpan w:val="3"/>
          </w:tcPr>
          <w:p>
            <w:pPr>
              <w:jc w:val="right"/>
              <w:spacing w:after="0"/>
              <w:rPr>
                <w:sz w:val="20"/>
                <w:szCs w:val="20"/>
                <w:color w:val="auto"/>
              </w:rPr>
            </w:pPr>
            <w:r>
              <w:rPr>
                <w:rFonts w:ascii="Arial" w:cs="Arial" w:eastAsia="Arial" w:hAnsi="Arial"/>
                <w:sz w:val="3"/>
                <w:szCs w:val="3"/>
                <w:color w:val="FFFFFF"/>
              </w:rPr>
              <w:t>importantnames appear on this Proxy. When shares are held jointly, each holder</w:t>
            </w:r>
          </w:p>
        </w:tc>
        <w:tc>
          <w:tcPr>
            <w:tcW w:w="0" w:type="dxa"/>
            <w:vAlign w:val="bottom"/>
          </w:tcPr>
          <w:p>
            <w:pPr>
              <w:spacing w:after="0"/>
              <w:rPr>
                <w:sz w:val="1"/>
                <w:szCs w:val="1"/>
                <w:color w:val="auto"/>
              </w:rPr>
            </w:pP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should sign. When signing as executor administrator, attorney, trustee or guardian, please give fulltitle as such. If the signer isnamecorporation, please sign full corporate name by duly authorized officer,</w:t>
            </w:r>
          </w:p>
        </w:tc>
        <w:tc>
          <w:tcPr>
            <w:tcW w:w="0" w:type="dxa"/>
            <w:vAlign w:val="bottom"/>
          </w:tcPr>
          <w:p>
            <w:pPr>
              <w:spacing w:after="0"/>
              <w:rPr>
                <w:sz w:val="1"/>
                <w:szCs w:val="1"/>
                <w:color w:val="auto"/>
              </w:rPr>
            </w:pPr>
          </w:p>
        </w:tc>
      </w:tr>
      <w:tr>
        <w:trPr>
          <w:trHeight w:val="41"/>
        </w:trPr>
        <w:tc>
          <w:tcPr>
            <w:tcW w:w="11000" w:type="dxa"/>
            <w:vAlign w:val="bottom"/>
            <w:gridSpan w:val="5"/>
          </w:tcPr>
          <w:p>
            <w:pPr>
              <w:jc w:val="right"/>
              <w:ind w:right="43"/>
              <w:spacing w:after="0"/>
              <w:rPr>
                <w:sz w:val="20"/>
                <w:szCs w:val="20"/>
                <w:color w:val="auto"/>
              </w:rPr>
            </w:pPr>
            <w:r>
              <w:rPr>
                <w:rFonts w:ascii="Arial" w:cs="Arial" w:eastAsia="Arial" w:hAnsi="Arial"/>
                <w:sz w:val="3"/>
                <w:szCs w:val="3"/>
                <w:color w:val="FFFFFF"/>
              </w:rPr>
              <w:t>full title as such. If signer is a partnership, please sign in partnership name by authorized person.To change the address on your account, please check the box at right andindicate your new address</w:t>
            </w:r>
          </w:p>
        </w:tc>
        <w:tc>
          <w:tcPr>
            <w:tcW w:w="0" w:type="dxa"/>
            <w:vAlign w:val="bottom"/>
          </w:tcPr>
          <w:p>
            <w:pPr>
              <w:spacing w:after="0"/>
              <w:rPr>
                <w:sz w:val="1"/>
                <w:szCs w:val="1"/>
                <w:color w:val="auto"/>
              </w:rPr>
            </w:pP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givingtheaddress space above. Please note thatchanges to the registered name(s) on the account may not be submitted viathis method.1. The Election of Directors:Peter J. ArduiniKeith BradleyStuart M.</w:t>
            </w:r>
          </w:p>
        </w:tc>
        <w:tc>
          <w:tcPr>
            <w:tcW w:w="0" w:type="dxa"/>
            <w:vAlign w:val="bottom"/>
          </w:tcPr>
          <w:p>
            <w:pPr>
              <w:spacing w:after="0"/>
              <w:rPr>
                <w:sz w:val="1"/>
                <w:szCs w:val="1"/>
                <w:color w:val="auto"/>
              </w:rPr>
            </w:pP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EssigBarbara B. HillLloyd W. Howell, Jr.Donald E. Morel, Jr.Raymond G. MurphyChristian S. SchadeJames M. Sullivan2. The Proposal to ratify the appointment   PricewaterhouseCoopers LLP as</w:t>
            </w:r>
          </w:p>
        </w:tc>
        <w:tc>
          <w:tcPr>
            <w:tcW w:w="0" w:type="dxa"/>
            <w:vAlign w:val="bottom"/>
          </w:tcPr>
          <w:p>
            <w:pPr>
              <w:spacing w:after="0"/>
              <w:rPr>
                <w:sz w:val="1"/>
                <w:szCs w:val="1"/>
                <w:color w:val="auto"/>
              </w:rPr>
            </w:pPr>
          </w:p>
        </w:tc>
      </w:tr>
      <w:tr>
        <w:trPr>
          <w:trHeight w:val="41"/>
        </w:trPr>
        <w:tc>
          <w:tcPr>
            <w:tcW w:w="10380" w:type="dxa"/>
            <w:vAlign w:val="bottom"/>
            <w:gridSpan w:val="4"/>
          </w:tcPr>
          <w:p>
            <w:pPr>
              <w:spacing w:after="0"/>
              <w:rPr>
                <w:sz w:val="20"/>
                <w:szCs w:val="20"/>
                <w:color w:val="auto"/>
              </w:rPr>
            </w:pPr>
            <w:r>
              <w:rPr>
                <w:rFonts w:ascii="Arial" w:cs="Arial" w:eastAsia="Arial" w:hAnsi="Arial"/>
                <w:sz w:val="3"/>
                <w:szCs w:val="3"/>
                <w:color w:val="FFFFFF"/>
              </w:rPr>
              <w:t>theCompany’s independent registered public accounting firm for the fiscal year 2018;3. A non-binding resolution to approve the compensation of our named executiveofficers.FOR AGAINST</w:t>
            </w: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tcPr>
          <w:p>
            <w:pPr>
              <w:spacing w:after="0"/>
              <w:rPr>
                <w:sz w:val="20"/>
                <w:szCs w:val="20"/>
                <w:color w:val="auto"/>
              </w:rPr>
            </w:pPr>
            <w:r>
              <w:rPr>
                <w:rFonts w:ascii="Arial" w:cs="Arial" w:eastAsia="Arial" w:hAnsi="Arial"/>
                <w:sz w:val="3"/>
                <w:szCs w:val="3"/>
                <w:color w:val="FFFFFF"/>
              </w:rPr>
              <w:t>ABSTAINTHE BOARD OF DIRECTORS RECOMMENDS</w:t>
            </w:r>
          </w:p>
        </w:tc>
        <w:tc>
          <w:tcPr>
            <w:tcW w:w="6900" w:type="dxa"/>
            <w:vAlign w:val="bottom"/>
            <w:gridSpan w:val="3"/>
          </w:tcPr>
          <w:p>
            <w:pPr>
              <w:spacing w:after="0"/>
              <w:rPr>
                <w:sz w:val="20"/>
                <w:szCs w:val="20"/>
                <w:color w:val="auto"/>
              </w:rPr>
            </w:pPr>
            <w:r>
              <w:rPr>
                <w:rFonts w:ascii="Arial" w:cs="Arial" w:eastAsia="Arial" w:hAnsi="Arial"/>
                <w:sz w:val="3"/>
                <w:szCs w:val="3"/>
                <w:color w:val="FFFFFF"/>
              </w:rPr>
              <w:t>VOTE “FOR” ALL THE NOMINEES LISTED AND “FOR” PROPOSALS 2 AND 3.PLEASE SIGN, DATE AND RETURN</w:t>
            </w:r>
          </w:p>
        </w:tc>
        <w:tc>
          <w:tcPr>
            <w:tcW w:w="620" w:type="dxa"/>
            <w:vAlign w:val="bottom"/>
            <w:vMerge w:val="restart"/>
          </w:tcPr>
          <w:p>
            <w:pPr>
              <w:jc w:val="right"/>
              <w:spacing w:after="0"/>
              <w:rPr>
                <w:sz w:val="20"/>
                <w:szCs w:val="20"/>
                <w:color w:val="auto"/>
              </w:rPr>
            </w:pPr>
            <w:r>
              <w:rPr>
                <w:rFonts w:ascii="Arial" w:cs="Arial" w:eastAsia="Arial" w:hAnsi="Arial"/>
                <w:sz w:val="3"/>
                <w:szCs w:val="3"/>
                <w:color w:val="FFFFFF"/>
              </w:rPr>
              <w:t>l o p e p r o</w:t>
            </w:r>
          </w:p>
        </w:tc>
        <w:tc>
          <w:tcPr>
            <w:tcW w:w="0" w:type="dxa"/>
            <w:vAlign w:val="bottom"/>
          </w:tcPr>
          <w:p>
            <w:pPr>
              <w:spacing w:after="0"/>
              <w:rPr>
                <w:sz w:val="1"/>
                <w:szCs w:val="1"/>
                <w:color w:val="auto"/>
              </w:rPr>
            </w:pPr>
          </w:p>
        </w:tc>
      </w:tr>
      <w:tr>
        <w:trPr>
          <w:trHeight w:val="0"/>
        </w:trPr>
        <w:tc>
          <w:tcPr>
            <w:tcW w:w="10280" w:type="dxa"/>
            <w:vAlign w:val="bottom"/>
            <w:gridSpan w:val="3"/>
          </w:tcPr>
          <w:p>
            <w:pPr>
              <w:spacing w:after="0" w:line="80" w:lineRule="exact"/>
              <w:rPr>
                <w:sz w:val="20"/>
                <w:szCs w:val="20"/>
                <w:color w:val="auto"/>
              </w:rPr>
            </w:pPr>
            <w:r>
              <w:rPr>
                <w:rFonts w:ascii="Arial" w:cs="Arial" w:eastAsia="Arial" w:hAnsi="Arial"/>
                <w:sz w:val="9"/>
                <w:szCs w:val="9"/>
                <w:color w:val="FFFFFF"/>
              </w:rPr>
              <w:t>PROMPTLY IN THE ENCLOSED ENVELOPE. PLEASE MARK YOUR VOTE IN BLUE OR BLACK INK AS SHOWN HERE xPlease detach along perforated line and mail in the e n v</w:t>
            </w:r>
          </w:p>
        </w:tc>
        <w:tc>
          <w:tcPr>
            <w:tcW w:w="1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right="460" w:hanging="491"/>
        <w:spacing w:after="0"/>
        <w:rPr>
          <w:sz w:val="20"/>
          <w:szCs w:val="20"/>
          <w:color w:val="auto"/>
        </w:rPr>
      </w:pPr>
      <w:r>
        <w:rPr>
          <w:rFonts w:ascii="Arial" w:cs="Arial" w:eastAsia="Arial" w:hAnsi="Arial"/>
          <w:sz w:val="12"/>
          <w:szCs w:val="12"/>
          <w:color w:val="FFFFFF"/>
          <w:vertAlign w:val="subscript"/>
        </w:rPr>
        <w:t>business</w:t>
      </w:r>
      <w:r>
        <w:rPr>
          <w:rFonts w:ascii="Arial" w:cs="Arial" w:eastAsia="Arial" w:hAnsi="Arial"/>
          <w:sz w:val="8"/>
          <w:szCs w:val="8"/>
          <w:color w:val="FFFFFF"/>
        </w:rPr>
        <w:t>vded . 00033333333333000000 9 051718In their discretion, the Proxies are authorized, to the extent permitted by the rules of the Securitiesand Exchange Commission, to vote upon such other as may properly come before themeeting or any adjournment or postponement thereof.</w:t>
      </w:r>
    </w:p>
    <w:sectPr>
      <w:pgSz w:w="11900" w:h="16838" w:orient="portrait"/>
      <w:cols w:equalWidth="0" w:num="1">
        <w:col w:w="11200"/>
      </w:cols>
      <w:pgMar w:left="240" w:top="459" w:right="45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2)"/>
      <w:numFmt w:val="decimal"/>
      <w:start w:val="1"/>
    </w:lvl>
  </w:abstractNum>
  <w:abstractNum w:abstractNumId="5">
    <w:nsid w:val="7A6D8D3C"/>
    <w:multiLevelType w:val="hybridMultilevel"/>
    <w:lvl w:ilvl="0">
      <w:lvlJc w:val="left"/>
      <w:lvlText w:val="(%1)"/>
      <w:numFmt w:val="decimal"/>
      <w:start w:val="3"/>
    </w:lvl>
  </w:abstractNum>
  <w:abstractNum w:abstractNumId="6">
    <w:nsid w:val="4B588F54"/>
    <w:multiLevelType w:val="hybridMultilevel"/>
    <w:lvl w:ilvl="0">
      <w:lvlJc w:val="left"/>
      <w:lvlText w:val="(%1)"/>
      <w:numFmt w:val="lowerRoman"/>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3"/>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5"/>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decimal"/>
      <w:start w:val="2"/>
    </w:lvl>
  </w:abstractNum>
  <w:abstractNum w:abstractNumId="69">
    <w:nsid w:val="42963E5A"/>
    <w:multiLevelType w:val="hybridMultilevel"/>
    <w:lvl w:ilvl="0">
      <w:lvlJc w:val="left"/>
      <w:lvlText w:val="%1"/>
      <w:numFmt w:val="decimal"/>
      <w:start w:val="1"/>
    </w:lvl>
    <w:lvl w:ilvl="1">
      <w:lvlJc w:val="left"/>
      <w:lvlText w:val="(%2)"/>
      <w:numFmt w:val="lowerLetter"/>
      <w:start w:val="1"/>
    </w:lvl>
  </w:abstractNum>
  <w:abstractNum w:abstractNumId="70">
    <w:nsid w:val="A0382C5"/>
    <w:multiLevelType w:val="hybridMultilevel"/>
    <w:lvl w:ilvl="0">
      <w:lvlJc w:val="left"/>
      <w:lvlText w:val="(%1)"/>
      <w:numFmt w:val="decimal"/>
      <w:start w:val="3"/>
    </w:lvl>
    <w:lvl w:ilvl="1">
      <w:lvlJc w:val="left"/>
      <w:lvlText w:val="%2"/>
      <w:numFmt w:val="lowerLetter"/>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3"/>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3"/>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2"/>
    </w:lvl>
  </w:abstractNum>
  <w:abstractNum w:abstractNumId="83">
    <w:nsid w:val="7FB7E0AA"/>
    <w:multiLevelType w:val="hybridMultilevel"/>
    <w:lvl w:ilvl="0">
      <w:lvlJc w:val="left"/>
      <w:lvlText w:val="(%1)"/>
      <w:numFmt w:val="decimal"/>
      <w:start w:val="10"/>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2019-12-06T02:19:41Z</dcterms:created>
  <dcterms:modified xsi:type="dcterms:W3CDTF">2019-12-06T02:19:41Z</dcterms:modified>
</cp:coreProperties>
</file>