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0-26224</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6"/>
              </w:rPr>
              <w:t>DELAWARE</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51-0317849</w:t>
            </w:r>
          </w:p>
        </w:tc>
      </w:tr>
      <w:tr>
        <w:trPr>
          <w:trHeight w:val="216"/>
        </w:trPr>
        <w:tc>
          <w:tcPr>
            <w:tcW w:w="4400" w:type="dxa"/>
            <w:vAlign w:val="bottom"/>
          </w:tcPr>
          <w:p>
            <w:pPr>
              <w:jc w:val="center"/>
              <w:ind w:right="1130"/>
              <w:spacing w:after="0"/>
              <w:rPr>
                <w:sz w:val="20"/>
                <w:szCs w:val="20"/>
                <w:color w:val="auto"/>
              </w:rPr>
            </w:pPr>
            <w:r>
              <w:rPr>
                <w:rFonts w:ascii="Arial" w:cs="Arial" w:eastAsia="Arial" w:hAnsi="Arial"/>
                <w:sz w:val="18"/>
                <w:szCs w:val="18"/>
                <w:color w:val="auto"/>
                <w:w w:val="94"/>
              </w:rPr>
              <w:t>(STATE OR OTHER JURISDICTION OF</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(I.R.S. EMPLOYER</w:t>
            </w:r>
          </w:p>
        </w:tc>
      </w:tr>
      <w:tr>
        <w:trPr>
          <w:trHeight w:val="230"/>
        </w:trPr>
        <w:tc>
          <w:tcPr>
            <w:tcW w:w="4400" w:type="dxa"/>
            <w:vAlign w:val="bottom"/>
          </w:tcPr>
          <w:p>
            <w:pPr>
              <w:jc w:val="center"/>
              <w:ind w:right="1110"/>
              <w:spacing w:after="0"/>
              <w:rPr>
                <w:sz w:val="20"/>
                <w:szCs w:val="20"/>
                <w:color w:val="auto"/>
              </w:rPr>
            </w:pPr>
            <w:r>
              <w:rPr>
                <w:rFonts w:ascii="Arial" w:cs="Arial" w:eastAsia="Arial" w:hAnsi="Arial"/>
                <w:sz w:val="18"/>
                <w:szCs w:val="18"/>
                <w:color w:val="auto"/>
                <w:w w:val="96"/>
              </w:rPr>
              <w:t>INCORPORATION OR ORGANIZATION)</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400" w:type="dxa"/>
            <w:vAlign w:val="bottom"/>
          </w:tcPr>
          <w:p>
            <w:pPr>
              <w:jc w:val="center"/>
              <w:ind w:right="1130"/>
              <w:spacing w:after="0"/>
              <w:rPr>
                <w:sz w:val="20"/>
                <w:szCs w:val="20"/>
                <w:color w:val="auto"/>
              </w:rPr>
            </w:pPr>
            <w:r>
              <w:rPr>
                <w:rFonts w:ascii="Arial" w:cs="Arial" w:eastAsia="Arial" w:hAnsi="Arial"/>
                <w:sz w:val="18"/>
                <w:szCs w:val="18"/>
                <w:color w:val="auto"/>
                <w:w w:val="94"/>
              </w:rPr>
              <w:t>311 ENTERPRISE DRIVE</w:t>
            </w:r>
          </w:p>
        </w:tc>
        <w:tc>
          <w:tcPr>
            <w:tcW w:w="3020" w:type="dxa"/>
            <w:vAlign w:val="bottom"/>
          </w:tcPr>
          <w:p>
            <w:pPr>
              <w:spacing w:after="0"/>
              <w:rPr>
                <w:sz w:val="24"/>
                <w:szCs w:val="24"/>
                <w:color w:val="auto"/>
              </w:rPr>
            </w:pP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PLAINSBORO, NEW JERSEY</w:t>
            </w:r>
          </w:p>
        </w:tc>
        <w:tc>
          <w:tcPr>
            <w:tcW w:w="3020" w:type="dxa"/>
            <w:vAlign w:val="bottom"/>
          </w:tcPr>
          <w:p>
            <w:pPr>
              <w:spacing w:after="0"/>
              <w:rPr>
                <w:sz w:val="18"/>
                <w:szCs w:val="18"/>
                <w:color w:val="auto"/>
              </w:rPr>
            </w:pPr>
          </w:p>
        </w:tc>
      </w:tr>
      <w:tr>
        <w:trPr>
          <w:trHeight w:val="216"/>
        </w:trPr>
        <w:tc>
          <w:tcPr>
            <w:tcW w:w="4400" w:type="dxa"/>
            <w:vAlign w:val="bottom"/>
          </w:tcPr>
          <w:p>
            <w:pPr>
              <w:jc w:val="center"/>
              <w:ind w:right="1150"/>
              <w:spacing w:after="0"/>
              <w:rPr>
                <w:sz w:val="20"/>
                <w:szCs w:val="20"/>
                <w:color w:val="auto"/>
              </w:rPr>
            </w:pPr>
            <w:r>
              <w:rPr>
                <w:rFonts w:ascii="Arial" w:cs="Arial" w:eastAsia="Arial" w:hAnsi="Arial"/>
                <w:sz w:val="18"/>
                <w:szCs w:val="18"/>
                <w:color w:val="auto"/>
                <w:w w:val="95"/>
              </w:rPr>
              <w:t>(ADDRESS OF PRINCIPAL</w:t>
            </w:r>
          </w:p>
        </w:tc>
        <w:tc>
          <w:tcPr>
            <w:tcW w:w="3020" w:type="dxa"/>
            <w:vAlign w:val="bottom"/>
          </w:tcPr>
          <w:p>
            <w:pPr>
              <w:jc w:val="right"/>
              <w:ind w:right="610"/>
              <w:spacing w:after="0"/>
              <w:rPr>
                <w:sz w:val="20"/>
                <w:szCs w:val="20"/>
                <w:color w:val="auto"/>
              </w:rPr>
            </w:pPr>
            <w:r>
              <w:rPr>
                <w:rFonts w:ascii="Arial" w:cs="Arial" w:eastAsia="Arial" w:hAnsi="Arial"/>
                <w:sz w:val="18"/>
                <w:szCs w:val="18"/>
                <w:color w:val="auto"/>
              </w:rPr>
              <w:t>08536</w:t>
            </w:r>
          </w:p>
        </w:tc>
      </w:tr>
      <w:tr>
        <w:trPr>
          <w:trHeight w:val="230"/>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5"/>
              </w:rPr>
              <w:t>EXECUTIVE OFFICES)</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49" w:lineRule="exact"/>
        <w:rPr>
          <w:sz w:val="20"/>
          <w:szCs w:val="20"/>
          <w:color w:val="auto"/>
        </w:rPr>
      </w:pPr>
    </w:p>
    <w:p>
      <w:pPr>
        <w:jc w:val="cente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160" w:space="320"/>
            <w:col w:w="1340" w:space="260"/>
            <w:col w:w="3340" w:space="140"/>
            <w:col w:w="2659"/>
          </w:cols>
          <w:pgMar w:left="240" w:top="122" w:right="1440" w:bottom="1440" w:gutter="0" w:footer="0" w:header="0"/>
          <w:type w:val="continuous"/>
        </w:sectPr>
      </w:pPr>
    </w:p>
    <w:p>
      <w:pPr>
        <w:ind w:left="340" w:right="799"/>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April 28, 2010 was 29,002,636.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803910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gridSpan w:val="10"/>
          </w:tcPr>
          <w:p>
            <w:pPr>
              <w:jc w:val="center"/>
              <w:ind w:right="1280"/>
              <w:spacing w:after="0"/>
              <w:rPr>
                <w:sz w:val="20"/>
                <w:szCs w:val="20"/>
                <w:color w:val="auto"/>
              </w:rPr>
            </w:pPr>
            <w:r>
              <w:rPr>
                <w:rFonts w:ascii="Arial" w:cs="Arial" w:eastAsia="Arial" w:hAnsi="Arial"/>
                <w:sz w:val="18"/>
                <w:szCs w:val="18"/>
                <w:b w:val="1"/>
                <w:bCs w:val="1"/>
                <w:color w:val="auto"/>
              </w:rPr>
              <w:t>INTEGRA LIFESCIENCES HOLDINGS CORPORATION</w:t>
            </w: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gridSpan w:val="8"/>
          </w:tcPr>
          <w:p>
            <w:pPr>
              <w:jc w:val="center"/>
              <w:ind w:right="186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840" w:type="dxa"/>
            <w:vAlign w:val="bottom"/>
            <w:gridSpan w:val="11"/>
            <w:vMerge w:val="restart"/>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PART I. FINANCIAL INFORMATION</w:t>
              </w:r>
            </w:hyperlink>
          </w:p>
        </w:tc>
        <w:tc>
          <w:tcPr>
            <w:tcW w:w="5400" w:type="dxa"/>
            <w:vAlign w:val="bottom"/>
            <w:gridSpan w:val="8"/>
            <w:vMerge w:val="restart"/>
          </w:tcPr>
          <w:p>
            <w:pPr>
              <w:spacing w:after="0"/>
              <w:rPr>
                <w:sz w:val="24"/>
                <w:szCs w:val="24"/>
                <w:color w:val="auto"/>
              </w:rPr>
            </w:pPr>
          </w:p>
        </w:tc>
        <w:tc>
          <w:tcPr>
            <w:tcW w:w="2800" w:type="dxa"/>
            <w:vAlign w:val="bottom"/>
            <w:gridSpan w:val="2"/>
          </w:tcPr>
          <w:p>
            <w:pPr>
              <w:jc w:val="right"/>
              <w:ind w:right="1820"/>
              <w:spacing w:after="0"/>
              <w:rPr>
                <w:sz w:val="20"/>
                <w:szCs w:val="20"/>
                <w:color w:val="auto"/>
              </w:rPr>
            </w:pPr>
            <w:r>
              <w:rPr>
                <w:rFonts w:ascii="Arial" w:cs="Arial" w:eastAsia="Arial" w:hAnsi="Arial"/>
                <w:sz w:val="18"/>
                <w:szCs w:val="18"/>
                <w:color w:val="auto"/>
                <w:w w:val="86"/>
              </w:rPr>
              <w:t>Page Number</w:t>
            </w:r>
          </w:p>
        </w:tc>
        <w:tc>
          <w:tcPr>
            <w:tcW w:w="0" w:type="dxa"/>
            <w:vAlign w:val="bottom"/>
          </w:tcPr>
          <w:p>
            <w:pPr>
              <w:spacing w:after="0"/>
              <w:rPr>
                <w:sz w:val="1"/>
                <w:szCs w:val="1"/>
                <w:color w:val="auto"/>
              </w:rPr>
            </w:pPr>
          </w:p>
        </w:tc>
      </w:tr>
      <w:tr>
        <w:trPr>
          <w:trHeight w:val="174"/>
        </w:trPr>
        <w:tc>
          <w:tcPr>
            <w:tcW w:w="380" w:type="dxa"/>
            <w:vAlign w:val="bottom"/>
          </w:tcPr>
          <w:p>
            <w:pPr>
              <w:spacing w:after="0"/>
              <w:rPr>
                <w:sz w:val="14"/>
                <w:szCs w:val="14"/>
                <w:color w:val="auto"/>
              </w:rPr>
            </w:pPr>
          </w:p>
        </w:tc>
        <w:tc>
          <w:tcPr>
            <w:tcW w:w="2840" w:type="dxa"/>
            <w:vAlign w:val="bottom"/>
            <w:tcBorders>
              <w:bottom w:val="single" w:sz="8" w:color="0000EE"/>
            </w:tcBorders>
            <w:gridSpan w:val="11"/>
            <w:vMerge w:val="continue"/>
          </w:tcPr>
          <w:p>
            <w:pPr>
              <w:spacing w:after="0"/>
              <w:rPr>
                <w:sz w:val="14"/>
                <w:szCs w:val="14"/>
                <w:color w:val="auto"/>
              </w:rPr>
            </w:pPr>
          </w:p>
        </w:tc>
        <w:tc>
          <w:tcPr>
            <w:tcW w:w="5400" w:type="dxa"/>
            <w:vAlign w:val="bottom"/>
            <w:gridSpan w:val="8"/>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 Financial Statements</w:t>
              </w:r>
            </w:hyperlink>
          </w:p>
        </w:tc>
        <w:tc>
          <w:tcPr>
            <w:tcW w:w="6220" w:type="dxa"/>
            <w:vAlign w:val="bottom"/>
            <w:gridSpan w:val="11"/>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19"/>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for the three months ended March 31, 2010 and 2009</w:t>
              </w:r>
            </w:hyperlink>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760" w:type="dxa"/>
            <w:vAlign w:val="bottom"/>
            <w:gridSpan w:val="2"/>
          </w:tcPr>
          <w:p>
            <w:pPr>
              <w:spacing w:after="0"/>
              <w:rPr>
                <w:sz w:val="17"/>
                <w:szCs w:val="17"/>
                <w:color w:val="auto"/>
              </w:rPr>
            </w:pPr>
          </w:p>
        </w:tc>
        <w:tc>
          <w:tcPr>
            <w:tcW w:w="280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2010 and December 31, 2009 (Unaudited)</w:t>
              </w:r>
            </w:hyperlink>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19"/>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three months ended March 31, 2010 and 2009</w:t>
              </w:r>
            </w:hyperlink>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00" w:type="dxa"/>
            <w:vAlign w:val="bottom"/>
          </w:tcPr>
          <w:p>
            <w:pPr>
              <w:spacing w:after="0"/>
              <w:rPr>
                <w:sz w:val="17"/>
                <w:szCs w:val="17"/>
                <w:color w:val="auto"/>
              </w:rPr>
            </w:pPr>
          </w:p>
        </w:tc>
        <w:tc>
          <w:tcPr>
            <w:tcW w:w="280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280" w:type="dxa"/>
            <w:vAlign w:val="bottom"/>
            <w:gridSpan w:val="4"/>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2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4. Controls and Procedures</w:t>
              </w:r>
            </w:hyperlink>
          </w:p>
        </w:tc>
        <w:tc>
          <w:tcPr>
            <w:tcW w:w="5960" w:type="dxa"/>
            <w:vAlign w:val="bottom"/>
            <w:gridSpan w:val="10"/>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520" w:type="dxa"/>
            <w:vAlign w:val="bottom"/>
            <w:tcBorders>
              <w:top w:val="single" w:sz="8" w:color="0000EE"/>
            </w:tcBorders>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 Legal Proceedings</w:t>
              </w:r>
            </w:hyperlink>
          </w:p>
        </w:tc>
        <w:tc>
          <w:tcPr>
            <w:tcW w:w="5720" w:type="dxa"/>
            <w:vAlign w:val="bottom"/>
            <w:gridSpan w:val="9"/>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40" w:type="dxa"/>
            <w:vAlign w:val="bottom"/>
            <w:tcBorders>
              <w:top w:val="single" w:sz="8" w:color="0000EE"/>
            </w:tcBorders>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6400" w:type="dxa"/>
            <w:vAlign w:val="bottom"/>
            <w:gridSpan w:val="12"/>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48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Item 2. Unregistered Sales of Equity Securities and Use of Proceeds</w:t>
              </w:r>
            </w:hyperlink>
          </w:p>
        </w:tc>
        <w:tc>
          <w:tcPr>
            <w:tcW w:w="3380" w:type="dxa"/>
            <w:vAlign w:val="bottom"/>
            <w:gridSpan w:val="6"/>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 Exhibits</w:t>
              </w:r>
            </w:hyperlink>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SIGNATURES</w:t>
              </w:r>
            </w:hyperlink>
          </w:p>
        </w:tc>
        <w:tc>
          <w:tcPr>
            <w:tcW w:w="40" w:type="dxa"/>
            <w:vAlign w:val="bottom"/>
            <w:tcBorders>
              <w:top w:val="single" w:sz="8" w:color="0000EE"/>
            </w:tcBorders>
          </w:tcPr>
          <w:p>
            <w:pPr>
              <w:spacing w:after="0"/>
              <w:rPr>
                <w:sz w:val="24"/>
                <w:szCs w:val="24"/>
                <w:color w:val="auto"/>
              </w:rPr>
            </w:pPr>
          </w:p>
        </w:tc>
        <w:tc>
          <w:tcPr>
            <w:tcW w:w="7140" w:type="dxa"/>
            <w:vAlign w:val="bottom"/>
            <w:gridSpan w:val="14"/>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19"/>
          </w:tcPr>
          <w:p>
            <w:pPr>
              <w:spacing w:after="0"/>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24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240" w:type="dxa"/>
            <w:vAlign w:val="bottom"/>
            <w:gridSpan w:val="19"/>
          </w:tcPr>
          <w:p>
            <w:pPr>
              <w:spacing w:after="0" w:line="196" w:lineRule="exact"/>
              <w:rPr>
                <w:sz w:val="20"/>
                <w:szCs w:val="20"/>
                <w:color w:val="auto"/>
              </w:rPr>
            </w:pPr>
            <w:r>
              <w:rPr>
                <w:rFonts w:ascii="Arial" w:cs="Arial" w:eastAsia="Arial" w:hAnsi="Arial"/>
                <w:sz w:val="18"/>
                <w:szCs w:val="18"/>
                <w:color w:val="0000EE"/>
              </w:rPr>
              <w:t>Exhibit 32.1</w:t>
            </w:r>
          </w:p>
        </w:tc>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240" w:type="dxa"/>
            <w:vAlign w:val="bottom"/>
            <w:gridSpan w:val="19"/>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4"/>
        </w:trPr>
        <w:tc>
          <w:tcPr>
            <w:tcW w:w="38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70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amounts)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172,698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160,950</w:t>
            </w:r>
          </w:p>
        </w:tc>
      </w:tr>
      <w:tr>
        <w:trPr>
          <w:trHeight w:val="439"/>
        </w:trPr>
        <w:tc>
          <w:tcPr>
            <w:tcW w:w="70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63,224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58,148</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11,301</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10,643</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72,511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66,451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3,019</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3,456</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150,055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138,698</w:t>
            </w:r>
          </w:p>
        </w:tc>
      </w:tr>
      <w:tr>
        <w:trPr>
          <w:trHeight w:val="20"/>
        </w:trPr>
        <w:tc>
          <w:tcPr>
            <w:tcW w:w="7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700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22,643</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22,252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(4,541)</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(6,684)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19,309</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14,947</w:t>
            </w: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5,380</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15,222</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(See Note 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29,488</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28,943</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29,982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29,252</w:t>
            </w:r>
          </w:p>
        </w:tc>
      </w:tr>
    </w:tbl>
    <w:p>
      <w:pPr>
        <w:spacing w:after="0" w:line="16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8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rPr>
              <w:t>INTEGRA LIFESCIENCES HOLDINGS CORPORATION</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71,891</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Trade accounts receivable, net of allowances of $10,429 and $11,216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98,532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103,228</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140,240</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29,444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29,972</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372,844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365,363</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83,526</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206,344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211,117</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257,789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261,941</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15,841</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937,997</w:t>
            </w:r>
          </w:p>
        </w:tc>
        <w:tc>
          <w:tcPr>
            <w:tcW w:w="3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940,102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76,760</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Accounts payable, trade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25,403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24,598</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4,077</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25,253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23,227</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28,068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159,180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156,730</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borrowings under senior credit facility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Long-term convertible securities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150,313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148,754</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9,319</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17,132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20,414</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495,217</w:t>
            </w:r>
          </w:p>
        </w:tc>
      </w:tr>
      <w:tr>
        <w:trPr>
          <w:trHeight w:val="439"/>
        </w:trPr>
        <w:tc>
          <w:tcPr>
            <w:tcW w:w="3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Common stock; $.01 par value; 60,000 authorized shares; 35,266 and 34,958 issued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529,848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520,849</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6,354 shares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(252,380)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(252,380)</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9,746</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Pension liability adjustment, net of tax</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Unrealized gain on derivatives, net of tax</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182,383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167,161</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444,885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937,997</w:t>
            </w:r>
          </w:p>
        </w:tc>
        <w:tc>
          <w:tcPr>
            <w:tcW w:w="3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940,102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INTEGRA LIFESCIENCES HOLDINGS CORPORATION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6"/>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15,222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9,431</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Amortization of bond issuance costs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accreted interest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Gain on bond repurchases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(2,912)</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3,278</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3,196</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(2,836)</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28,137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37,187</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(5,944)</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under senior credit facility</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(27,988)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2,912</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(9,464)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(27,957)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(2,946)</w:t>
            </w:r>
          </w:p>
        </w:tc>
        <w:tc>
          <w:tcPr>
            <w:tcW w:w="2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9,783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71,891</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183,546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81,674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185,630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activity: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During the three months ended March 31,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spacing w:after="0" w:line="14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7459"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the opinion of management, the March 31, 2010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2009 included in the Company’s Annual Report on Form 10-K. The December 31, 2009 condensed consolidated balance sheet was derived from audited financial statements but does not include all disclosures required by accounting principles generally accepted in the United States. Operating results for the three-month period ended March 31, 2010 are not necessarily indicative of the results to be expected for the entire year.</w:t>
      </w:r>
    </w:p>
    <w:p>
      <w:pPr>
        <w:spacing w:after="0" w:line="137"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and goodwill, discount rates and estimated projected cash flows used to value and test impairments of long-lived assets and goodwill, estimates of projected cash flows and depreciation and amortization periods for long-lived assets, valuation of intangible assets and in-process research and development, pension assets, computation of taxes, valuation allowances recorded against deferred tax assets, the valuation of stock-based compensation, and loss contingencies. These estimates are based on historical experience and on various other assumptions that are believed to be reasonable under the current circumstances. Actual results could differ from these estimates.</w:t>
      </w:r>
    </w:p>
    <w:p>
      <w:pPr>
        <w:spacing w:after="0" w:line="12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Certain amounts from the prior-year’s financial statements have been reclassified in order to conform to the current year’s presentation.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recently issued accounting standards that have an impact on the Company’s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AND ASSET ACQUISITIONS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Athrodax Healthcare International Ltd.</w:t>
      </w:r>
    </w:p>
    <w:p>
      <w:pPr>
        <w:spacing w:after="0" w:line="185"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In December 2009, the Company acquired certain assets as well as the distribution rights for its Newdeal</w:t>
      </w:r>
      <w:r>
        <w:rPr>
          <w:rFonts w:ascii="Arial" w:cs="Arial" w:eastAsia="Arial" w:hAnsi="Arial"/>
          <w:sz w:val="13"/>
          <w:szCs w:val="13"/>
          <w:color w:val="auto"/>
        </w:rPr>
        <w:t>®</w:t>
      </w:r>
      <w:r>
        <w:rPr>
          <w:rFonts w:ascii="Arial" w:cs="Arial" w:eastAsia="Arial" w:hAnsi="Arial"/>
          <w:sz w:val="16"/>
          <w:szCs w:val="16"/>
          <w:color w:val="auto"/>
        </w:rPr>
        <w:t xml:space="preserve"> product lines in the United Kingdom from Athrodax Healthcare International Ltd. (“Athrodax”), for approximately $3.3 million (2.0 million British Pounds) in cash, subject to certain adjustments for working capital items. For the last 10 years Athrodax had been the Company’s distributor of extremity reconstruction products in the United Kingdom. The acquisition provides the Company with the opportunity to distribute orthopedic products directly to its United Kingdom customers, and included an experienced sales team in the foot and ankle surgery market which had successfully developed its brand in the United Kingdom.</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Innovative Spinal Technologies, Inc.</w:t>
      </w:r>
    </w:p>
    <w:p>
      <w:pPr>
        <w:spacing w:after="0" w:line="19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August 2009, we acquired certain assets and liabilities of Innovative Spinal Technologies, Inc. (“IST”) for approximately $9.3 million in cash and $0.2 million in acquisition expenses. IST had filed for Chapter 7 bankruptcy protection in May 2009 and the acquisition was the result of an auction process conducted by the bankruptcy trustee and approved by the United States Bankruptcy Judge for the District of Massachusetts. IST’s focus was on spinal implant products related to minimally invasive surgery and motion preservation techniques. We acquired: three product lines, various product development assets for posterior dynamic stabilization, various patents and trademarks and inventory, and also assumed certain of IST’s patent license agreements and related obligations. These assets and liabilities acquired did not meet the definition of a business under the authoritative guidance for business combinations. Accordingly, the assets and liabilities have been recognized at fair value with no related goodwill.</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Theken</w:t>
      </w:r>
    </w:p>
    <w:p>
      <w:pPr>
        <w:spacing w:after="0" w:line="198"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In August 2008 the Company acquired Theken Spine, LLC, Theken Disc, LLC and Therics, LLC (collectively, “Integra Spine”) for $75.0 million in cash, acquisition expenses of $2.4 million, working capital adjustments of $3.9 million, and up to an additional $125.0 million in future payments based on the revenue performance of the business in each of the two years after closing. Approximately $52.0 million of the potential revenue performance obligation was paid in November 2009. Integra Spine, based in Akron, Ohio, designs, develops and manufactures spinal fixation products, synthetic bone substitute products and spinal arthroplasty products.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92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920" w:type="dxa"/>
            <w:vAlign w:val="bottom"/>
          </w:tcPr>
          <w:p>
            <w:pPr>
              <w:spacing w:after="0"/>
              <w:rPr>
                <w:sz w:val="24"/>
                <w:szCs w:val="24"/>
                <w:color w:val="auto"/>
              </w:rPr>
            </w:pPr>
          </w:p>
        </w:tc>
        <w:tc>
          <w:tcPr>
            <w:tcW w:w="12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8"/>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110,753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109,077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Work-in process</w:t>
            </w:r>
          </w:p>
        </w:tc>
        <w:tc>
          <w:tcPr>
            <w:tcW w:w="18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31,079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28,757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28,490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30,131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Less: reserves</w:t>
            </w:r>
          </w:p>
        </w:tc>
        <w:tc>
          <w:tcPr>
            <w:tcW w:w="18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(28,209)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(27,725)</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142,113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140,240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4. GOODWILL AND OTHER INTANGIBLE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three months ended March 31, 2010 were as follows (in thousands):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261,941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 at December 31, 2009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261,941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(4,152)</w:t>
            </w:r>
          </w:p>
        </w:tc>
      </w:tr>
      <w:tr>
        <w:trPr>
          <w:trHeight w:val="223"/>
        </w:trPr>
        <w:tc>
          <w:tcPr>
            <w:tcW w:w="8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 at March 31, 2010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257,789</w:t>
            </w:r>
          </w:p>
        </w:tc>
      </w:tr>
      <w:tr>
        <w:trPr>
          <w:trHeight w:val="20"/>
        </w:trPr>
        <w:tc>
          <w:tcPr>
            <w:tcW w:w="8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spacing w:after="0" w:line="312" w:lineRule="auto"/>
        <w:rPr>
          <w:sz w:val="20"/>
          <w:szCs w:val="20"/>
          <w:color w:val="auto"/>
        </w:rPr>
      </w:pPr>
      <w:r>
        <w:rPr>
          <w:rFonts w:ascii="Arial" w:cs="Arial" w:eastAsia="Arial" w:hAnsi="Arial"/>
          <w:sz w:val="16"/>
          <w:szCs w:val="16"/>
          <w:color w:val="auto"/>
        </w:rPr>
        <w:t>The Company’s assessment of the recoverability of goodwill is based upon a comparison of the carrying value of goodwill with its estimated fair value, determined using a discounted cash flow methodology. This assessment is performed annually during the second quarter and was performed most recently during the second quarter of 2009 which resulted in no impairment.</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identifiable intangible assets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8"/>
              </w:rPr>
              <w:t>March 31, 2010</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0"/>
              </w:rPr>
              <w:t>December 31, 2009</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Cost</w:t>
            </w:r>
          </w:p>
        </w:tc>
        <w:tc>
          <w:tcPr>
            <w:tcW w:w="2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Net</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12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69,062</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69,632</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47,106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12 years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97,726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(38,878)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58,848</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97,922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(36,724)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61,198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35 years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27,049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Indefinite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49,384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49,384</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49,384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49,384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30 years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25,507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25,653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All other</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15 years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8,140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8,197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727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289,221</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206,344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290,176</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211,117</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Annual amortization expense is expected to approximate $17.0 million in 2010, $16.7 million in 2011, $16.5 million in 2012, $13.8 million in 2013 and $12.8 million in 2014. Identifiable intangible assets are initially recorded at fair market value at the time of acquisition generally using an income or cost approach.</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85" w:lineRule="exact"/>
        <w:rPr>
          <w:sz w:val="20"/>
          <w:szCs w:val="20"/>
          <w:color w:val="auto"/>
        </w:rPr>
      </w:pPr>
    </w:p>
    <w:p>
      <w:pPr>
        <w:jc w:val="both"/>
        <w:ind w:left="340" w:right="559"/>
        <w:spacing w:after="0" w:line="267" w:lineRule="auto"/>
        <w:rPr>
          <w:sz w:val="20"/>
          <w:szCs w:val="20"/>
          <w:color w:val="auto"/>
        </w:rPr>
      </w:pPr>
      <w:r>
        <w:rPr>
          <w:rFonts w:ascii="Arial" w:cs="Arial" w:eastAsia="Arial" w:hAnsi="Arial"/>
          <w:sz w:val="17"/>
          <w:szCs w:val="17"/>
          <w:color w:val="auto"/>
        </w:rPr>
        <w:t>On June 11, 2007, the Company issued $165.0 million aggregate principal amount of its 2010 Notes and $165.0 million aggregate principal amount of its 2012 Notes (the 2010 Notes and the 2012 Notes, collectively the “Notes”). The 2010 Notes and the 2012 Notes bear interest at a rate of 2.75% per annum and 2.375% per annum, respectively, in each case payable semi-annually in arrears on December 1 and June 1 of each year. The principal amount outstanding under the 2010 Notes and the 2012 Notes at March 31, 2010 was $77.9 million and $165.0 million, respectively. The fair value of the 2010 Notes and the 2012 Notes at March 31, 2010 was approximately $78.3 million and $171.5 million, respectively. 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However, none of these conditions existed with respect to the 2012 Notes, but the 2010 Notes were freely convertible. As of March 31, 2010, the 2010 Notes are classified as current due to their maturity date and the 2012 Notes are classified as long term.</w:t>
      </w:r>
    </w:p>
    <w:p>
      <w:pPr>
        <w:spacing w:after="0" w:line="160"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11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14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559" w:hanging="8"/>
        <w:spacing w:after="0" w:line="302" w:lineRule="auto"/>
        <w:tabs>
          <w:tab w:leader="none" w:pos="608"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115"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In 2009, the Company repurchased a total principal amount of $87.1 million of the 2010 Notes and recognized a gain of $0.5 million. Total cash paid for these repurchases was $83.3 million of which $78.0 million related to repayment of the liability component of the Notes. For all of these transactions, the bond hedge contracts were terminated on a pro-rata basis and the number of options was adjusted to reflect the number of convertible securities outstanding that together have a total principal amount of $77.9 million. Also, in connection with the repurchases, in separate transactions, we amended the warrant transactions to reduce the number of warrants outstanding to reflect such number of convertible securities outstanding.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98"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As of March 31, 2010, the Company had $145.0 million of outstanding borrowings under this credit facility at a weighted average interest rate of 0.98%. The fair value of the $145.0 million outstanding borrowings on this credit facility at March 31, 2010 was approximately $137.4 million. During the three months ended March 31, 2010, the Company repaid $15.0 million of its outstanding borrowings. The Company considers all such outstanding amounts to be long-term in nature based on its current intent and ability to repay the borrowing outside of the next twelve-month period. This credit facility expires in December 2011.</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DERIVATIVE INSTRUMENTS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The Company utilizes a foreign currency forward exchange contract to hedge an anticipated intercompany transaction in euros and designates this derivative instrument as a cash flow hedge. Our forward exchange contract has a notional amount of 8.2 million euros ($11.0 million at March 31, 2010), and is short term in nature with a term of less than twelve months. This forward exchange contract matches the currency, timing and notional amount of underlying forecasted transactions. Therefore, no ineffectiveness resulted or was recorded through the condensed consolidated statement of operations. As of March 31, 2010, this forward exchange contract has an aggregate U.S. dollar equivalent fair value amounting to net losses of $1.1 million included in other current liabilities. The net gains or losses from this cash flow hedge reported in accumulated other comprehensive income is reclassified to earnings and recorded in other income in our consolidated statement of operations as the foreign currency rates fluctuate. At March 31, 2010, the amount of net unrealized gains in other comprehensive income which will be recognized as an increase to other income in the remainder of 2010 was not significant. The Company considers the credit risk related to the forward to be low because the instrument was entered into with a financial institution with a high credit rating.</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As of March 31, 2010, the Company had stock options, restricted stock awards, performance stock awards, contract stock awards and restricted stock unit awards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the 1999 Plan and beginning in April 2010, the 2000 Plan.</w:t>
      </w:r>
    </w:p>
    <w:p>
      <w:pPr>
        <w:spacing w:after="0" w:line="15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The transfer and non-forfeiture provisions of restricted stock issued under the Plans lapse over specified periods, generally three years after the date of grant.</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did not grant stock options during the three months ended March 31, 2010 or March 31, 2009. As of March 31, 2010, there were approximately $3.7 million of total unrecognized compensation costs related to unvested stock options. These costs are expected to be recognized over a weighted-average period of approximately 1.6 years. The Company received net proceeds of $2.6 million and $23 thousand from stock option exercises for the three months ended March 31, 2010 and 2009, respectively.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9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or requisite service period, whichever is shorter. As of March 31, 2010, there was approximately $13.8 million of total unrecognized compensation costs related to unvested awards. These costs are expected to be recognized over a weighted-average period of approximately 1.8 years.</w:t>
      </w:r>
    </w:p>
    <w:p>
      <w:pPr>
        <w:spacing w:after="0" w:line="14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is a non-compensatory plan based on its terms.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RETIREMENT BENEFIT PLANS</w:t>
      </w:r>
    </w:p>
    <w:p>
      <w:pPr>
        <w:spacing w:after="0" w:line="202"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Company maintains defined benefit pension plans that cover employees in its manufacturing plants located in Andover, United Kingdom (the “UK Plan”) and Tuttlingen, Germany (the “Germany Plan”). The Company closed the Tuttlingen, Germany plant in December 2005. However, the Germany Plan was not terminated and the Company remains obligated for the accrued pension benefits related to this plan. The plans cover certain current and former employees. Net periodic benefit costs for the Company’s defined benefit pension plans included the following amounts (in thousands):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color w:val="auto"/>
                <w:w w:val="98"/>
              </w:rPr>
              <w:t>Three Months Ended</w:t>
            </w:r>
          </w:p>
        </w:tc>
      </w:tr>
      <w:tr>
        <w:trPr>
          <w:trHeight w:val="230"/>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made $0.3 million and $0.1 million of contributions to its defined benefit pension plans during the three months ended March 31, 2010 and March 31, 2009,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9. COMPREHENSIVE INCOME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Comprehensive income was as follows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color w:val="auto"/>
                <w:w w:val="98"/>
              </w:rPr>
              <w:t>Three Months Ended</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15,222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(11,229)</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derivatives, net of tax</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3,999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10. NET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Company adopted the authoritative guidance related to determining whether instruments issued in share-based payment transactions are participating securities on January 1, 2009. Certain of the Company’s unvested restricted share units contain rights to receive nonforfeitable dividends, and thus, are participating securities requiring the two-class method of computing EPS. As these securities had an insignificant impact (impacts the rounding by $0.01 per share) on basic and diluted net income per share for the three months ended March 31, 2010 and diluted net income per share for the three months ended March 31, 2009, the full calculation has not been presented below.</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w w:val="90"/>
              </w:rPr>
              <w:t>Basic and diluted net income per share was as follows (in thousands, except per share amounts):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color w:val="auto"/>
                <w:w w:val="98"/>
              </w:rPr>
              <w:t>Three Months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15,222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28,943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0.51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15,222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Impact of other participating securities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15,222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29,488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29,982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29,252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3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At March 31, 2010 and 2009, the Company had 1.9 million and 2.6 million of outstanding stock options, respectively. The Company also has warrants outstanding relating to its 2010 Notes and 2012 Notes. Stock options and warrants are included in the diluted earnings per share calculation using the treasury stock method, unless the effect of including the stock options would be anti-dilutive. For the three months ended March 31, 2010 and 2009, 0.7 million and 2.3 million anti-dilutive stock options, respectively, were excluded from the diluted earnings per share calculation. As the strike price of the warrants exceeds the Company’s average stock price for the period, the warrants are anti-dilutive and the entire number of warrants, the amount of which is based on the Company’s average stock price, were also excluded from the diluted earnings per share calculation.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Revenue consisted of the following:</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92"/>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Integra Orthopedics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70,187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64,366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Integra NeuroSciences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64,774</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59,731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Integra Medical Instruments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37,737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36,853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172,698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160,950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Total revenues by major geographic area are summarized below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92"/>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129,363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122,585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24,152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23,394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9,237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Foreign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9,946</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7,777</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172,698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160,950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2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only significant item is described below.</w:t>
      </w:r>
    </w:p>
    <w:p>
      <w:pPr>
        <w:spacing w:after="0" w:line="13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January 2010, the Company received a notice from the seller’s representative of the former Theken companies of a disagreement in the calculation of “trade sales” used in calculating a revenue performance payment that the Company made in November 2009. The notice alleges that the Company owes an additional $6.7 million. We are currently discussing this matter with the seller’s representative in an attempt to resolve the dispute in accordance with the provisions contained in the asset purchase agreement governing the transaction.</w:t>
      </w:r>
    </w:p>
    <w:p>
      <w:pPr>
        <w:spacing w:after="0" w:line="16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addition to this matter,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its results of operations, financial position and cash flows in a particular period could be materially affected by these contingencies.</w:t>
      </w:r>
    </w:p>
    <w:p>
      <w:pPr>
        <w:spacing w:after="0" w:line="15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LEASES</w:t>
      </w:r>
    </w:p>
    <w:p>
      <w:pPr>
        <w:spacing w:after="0" w:line="202"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On March 1, 2010, the Company exercised an option to extend a lease agreement for production equipment dated June 2000 with Medicus Corporation. Under the option, the term of the original lease agreement was extended through March 31, 2012. The sole stockholder of Medicus Corporation is Provco Ventures I, LP, of which the Company’s chairman serves as partner and president.</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2009 included in our Annual Report on Form 10-K.</w:t>
      </w:r>
    </w:p>
    <w:p>
      <w:pPr>
        <w:spacing w:after="0" w:line="12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2009. We undertake no obligation to publicly update or revise any forward-looking statements, whether as a result of new information, future events or otherwise.</w:t>
      </w:r>
    </w:p>
    <w:p>
      <w:pPr>
        <w:spacing w:after="0" w:line="14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46"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present revenues in three market categories: Orthopedics, NeuroSciences and Medical Instruments. Our orthopedics products include specialty metal implants for surgery of the extremities and spine, orthobiologics products for repair and grafting of bone, dermal regeneration products and tissue engineered wound dressings and nerve and tendon repair products. Our neurosciences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medical instruments products include a wide range of specialty and general surgical and dental instruments and surgical lighting for sale to hospitals, outpatient surgery centers, and physician, veterinarian and dental practices.</w:t>
      </w:r>
    </w:p>
    <w:p>
      <w:pPr>
        <w:spacing w:after="0" w:line="13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06"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We manufacture many of our products in plants located in the United States, Puerto Rico, France, Germany, Ireland, the United Kingdom and Mexico. We also source most of our hand-held surgical instruments through specialized third-party vendors.</w:t>
      </w:r>
    </w:p>
    <w:p>
      <w:pPr>
        <w:spacing w:after="0" w:line="8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the United States, we have three sales channels — Integra Orthopedics, Integra NeuroSciences and Integra Medical Instruments. Within our Integra Orthopedics sales channel, we sell through a large direct sales organization, and through specialty distributors focused on their respective surgical specialties. Integra NeuroSciences sells products through directly-employed sales representatives. The Integra Medical Instruments sales channel sells directly and through distributors and wholesalers.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market certain products through strategic partners.</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3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operating cash flows (which we aim to increase through improved working capital management), and earnings per diluted share of common stock.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9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i w:val="1"/>
          <w:iCs w:val="1"/>
          <w:color w:val="auto"/>
        </w:rPr>
        <w:t xml:space="preserve">Developing metal implants for bone and joint repair, fixation and fusion. </w:t>
      </w:r>
      <w:r>
        <w:rPr>
          <w:rFonts w:ascii="Arial" w:cs="Arial" w:eastAsia="Arial" w:hAnsi="Arial"/>
          <w:sz w:val="17"/>
          <w:szCs w:val="17"/>
          <w:color w:val="auto"/>
        </w:rPr>
        <w:t>Through acquisitions, particularly those of Integra</w:t>
      </w:r>
      <w:r>
        <w:rPr>
          <w:rFonts w:ascii="Arial" w:cs="Arial" w:eastAsia="Arial" w:hAnsi="Arial"/>
          <w:sz w:val="17"/>
          <w:szCs w:val="17"/>
          <w:i w:val="1"/>
          <w:iCs w:val="1"/>
          <w:color w:val="auto"/>
        </w:rPr>
        <w:t xml:space="preserve"> </w:t>
      </w:r>
      <w:r>
        <w:rPr>
          <w:rFonts w:ascii="Arial" w:cs="Arial" w:eastAsia="Arial" w:hAnsi="Arial"/>
          <w:sz w:val="17"/>
          <w:szCs w:val="17"/>
          <w:color w:val="auto"/>
        </w:rPr>
        <w:t>Spine in 2008 and Newdeal Technologies SAS in 2005, we have acquired significant expertise in developing metal implants for use in bone and joint repair, fixation and fusion and in successfully bringing those products to market.</w:t>
      </w:r>
    </w:p>
    <w:p>
      <w:pPr>
        <w:spacing w:after="0" w:line="12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i w:val="1"/>
          <w:iCs w:val="1"/>
          <w:color w:val="auto"/>
        </w:rPr>
        <w:t xml:space="preserve">Developing, manufacturing and selling specialty regenerative technology products. </w:t>
      </w:r>
      <w:r>
        <w:rPr>
          <w:rFonts w:ascii="Arial" w:cs="Arial" w:eastAsia="Arial" w:hAnsi="Arial"/>
          <w:sz w:val="18"/>
          <w:szCs w:val="18"/>
          <w:color w:val="auto"/>
        </w:rPr>
        <w:t>We have a broad technology platform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products that regenerate or repair soft tissue and bone. We believe that we have a particular advantage in developing, manufacturing and selling tissue repair products derived from bovine collagen. These products comprised 22% and 23% of revenues for the three months ended March 31, 2010 and 2009, respectively.</w:t>
      </w:r>
    </w:p>
    <w:p>
      <w:pPr>
        <w:spacing w:after="0" w:line="14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i w:val="1"/>
          <w:iCs w:val="1"/>
          <w:color w:val="auto"/>
        </w:rPr>
        <w:t xml:space="preserve">Acquiring and integrating new product lines and complementary businesses. </w:t>
      </w:r>
      <w:r>
        <w:rPr>
          <w:rFonts w:ascii="Arial" w:cs="Arial" w:eastAsia="Arial" w:hAnsi="Arial"/>
          <w:sz w:val="18"/>
          <w:szCs w:val="18"/>
          <w:color w:val="auto"/>
        </w:rPr>
        <w:t>Since 2007, we have acquired and integrated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10 product lines or businesses through an acquisition program that focuses on acquiring companies or product lines at reasonable valuations which complement our existing product lines or can be used to leverage our broad technology platform in tissue regeneration and metal implants. Our managers and executives have demonstrated their ability to successfully integrate acquired product lines and businesses.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acquisitions were completed during the first quarter of 2010.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Net income for the three months ended March 31, 2010 was $15.2 million, or $0.50 per diluted share as compared with net income of $9.6 million or $0.32 per diluted share for the three months ended March 31, 2009.</w:t>
      </w:r>
    </w:p>
    <w:p>
      <w:pPr>
        <w:spacing w:after="0" w:line="13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increase in net income for the three months ended March 31, 2010 over the 2009 period resulted from a 7.3% increase in revenues, decreased interest and income tax expenses, and an increase in other income.</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Our costs and expenses include the following charges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color w:val="auto"/>
                <w:w w:val="98"/>
              </w:rPr>
              <w:t>Three Months Ended</w:t>
            </w:r>
          </w:p>
        </w:tc>
      </w:tr>
      <w:tr>
        <w:trPr>
          <w:trHeight w:val="230"/>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Inventory fair market value purchase accounting adjustments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2,007</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8"/>
              </w:rPr>
              <w:t>Facility consolidation, acquisition integration, manufacturing and distribution transfer,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system implementation charges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product lines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5"/>
              </w:rPr>
              <w:t>Incremental professional and bank fees related to the possibility of obtaining a waiver under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our revolving credit facility</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Gain related to early extinguishment of convertible notes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Non-cash interest expense related to convertible securities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2,762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on intercompany loan (1)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1,876</w:t>
            </w:r>
          </w:p>
        </w:tc>
      </w:tr>
      <w:tr>
        <w:trPr>
          <w:trHeight w:val="20"/>
        </w:trPr>
        <w:tc>
          <w:tcPr>
            <w:tcW w:w="7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3,772</w:t>
            </w:r>
          </w:p>
        </w:tc>
        <w:tc>
          <w:tcPr>
            <w:tcW w:w="36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6,435</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foreign exchange loss is associated with our intercompany loan set up in connection with the restructuring of a German subsidiary in the fourth quarter of 2008. Net income for 2009 and prior periods includes foreign exchange gains and losses associated with intercompany loans not related to any restructuring.</w:t>
      </w:r>
    </w:p>
    <w:p>
      <w:pPr>
        <w:spacing w:after="0" w:line="14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Of these amounts, $0.7 million and $2.2 million were charged to cost of product revenues in the three-month periods ended March 31, 2010 and 2009, respectively. Additionally, $0.1 million was charged to research and development expense relating to costs to relocate certain assets and personnel acquired in our Integra Spine acquisition, and for costs associated with our IST acquisition. The remaining amounts were charged to selling, general and administrative expenses, except for the gain on convertible notes, interest expense, and the foreign exchange loss.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believe that, given our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in the future. We believe that the delineation of these costs provides useful information to measure the comparative performance of our business operations across reporting periods.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Revenues and Gross Margin on Product Revenues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6860" w:type="dxa"/>
            <w:vAlign w:val="bottom"/>
          </w:tcPr>
          <w:p>
            <w:pPr>
              <w:spacing w:after="0"/>
              <w:rPr>
                <w:sz w:val="20"/>
                <w:szCs w:val="20"/>
                <w:color w:val="auto"/>
              </w:rPr>
            </w:pPr>
            <w:r>
              <w:rPr>
                <w:rFonts w:ascii="Arial" w:cs="Arial" w:eastAsia="Arial" w:hAnsi="Arial"/>
                <w:sz w:val="18"/>
                <w:szCs w:val="18"/>
                <w:color w:val="auto"/>
              </w:rPr>
              <w:t>Our revenues and gross margin on product revenues were as follows (in thousands):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color w:val="auto"/>
              </w:rPr>
              <w:t>Three Months Ended</w:t>
            </w:r>
          </w:p>
        </w:tc>
      </w:tr>
      <w:tr>
        <w:trPr>
          <w:trHeight w:val="230"/>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16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Integra Orthopedics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70,187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64,366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Integra NeuroSciences</w:t>
            </w:r>
          </w:p>
        </w:tc>
        <w:tc>
          <w:tcPr>
            <w:tcW w:w="2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64,774</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59,731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Integra Medical Instruments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36,853</w:t>
            </w:r>
          </w:p>
        </w:tc>
      </w:tr>
      <w:tr>
        <w:trPr>
          <w:trHeight w:val="20"/>
        </w:trPr>
        <w:tc>
          <w:tcPr>
            <w:tcW w:w="6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172,698</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160,950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58,148</w:t>
            </w:r>
          </w:p>
        </w:tc>
      </w:tr>
      <w:tr>
        <w:trPr>
          <w:trHeight w:val="20"/>
        </w:trPr>
        <w:tc>
          <w:tcPr>
            <w:tcW w:w="6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109,474</w:t>
            </w:r>
          </w:p>
        </w:tc>
        <w:tc>
          <w:tcPr>
            <w:tcW w:w="44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102,802</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 2010 AS COMPARED TO THREE MONTHS ENDED MARCH 31, 2009</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For the three months ended March 31, 2010, total revenues increased by $11.7 million, or 7.3%, to $172.7 million from $161.0 million for the same period during 2009. Domestic revenues increased by $6.8 million to $129.4 million, or 75% of total revenues, for the three months ended March 31, 2010 from $122.6 million, or 76% of total revenues, for the three months ended March 31, 2009. International revenues increased to $43.3 million from $38.4 million in the prior-year period, an increase of 13.0%.</w:t>
      </w:r>
    </w:p>
    <w:p>
      <w:pPr>
        <w:spacing w:after="0" w:line="14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Orthopedics revenues were $70.2 million, an increase of 9.0% over the prior-year period. Most of the increase came from sales of engineered collagen products for skin and wound repair and from metal implants for the forefoot, mid- and hindfoot applications. We expect to see continued growth from these products and from our Spine products for the balance of 2010 as we leverage our growing distributor network as well as the introduction of new products, such as our Paramount</w:t>
      </w:r>
      <w:r>
        <w:rPr>
          <w:rFonts w:ascii="Arial" w:cs="Arial" w:eastAsia="Arial" w:hAnsi="Arial"/>
          <w:sz w:val="15"/>
          <w:szCs w:val="15"/>
          <w:color w:val="auto"/>
        </w:rPr>
        <w:t>®</w:t>
      </w:r>
      <w:r>
        <w:rPr>
          <w:rFonts w:ascii="Arial" w:cs="Arial" w:eastAsia="Arial" w:hAnsi="Arial"/>
          <w:sz w:val="18"/>
          <w:szCs w:val="18"/>
          <w:color w:val="auto"/>
        </w:rPr>
        <w:t xml:space="preserve"> minimally invasive spinal fixation products.</w:t>
      </w:r>
    </w:p>
    <w:p>
      <w:pPr>
        <w:spacing w:after="0" w:line="16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NeuroSciences revenues were $64.8 million, up 8.4% from the prior-year period. Sales of capital goods, particularly CUSA</w:t>
      </w:r>
      <w:r>
        <w:rPr>
          <w:rFonts w:ascii="Arial" w:cs="Arial" w:eastAsia="Arial" w:hAnsi="Arial"/>
          <w:sz w:val="15"/>
          <w:szCs w:val="15"/>
          <w:color w:val="auto"/>
        </w:rPr>
        <w:t>®</w:t>
      </w:r>
      <w:r>
        <w:rPr>
          <w:rFonts w:ascii="Arial" w:cs="Arial" w:eastAsia="Arial" w:hAnsi="Arial"/>
          <w:sz w:val="18"/>
          <w:szCs w:val="18"/>
          <w:color w:val="auto"/>
        </w:rPr>
        <w:t xml:space="preserve"> ultrasonic tissue ablation products, cranial fixation systems and stereostatic radiosurgery systems, drove the growth in this market.</w:t>
      </w:r>
    </w:p>
    <w:p>
      <w:pPr>
        <w:spacing w:after="0" w:line="14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Revenues in the Medical Instruments category were $37.7 million, up 2.4% from the prior year. Sales increased due to hospital expansions and ambulatory surgery center openings, and as distributors began to stock higher levels of inventory. We expect to see continued stabilization in this market, though it remains unclear when we can expect to achieve growth beyond pre-recession volumes.</w:t>
      </w:r>
    </w:p>
    <w:p>
      <w:pPr>
        <w:spacing w:after="0" w:line="146"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Foreign exchange fluctuations, primarily due to a stronger euro, Australian and Canadian dollar versus the U.S. dollar, accounted for a $2.7 million increase in first quarter of 2010 revenues as compared to the same period last year.</w:t>
      </w:r>
    </w:p>
    <w:p>
      <w:pPr>
        <w:spacing w:after="0" w:line="120"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Approximately 10% of our revenues in the quarter consisted of sales of capital equipment products. These products improved 9.2% over the prior year period, and we are cautiously optimistic that they will continue to improve during 2010. In addition, the poor global economy is adversely affecting elective surgical procedures in many markets. While our products are primarily used in non-elective procedures to treat trauma, cancer, major burns, and degenerative diseases, our orthopedic products for elective procedures have not performed as well as in the past. We expect to drive future revenue growth by continuing to launch new products and acquire businesses and products that can be sold through our existing sales organizations, and by gaining additional market share through the expansion of our Integra Extremity Reconstruction and Integra Spine sales organizations in the United States and leveraging the distribution channels in our Integra Spine, Integra NeuroSciences, and Integra OrthoBiologics sales organizations to broaden each organization’s access to spine surgeons and to launch our spine products internationally. We believe that the biggest opportunities for revenue growth exist in the extremity reconstruction and spine markets.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Gross margin increased by $6.7 million to $109.5 million for the three-month period ended March 31, 2010, from $102.8 million for the same period last year. Gross margin as a percentage of total revenue declined to 63.4% for the first quarter 2010 from 63.9% for the same period last year. This decrease resulted from higher costs of production and increased inventory reserves relative to the same period in 2009. The 2010 period includes lower inventory purchase accounting adjustments.</w:t>
      </w:r>
    </w:p>
    <w:p>
      <w:pPr>
        <w:spacing w:after="0" w:line="127"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expect our consolidated gross margin to improve for the rest of 2010 as sales of our higher gross margin implant products are expected to increase as a proportion of total revenues. Although we continuously identify and implement programs to reduce costs at our manufacturing plants and to manage our inventory more efficiently, gross margin improvements in our business are expected to continue to result primarily from changes in sales mix to a larger proportion of sales of our higher gross margin implant products.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Other Operating Expenses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6900" w:type="dxa"/>
            <w:vAlign w:val="bottom"/>
          </w:tcPr>
          <w:p>
            <w:pPr>
              <w:spacing w:after="0"/>
              <w:rPr>
                <w:sz w:val="20"/>
                <w:szCs w:val="20"/>
                <w:color w:val="auto"/>
              </w:rPr>
            </w:pPr>
            <w:r>
              <w:rPr>
                <w:rFonts w:ascii="Arial" w:cs="Arial" w:eastAsia="Arial" w:hAnsi="Arial"/>
                <w:sz w:val="18"/>
                <w:szCs w:val="18"/>
                <w:color w:val="auto"/>
                <w:w w:val="99"/>
              </w:rPr>
              <w:t>The following is a summary of other operating expenses as a percent of total revenues: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6900" w:type="dxa"/>
            <w:vAlign w:val="bottom"/>
          </w:tcPr>
          <w:p>
            <w:pPr>
              <w:spacing w:after="0"/>
              <w:rPr>
                <w:sz w:val="24"/>
                <w:szCs w:val="24"/>
                <w:color w:val="auto"/>
              </w:rPr>
            </w:pPr>
          </w:p>
        </w:tc>
        <w:tc>
          <w:tcPr>
            <w:tcW w:w="242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69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2"/>
              </w:rPr>
              <w:t>March 31,</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6900" w:type="dxa"/>
            <w:vAlign w:val="bottom"/>
          </w:tcPr>
          <w:p>
            <w:pPr>
              <w:spacing w:after="0"/>
              <w:rPr>
                <w:sz w:val="20"/>
                <w:szCs w:val="20"/>
                <w:color w:val="auto"/>
              </w:rPr>
            </w:pPr>
            <w:r>
              <w:rPr>
                <w:rFonts w:ascii="Arial" w:cs="Arial" w:eastAsia="Arial" w:hAnsi="Arial"/>
                <w:sz w:val="18"/>
                <w:szCs w:val="18"/>
                <w:color w:val="auto"/>
              </w:rPr>
              <w:t>Total other operating expenses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0"/>
        </w:trPr>
        <w:tc>
          <w:tcPr>
            <w:tcW w:w="6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expenses, selling, general and administrative expenses, and amortization expenses, increased $6.3 million, or 7.8%, to $86.8 million in the first quarter of 2010 compared to $80.6 million in the first quarter of 2009.</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Research and development expenses in the first quarter of 2010 increased by $0.7 million to $11.3 million, compared to $10.6 million in the same period last year. This increase is primarily attributable to our spine product lines as we continue to focus on expanding our product portfolio in this market.</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target 2010 spending on research and development to be between 6% and 7% of total revenues. Most of this planned spending for 2010 is concentrated on product development efforts for our spine, neurosurgery and extremity reconstruction product lines.</w:t>
      </w:r>
    </w:p>
    <w:p>
      <w:pPr>
        <w:spacing w:after="0" w:line="154"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Selling, general and administrative expenses in the first quarter of 2010 increased by $6.1 million to $72.5 million, compared to $66.5 million in the same period last year. Selling expenses increased by $3.5 million primarily due to increases in the orthopedics sales organization in the United States and Europe. General and administrative costs increased $2.6 million primarily due to headcount, compensation and benefit costs, which offset decreases in consulting and professional fees related to our financial operations as well as lower legal fees. We will continue to expand our direct sales organizations in our direct selling platforms where business opportunities are most attractive, including extremity reconstruction, and increase corporate staff to support our information systems infrastructure to facilitate future growth. We continue to expect that selling, general and administrative spending will be between 41% and 42% of revenues.</w:t>
      </w:r>
    </w:p>
    <w:p>
      <w:pPr>
        <w:spacing w:after="0" w:line="13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Amortization expense in the first quarter of 2010 was $3.0 million, compared to $3.5 million in the same period last year. The decrease is due to the completion of the amortization period for certain intangible assets.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(4,541)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(6,684)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Interest income decreased in the three months ended March 31, 2010 compared to the same period last year, primarily as a result of lower overall cash balances, a result of $115.0 million in repayments of our credit facility and $53.9 million in convertible debt repurchases since March 31, 2009.</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Interest expense in the three months ended March 31, 2010 decreased primarily as a result of $53.9 million of repurchases of our 2010 Notes and repayments of $115.0 million on our senior credit facility. Our reported interest expense for the three-month periods ended March 31, 2010 and 2009 includes non-cash interest related to the accounting for convertible securities of $2.3 million and $2.8 million, respectively. The remainder of the expense represents non-cash interest expense related to the adoption of the authoritative guidance for convertible debt and the amortization of debt issuance costs.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Other income in 2010 of $1.1 million is comprised primarily of foreign exchange gains on intercompany balances. In 2009, a $2.1 million foreign exchange loss on an intercompany loan was partially offset by a gain of $1.2 million on the March 2009 repurchase of our 2010 Notes.</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550"/>
              <w:spacing w:after="0"/>
              <w:rPr>
                <w:sz w:val="20"/>
                <w:szCs w:val="20"/>
                <w:color w:val="auto"/>
              </w:rPr>
            </w:pPr>
            <w:r>
              <w:rPr>
                <w:rFonts w:ascii="Arial" w:cs="Arial" w:eastAsia="Arial" w:hAnsi="Arial"/>
                <w:sz w:val="18"/>
                <w:szCs w:val="18"/>
                <w:color w:val="auto"/>
                <w:w w:val="78"/>
              </w:rPr>
              <w:t>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19,309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14,947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4,087</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Our effective income tax rate for the three months ended March 31, 2010 and 2009 was 21.2% and 36.0%. Our effective tax rate excluding discrete items has remained consistent at approximately 32.5%. The effective rate for the quarter ended March 31, 2010 reflects the reversal of $2.2 million of accruals for uncertain tax positions due to matters that are considered effectively settled and the expiration of the statute of limitations for certain matters. The effective rate for the quarter ended March 31, 2009 included $0.5 million of additional tax related to the gain on the buyback of a portion of our 2010 Notes.</w:t>
      </w:r>
    </w:p>
    <w:p>
      <w:pPr>
        <w:spacing w:after="0" w:line="13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to be approximately 29%.</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GEOGRAPHIC PRODUCT REVENUES AND OPERATIONS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Product revenues by major geographic area are summarized below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color w:val="auto"/>
                <w:w w:val="98"/>
              </w:rPr>
              <w:t>Three Months Ended</w:t>
            </w:r>
          </w:p>
        </w:tc>
      </w:tr>
      <w:tr>
        <w:trPr>
          <w:trHeight w:val="230"/>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129,363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122,585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24,152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23,394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9,237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Foreign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9,946</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7,777</w:t>
            </w: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172,698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160,950</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had cash and cash equivalents totaling approximately $81.7 million and $71.9 million at March 31, 2010 and December 31, 2009,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6"/>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72"/>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28,137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37,187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(5,944)</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(9,464)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(27,957)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200" w:type="dxa"/>
            <w:vAlign w:val="bottom"/>
          </w:tcPr>
          <w:p>
            <w:pPr>
              <w:spacing w:after="0"/>
              <w:rPr>
                <w:sz w:val="18"/>
                <w:szCs w:val="18"/>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(2,946)</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9,783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generated operating cash flows of $28.1 million and $37.2 million for the three months ended March 31, 2010 and 2009, respectively.</w:t>
      </w:r>
    </w:p>
    <w:p>
      <w:pPr>
        <w:spacing w:after="0" w:line="13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Net income for the three months ended March 31, 2010 plus non-cash items included in those earnings amounted to approximately $27.8 million. Changes in working capital contributed another $3.0 million of net cash flows. Among the changes in working capital accounts receivable contributed $3.3 million and accounts payable and accrued expenses contributed another $3.2 million, while inventories used $2.2 million. Decreases in long-term liabilities, principally a non-cash reversal of accruals for uncertain tax positions, used another $2.8 million of cash.</w:t>
      </w:r>
    </w:p>
    <w:p>
      <w:pPr>
        <w:spacing w:after="0" w:line="148"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Net income for the three months ended March 31, 2009 plus non-cash items included in those earnings amounted to approximately $22.4 million. Changes in working capital contributed another $13.5 million of net cash flows. Among the changes in working capital accounts receivable contributed $9.2 million, decreases in inventories contributed $2.7 million and reductions in prepaid expenses, principally income taxes, contributed another $7.2 million, while decreases in accounts payable and accrued expenses used $5.5 million of cash. Decreases in other long-term assets contributed another $0.9 million of cash.</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paid $5.9 million in cash for capital expenditures during the quarter ended March 31, 2010. For the same quarter in 2009, we had capital expenditures of $3.0 million and paid $4.0 million related to working capital adjustments for our acquisitions of Integra Spine and Integra Neurosciences Pty Ltd.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principal uses of cash for financing activities were to repay $15.0 million under our revolving credit facility in the quarter ended March 31, 2010 and to buy back $28.0 million of our 2010 Notes in the quarter ended March 31, 2009. These amounts were partially offset by the net proceeds from stock option exercises and the tax impact of stock-based compensation for a total of $5.5 million in 2010 and an immaterial amount in 2009.</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At March 31, 2010 and December 31, 2009, working capital was $213.7 million and $208.6 million, respectively. The increase in working capital is primarily related to the additional cash generated in the period from the increase in net income.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Senior Secured Revolving Credit Facility</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pay interest each June 1 and December 1 on our $77.9 million senior convertible notes due June 2010 (“2010 Notes”) at an annual rate of 2.75% and on our $165.0 million senior convertible notes due June 2012 (“2012 Notes” and, collectively with the “2010 Notes”, the “Notes”) at an annual rate of 2.375%.</w:t>
      </w:r>
    </w:p>
    <w:p>
      <w:pPr>
        <w:spacing w:after="0" w:line="141"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However, none of these conditions existed with respect to the 2012 Notes, but the 2010 Notes were freely convertible. As of March 31, 2010, the 2010 Notes are classified as current due to their maturity date and the 2012 Notes are classified as long term.</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Integra. The 2010 Notes will rank equal in right of payment to the 2012 Notes. The Notes are Integra’s direct senior unsecured obligations and will rank equal in right of payment to all of our existing and future unsecured and unsubordinated indebtedness.</w:t>
      </w:r>
    </w:p>
    <w:p>
      <w:pPr>
        <w:spacing w:after="0" w:line="16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559" w:hanging="8"/>
        <w:spacing w:after="0" w:line="302" w:lineRule="auto"/>
        <w:tabs>
          <w:tab w:leader="none" w:pos="608"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11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We may from time to time seek to retire or purchase additional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3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As of March 31, 2010 we had $145.0 million of outstanding borrowings under our credit facility at a weighted average interest rate of 0.98%. We consider all such outstanding amounts to be long-term in nature based on our current intent and ability to repay this borrowing outside of the next twelve-month period. We will likely use this facility to partially fund the repayment of our 2010 Notes. This facility expires in December, 2011. We believe that our cash and available borrowings under the senior secured revolving credit facility are sufficient to finance our operations, capital expenditures and potential acquisition-related earn-out payments in the near term.</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189"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On October 30, 2008, our Board of Directors authorized us to repurchase shares of our common stock for an aggregate purchase price not to exceed $75.0 million through December 31, 2010. Shares may be purchased either in the open market or in privately negotiated transactions. No shares have been repurchased through March 31, 2010 under this program.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believe that our cash and available borrowings under the senior secured revolving credit facility are sufficient to finance our operations and capital expenditures, and potential acquisition-related earn-out payments in the near term based on our current plans. The Company considers all such outstanding amounts to be long-term in nature based on its current intent and ability to repay the borrowings outside of the next twelve month period. See “Convertible Debt and Senior Secured Revolving Credit Facility” for a description of the material terms of our credit facility.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critical accounting estimates included in our Annual Report on Form 10-K for the fiscal year ended December 31, 2009 have not materially changed. Certain of these estimates, such as the valuation of identifiable intangible assets, have been affected by lower revenues and profitability than had been originally anticipated. Such valuations have accordingly become more sensitive to factors such as prevailing interest rates and assumptions about market royalty rates.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recently issued accounting standards that have an impact on our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With our global reach, we generate revenues and incur operating expenses in multiple foreign currencies, including euros, British pounds, Swiss francs, Canadian dollars, Japanese yen, and Australian dollars. Accordingly, we will experience currency exchange risk with respect to those foreign currency denominated revenues and operating expenses. The results of operations for the periods discussed herein have not been materially affected by inflation.</w:t>
      </w:r>
    </w:p>
    <w:p>
      <w:pPr>
        <w:spacing w:after="0" w:line="146"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We currently use a short-term forward exchange contract to hedge our risk related to the foreign currency fluctuations of an intercompany loan denominated in foreign currency. The forward exchange contract has a notional amount of 8.2 million euros ($11.0 million at March 31, 2010). We consider the credit risk related to the foreign exchange contract to be low because the instrument was entered into with a financial institution with a high credit rating.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We are exposed to the risk of interest rate fluctuations on the fair value and interest income earned</w:t>
      </w:r>
      <w:r>
        <w:rPr>
          <w:rFonts w:ascii="Arial" w:cs="Arial" w:eastAsia="Arial" w:hAnsi="Arial"/>
          <w:sz w:val="16"/>
          <w:szCs w:val="16"/>
          <w:i w:val="1"/>
          <w:iCs w:val="1"/>
          <w:color w:val="auto"/>
        </w:rPr>
        <w:t xml:space="preserve"> </w:t>
      </w:r>
      <w:r>
        <w:rPr>
          <w:rFonts w:ascii="Arial" w:cs="Arial" w:eastAsia="Arial" w:hAnsi="Arial"/>
          <w:sz w:val="16"/>
          <w:szCs w:val="16"/>
          <w:color w:val="auto"/>
        </w:rPr>
        <w:t>on our cash and cash equivalents. A hypothetical 100 basis point movement in interest rates applicable to our cash and cash equivalents outstanding at March 31, 2010 would increase interest income by approximately $0.8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1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i w:val="1"/>
          <w:iCs w:val="1"/>
          <w:color w:val="auto"/>
        </w:rPr>
        <w:t xml:space="preserve">Senior Secured Credit Facility. </w:t>
      </w:r>
      <w:r>
        <w:rPr>
          <w:rFonts w:ascii="Arial" w:cs="Arial" w:eastAsia="Arial" w:hAnsi="Arial"/>
          <w:sz w:val="17"/>
          <w:szCs w:val="17"/>
          <w:color w:val="auto"/>
        </w:rPr>
        <w:t>We are exposed to the risk of interest rate fluctuations on the interest paid under the terms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senior secured credit facility. Based on our outstanding borrowings as of March 31, 2010, a hypothetical 100 basis point movement in interest rates applicable to this credit facility would increase interest expense by approximately $1.5 million or decrease interest expense by approximately $1.4 million from current levels. The primary reference rate under this credit facility is the London Interbank Offered Rate (“LIBOR”) for the applicable duration.</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2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2010. Based upon this evaluation, our principal executive officer and principal financial officer concluded that our disclosure controls and procedures were effective as of March 31, 2010 to provide such reasonable assurance.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that occurred during the quarter ended March 31, 2010 that have materially affected, or are reasonably likely to materially affect, our internal control over financial reporting.</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Various lawsuits, claims and proceedings are pending or have been settled by us. The only significant item is described below.</w:t>
      </w:r>
    </w:p>
    <w:p>
      <w:pPr>
        <w:spacing w:after="0" w:line="20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January 2010, we received a notice from the seller’s representative of the former Theken companies of a disagreement in the calculation of “trade sales” used in calculating a revenue performance payment that we made in November 2009. The notice alleges that we owe an additional $6.7 million. The Company is currently discussing this matter with the seller’s representative in an attempt to resolve the dispute in accordance with the provisions contained in the asset purchase agreement governing the transaction.</w:t>
      </w:r>
    </w:p>
    <w:p>
      <w:pPr>
        <w:spacing w:after="0" w:line="161"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addition to this matter,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2009 have not materially changed other than the modifications to the risk factors as set forth below.</w:t>
      </w:r>
    </w:p>
    <w:p>
      <w:pPr>
        <w:spacing w:after="0" w:line="143"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14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25" w:lineRule="exact"/>
        <w:rPr>
          <w:sz w:val="20"/>
          <w:szCs w:val="20"/>
          <w:color w:val="auto"/>
        </w:rPr>
      </w:pPr>
    </w:p>
    <w:p>
      <w:pPr>
        <w:jc w:val="both"/>
        <w:ind w:left="1040" w:right="559" w:hanging="343"/>
        <w:spacing w:after="0" w:line="264"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new legislation will result in major changes in the United States healthcare system that could have an adverse effect on our business, including an excise tax on United States sales of medical devices, which could have a material adverse effect on our earnings;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40" w:right="559" w:hanging="343"/>
        <w:spacing w:after="0" w:line="286" w:lineRule="auto"/>
        <w:tabs>
          <w:tab w:leader="none" w:pos="10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97" w:lineRule="exact"/>
        <w:rPr>
          <w:rFonts w:ascii="Arial" w:cs="Arial" w:eastAsia="Arial" w:hAnsi="Arial"/>
          <w:sz w:val="17"/>
          <w:szCs w:val="17"/>
          <w:b w:val="1"/>
          <w:bCs w:val="1"/>
          <w:color w:val="auto"/>
        </w:rPr>
      </w:pPr>
    </w:p>
    <w:p>
      <w:pPr>
        <w:ind w:left="1040" w:hanging="343"/>
        <w:spacing w:after="0"/>
        <w:tabs>
          <w:tab w:leader="none" w:pos="10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Medicare, Medicaid and private healthcare insurer cutbacks could create downward price pressure on our products;</w:t>
      </w:r>
    </w:p>
    <w:p>
      <w:pPr>
        <w:spacing w:after="0" w:line="180" w:lineRule="exact"/>
        <w:rPr>
          <w:rFonts w:ascii="Arial" w:cs="Arial" w:eastAsia="Arial" w:hAnsi="Arial"/>
          <w:sz w:val="16"/>
          <w:szCs w:val="16"/>
          <w:b w:val="1"/>
          <w:bCs w:val="1"/>
          <w:color w:val="auto"/>
        </w:rPr>
      </w:pPr>
    </w:p>
    <w:p>
      <w:pPr>
        <w:jc w:val="both"/>
        <w:ind w:left="1040" w:right="559" w:hanging="343"/>
        <w:spacing w:after="0" w:line="312" w:lineRule="auto"/>
        <w:tabs>
          <w:tab w:leader="none" w:pos="10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recently effected 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79" w:lineRule="exact"/>
        <w:rPr>
          <w:rFonts w:ascii="Arial" w:cs="Arial" w:eastAsia="Arial" w:hAnsi="Arial"/>
          <w:sz w:val="16"/>
          <w:szCs w:val="16"/>
          <w:b w:val="1"/>
          <w:bCs w:val="1"/>
          <w:color w:val="auto"/>
        </w:rPr>
      </w:pPr>
    </w:p>
    <w:p>
      <w:pPr>
        <w:jc w:val="both"/>
        <w:ind w:left="1040" w:right="559" w:hanging="343"/>
        <w:spacing w:after="0" w:line="264" w:lineRule="auto"/>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113" w:lineRule="exact"/>
        <w:rPr>
          <w:rFonts w:ascii="Arial" w:cs="Arial" w:eastAsia="Arial" w:hAnsi="Arial"/>
          <w:sz w:val="18"/>
          <w:szCs w:val="18"/>
          <w:b w:val="1"/>
          <w:bCs w:val="1"/>
          <w:color w:val="auto"/>
        </w:rPr>
      </w:pPr>
    </w:p>
    <w:p>
      <w:pPr>
        <w:jc w:val="both"/>
        <w:ind w:left="1040" w:right="559" w:hanging="343"/>
        <w:spacing w:after="0" w:line="264" w:lineRule="auto"/>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1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 is economic pressure to contain healthcare costs in domestic and international markets;</w:t>
      </w:r>
    </w:p>
    <w:p>
      <w:pPr>
        <w:spacing w:after="0" w:line="157" w:lineRule="exact"/>
        <w:rPr>
          <w:rFonts w:ascii="Arial" w:cs="Arial" w:eastAsia="Arial" w:hAnsi="Arial"/>
          <w:sz w:val="18"/>
          <w:szCs w:val="18"/>
          <w:b w:val="1"/>
          <w:bCs w:val="1"/>
          <w:color w:val="auto"/>
        </w:rPr>
      </w:pPr>
    </w:p>
    <w:p>
      <w:pPr>
        <w:ind w:left="1040" w:right="559" w:hanging="343"/>
        <w:spacing w:after="0" w:line="342" w:lineRule="auto"/>
        <w:tabs>
          <w:tab w:leader="none" w:pos="10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56" w:lineRule="exact"/>
        <w:rPr>
          <w:rFonts w:ascii="Arial" w:cs="Arial" w:eastAsia="Arial" w:hAnsi="Arial"/>
          <w:sz w:val="16"/>
          <w:szCs w:val="16"/>
          <w:b w:val="1"/>
          <w:bCs w:val="1"/>
          <w:color w:val="auto"/>
        </w:rPr>
      </w:pPr>
    </w:p>
    <w:p>
      <w:pPr>
        <w:jc w:val="both"/>
        <w:ind w:left="1040" w:right="559" w:hanging="343"/>
        <w:spacing w:after="0" w:line="264" w:lineRule="auto"/>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113"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43"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Both the pressures to reduce prices for our products in response to or despite these trends and the decrease in the size of the market as a result of these trends could adversely affect our levels of revenues and profitability of sales.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Oversight of the medical device industry might affect the manner in which we may sell medical devices.</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you that:</w:t>
      </w:r>
    </w:p>
    <w:p>
      <w:pPr>
        <w:spacing w:after="0" w:line="152" w:lineRule="exact"/>
        <w:rPr>
          <w:sz w:val="20"/>
          <w:szCs w:val="20"/>
          <w:color w:val="auto"/>
        </w:rPr>
      </w:pPr>
    </w:p>
    <w:p>
      <w:pPr>
        <w:ind w:left="1040" w:right="559" w:hanging="343"/>
        <w:spacing w:after="0" w:line="277" w:lineRule="auto"/>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government regulators or courts will interpret those laws or regulations in a manner consistent with our interpretation.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In January 2004, AdvaMed, the principal United States trade association for the medical device industry, put in place a model “code of conduct” that sets forth standards by which its members should abide in the promotion of their products. AdvaMed issued a revised “code of conduct” effective July 1, 2009. We have in place policies and procedures for compliance that we believe are at least as stringent as those set forth in the revised AdvaMed Code, and we provide routine training to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recent federal legislation and state legislation would require detailed disclosure of gifts and other remuneration made to health 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We have in place policies to govern how we may retain healthcare professionals as consultants that reflect the current climate on this issue and provide training on these policies. Finally,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October 2008, our Board of Directors adopted a new program that authorizes us to repurchase shares of our common stock for an aggregate purchase price not to exceed $75.0 million through December 31, 2010. Shares may be repurchased either in the open market or in privately negotiated transactions.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such repurchases of our common stock during the quarter ended March 31, 2010 under this program.</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90"/>
              </w:rPr>
              <w:t>*31.1</w:t>
            </w:r>
          </w:p>
        </w:tc>
        <w:tc>
          <w:tcPr>
            <w:tcW w:w="7760" w:type="dxa"/>
            <w:vAlign w:val="bottom"/>
          </w:tcPr>
          <w:p>
            <w:pPr>
              <w:ind w:left="320"/>
              <w:spacing w:after="0"/>
              <w:rPr>
                <w:sz w:val="20"/>
                <w:szCs w:val="20"/>
                <w:color w:val="auto"/>
              </w:rPr>
            </w:pPr>
            <w:r>
              <w:rPr>
                <w:rFonts w:ascii="Arial" w:cs="Arial" w:eastAsia="Arial" w:hAnsi="Arial"/>
                <w:sz w:val="18"/>
                <w:szCs w:val="18"/>
                <w:color w:val="auto"/>
                <w:w w:val="91"/>
              </w:rPr>
              <w:t>Certification of Principal Executive Officer Pursuant to Section 302 of the Sarbanes-Oxley Act of 2002</w:t>
            </w:r>
          </w:p>
        </w:tc>
      </w:tr>
      <w:tr>
        <w:trPr>
          <w:trHeight w:val="432"/>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90"/>
              </w:rPr>
              <w:t>*31.2</w:t>
            </w:r>
          </w:p>
        </w:tc>
        <w:tc>
          <w:tcPr>
            <w:tcW w:w="7760" w:type="dxa"/>
            <w:vAlign w:val="bottom"/>
          </w:tcPr>
          <w:p>
            <w:pPr>
              <w:ind w:left="32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432"/>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90"/>
              </w:rPr>
              <w:t>*32.1</w:t>
            </w:r>
          </w:p>
        </w:tc>
        <w:tc>
          <w:tcPr>
            <w:tcW w:w="7760" w:type="dxa"/>
            <w:vAlign w:val="bottom"/>
          </w:tcPr>
          <w:p>
            <w:pPr>
              <w:ind w:left="320"/>
              <w:spacing w:after="0"/>
              <w:rPr>
                <w:sz w:val="20"/>
                <w:szCs w:val="20"/>
                <w:color w:val="auto"/>
              </w:rPr>
            </w:pPr>
            <w:r>
              <w:rPr>
                <w:rFonts w:ascii="Arial" w:cs="Arial" w:eastAsia="Arial" w:hAnsi="Arial"/>
                <w:sz w:val="18"/>
                <w:szCs w:val="18"/>
                <w:color w:val="auto"/>
                <w:w w:val="91"/>
              </w:rPr>
              <w:t>Certification of Principal Executive Officer Pursuant to Section 906 of the Sarbanes-Oxley Act of 2002</w:t>
            </w:r>
          </w:p>
        </w:tc>
      </w:tr>
      <w:tr>
        <w:trPr>
          <w:trHeight w:val="432"/>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90"/>
              </w:rPr>
              <w:t>*32.2</w:t>
            </w:r>
          </w:p>
        </w:tc>
        <w:tc>
          <w:tcPr>
            <w:tcW w:w="7760" w:type="dxa"/>
            <w:vAlign w:val="bottom"/>
          </w:tcPr>
          <w:p>
            <w:pPr>
              <w:ind w:left="32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188595</wp:posOffset>
            </wp:positionV>
            <wp:extent cx="1063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98"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32"/>
        </w:trPr>
        <w:tc>
          <w:tcPr>
            <w:tcW w:w="4240" w:type="dxa"/>
            <w:vAlign w:val="bottom"/>
          </w:tcPr>
          <w:p>
            <w:pPr>
              <w:ind w:left="340"/>
              <w:spacing w:after="0"/>
              <w:rPr>
                <w:sz w:val="20"/>
                <w:szCs w:val="20"/>
                <w:color w:val="auto"/>
              </w:rPr>
            </w:pPr>
            <w:r>
              <w:rPr>
                <w:rFonts w:ascii="Arial" w:cs="Arial" w:eastAsia="Arial" w:hAnsi="Arial"/>
                <w:sz w:val="18"/>
                <w:szCs w:val="18"/>
                <w:color w:val="auto"/>
              </w:rPr>
              <w:t>Date: May 3, 2010</w:t>
            </w:r>
          </w:p>
        </w:tc>
        <w:tc>
          <w:tcPr>
            <w:tcW w:w="7180" w:type="dxa"/>
            <w:vAlign w:val="bottom"/>
            <w:gridSpan w:val="2"/>
          </w:tcPr>
          <w:p>
            <w:pPr>
              <w:spacing w:after="0"/>
              <w:rPr>
                <w:sz w:val="20"/>
                <w:szCs w:val="20"/>
                <w:color w:val="auto"/>
              </w:rPr>
            </w:pPr>
            <w:r>
              <w:rPr>
                <w:rFonts w:ascii="Arial" w:cs="Arial" w:eastAsia="Arial" w:hAnsi="Arial"/>
                <w:sz w:val="18"/>
                <w:szCs w:val="18"/>
                <w:i w:val="1"/>
                <w:iCs w:val="1"/>
                <w:color w:val="auto"/>
              </w:rPr>
              <w:t>/s/ Stuart M. Essig</w:t>
            </w:r>
          </w:p>
        </w:tc>
      </w:tr>
      <w:tr>
        <w:trPr>
          <w:trHeight w:val="195"/>
        </w:trPr>
        <w:tc>
          <w:tcPr>
            <w:tcW w:w="424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Stuart M. Essig</w:t>
            </w:r>
          </w:p>
        </w:tc>
        <w:tc>
          <w:tcPr>
            <w:tcW w:w="2560" w:type="dxa"/>
            <w:vAlign w:val="bottom"/>
          </w:tcPr>
          <w:p>
            <w:pPr>
              <w:spacing w:after="0"/>
              <w:rPr>
                <w:sz w:val="16"/>
                <w:szCs w:val="16"/>
                <w:color w:val="auto"/>
              </w:rPr>
            </w:pPr>
          </w:p>
        </w:tc>
      </w:tr>
      <w:tr>
        <w:trPr>
          <w:trHeight w:val="230"/>
        </w:trPr>
        <w:tc>
          <w:tcPr>
            <w:tcW w:w="424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4240" w:type="dxa"/>
            <w:vAlign w:val="bottom"/>
          </w:tcPr>
          <w:p>
            <w:pPr>
              <w:ind w:left="340"/>
              <w:spacing w:after="0"/>
              <w:rPr>
                <w:sz w:val="20"/>
                <w:szCs w:val="20"/>
                <w:color w:val="auto"/>
              </w:rPr>
            </w:pPr>
            <w:r>
              <w:rPr>
                <w:rFonts w:ascii="Arial" w:cs="Arial" w:eastAsia="Arial" w:hAnsi="Arial"/>
                <w:sz w:val="18"/>
                <w:szCs w:val="18"/>
                <w:color w:val="auto"/>
              </w:rPr>
              <w:t>Date: May 3, 2010</w:t>
            </w:r>
          </w:p>
        </w:tc>
        <w:tc>
          <w:tcPr>
            <w:tcW w:w="7180" w:type="dxa"/>
            <w:vAlign w:val="bottom"/>
            <w:gridSpan w:val="2"/>
          </w:tcPr>
          <w:p>
            <w:pPr>
              <w:spacing w:after="0"/>
              <w:rPr>
                <w:sz w:val="20"/>
                <w:szCs w:val="20"/>
                <w:color w:val="auto"/>
              </w:rPr>
            </w:pPr>
            <w:r>
              <w:rPr>
                <w:rFonts w:ascii="Arial" w:cs="Arial" w:eastAsia="Arial" w:hAnsi="Arial"/>
                <w:sz w:val="18"/>
                <w:szCs w:val="18"/>
                <w:i w:val="1"/>
                <w:iCs w:val="1"/>
                <w:color w:val="auto"/>
              </w:rPr>
              <w:t>/s/ John B. Henneman, III</w:t>
            </w:r>
          </w:p>
        </w:tc>
      </w:tr>
      <w:tr>
        <w:trPr>
          <w:trHeight w:val="195"/>
        </w:trPr>
        <w:tc>
          <w:tcPr>
            <w:tcW w:w="424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John B. Henneman, III</w:t>
            </w:r>
          </w:p>
        </w:tc>
        <w:tc>
          <w:tcPr>
            <w:tcW w:w="256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Finance and Administration, and</w:t>
            </w:r>
          </w:p>
        </w:tc>
      </w:tr>
      <w:tr>
        <w:trPr>
          <w:trHeight w:val="230"/>
        </w:trPr>
        <w:tc>
          <w:tcPr>
            <w:tcW w:w="424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783"/>
        </w:trPr>
        <w:tc>
          <w:tcPr>
            <w:tcW w:w="4240" w:type="dxa"/>
            <w:vAlign w:val="bottom"/>
          </w:tcPr>
          <w:p>
            <w:pPr>
              <w:spacing w:after="0"/>
              <w:rPr>
                <w:sz w:val="24"/>
                <w:szCs w:val="24"/>
                <w:color w:val="auto"/>
              </w:rPr>
            </w:pPr>
          </w:p>
        </w:tc>
        <w:tc>
          <w:tcPr>
            <w:tcW w:w="4620" w:type="dxa"/>
            <w:vAlign w:val="bottom"/>
          </w:tcPr>
          <w:p>
            <w:pPr>
              <w:ind w:left="660"/>
              <w:spacing w:after="0"/>
              <w:rPr>
                <w:sz w:val="20"/>
                <w:szCs w:val="20"/>
                <w:color w:val="auto"/>
              </w:rPr>
            </w:pPr>
            <w:r>
              <w:rPr>
                <w:rFonts w:ascii="Arial" w:cs="Arial" w:eastAsia="Arial" w:hAnsi="Arial"/>
                <w:sz w:val="18"/>
                <w:szCs w:val="18"/>
                <w:color w:val="auto"/>
              </w:rPr>
              <w:t>22</w:t>
            </w:r>
          </w:p>
        </w:tc>
        <w:tc>
          <w:tcPr>
            <w:tcW w:w="2560" w:type="dxa"/>
            <w:vAlign w:val="bottom"/>
          </w:tcPr>
          <w:p>
            <w:pPr>
              <w:spacing w:after="0"/>
              <w:rPr>
                <w:sz w:val="24"/>
                <w:szCs w:val="24"/>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40" w:type="dxa"/>
            <w:vAlign w:val="bottom"/>
          </w:tcPr>
          <w:p>
            <w:pPr>
              <w:spacing w:after="0"/>
              <w:rPr>
                <w:sz w:val="17"/>
                <w:szCs w:val="17"/>
                <w:color w:val="auto"/>
              </w:rPr>
            </w:pPr>
          </w:p>
        </w:tc>
        <w:tc>
          <w:tcPr>
            <w:tcW w:w="7580" w:type="dxa"/>
            <w:vAlign w:val="bottom"/>
          </w:tcPr>
          <w:p>
            <w:pPr>
              <w:spacing w:after="0"/>
              <w:rPr>
                <w:sz w:val="17"/>
                <w:szCs w:val="17"/>
                <w:color w:val="auto"/>
              </w:rPr>
            </w:pPr>
          </w:p>
        </w:tc>
      </w:tr>
      <w:tr>
        <w:trPr>
          <w:trHeight w:val="534"/>
        </w:trPr>
        <w:tc>
          <w:tcPr>
            <w:tcW w:w="150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Exhibits</w:t>
            </w:r>
          </w:p>
        </w:tc>
        <w:tc>
          <w:tcPr>
            <w:tcW w:w="7580" w:type="dxa"/>
            <w:vAlign w:val="bottom"/>
          </w:tcPr>
          <w:p>
            <w:pPr>
              <w:spacing w:after="0"/>
              <w:rPr>
                <w:sz w:val="24"/>
                <w:szCs w:val="24"/>
                <w:color w:val="auto"/>
              </w:rPr>
            </w:pPr>
          </w:p>
        </w:tc>
      </w:tr>
      <w:tr>
        <w:trPr>
          <w:trHeight w:val="432"/>
        </w:trPr>
        <w:tc>
          <w:tcPr>
            <w:tcW w:w="136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302 of the Sarbanes-Oxley Act of 2002</w:t>
            </w:r>
          </w:p>
        </w:tc>
      </w:tr>
      <w:tr>
        <w:trPr>
          <w:trHeight w:val="432"/>
        </w:trPr>
        <w:tc>
          <w:tcPr>
            <w:tcW w:w="1360" w:type="dxa"/>
            <w:vAlign w:val="bottom"/>
          </w:tcPr>
          <w:p>
            <w:pPr>
              <w:jc w:val="right"/>
              <w:ind w:right="27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432"/>
        </w:trPr>
        <w:tc>
          <w:tcPr>
            <w:tcW w:w="1360" w:type="dxa"/>
            <w:vAlign w:val="bottom"/>
          </w:tcPr>
          <w:p>
            <w:pPr>
              <w:jc w:val="right"/>
              <w:ind w:right="27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906 of the Sarbanes-Oxley Act of 2002</w:t>
            </w:r>
          </w:p>
        </w:tc>
      </w:tr>
      <w:tr>
        <w:trPr>
          <w:trHeight w:val="432"/>
        </w:trPr>
        <w:tc>
          <w:tcPr>
            <w:tcW w:w="136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05" w:right="1440" w:bottom="1440" w:gutter="0" w:footer="0" w:header="0"/>
        </w:sectPr>
      </w:pPr>
    </w:p>
    <w:bookmarkStart w:id="26" w:name="page27"/>
    <w:bookmarkEnd w:id="26"/>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48" w:hanging="348"/>
        <w:spacing w:after="0"/>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3,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21" w:right="1440" w:bottom="1440" w:gutter="0" w:footer="0" w:header="0"/>
        </w:sectPr>
      </w:pPr>
    </w:p>
    <w:bookmarkStart w:id="27" w:name="page28"/>
    <w:bookmarkEnd w:id="27"/>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48" w:hanging="348"/>
        <w:spacing w:after="0"/>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3,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Executive Vice President,</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Finance and Administration,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9887"/>
          </w:cols>
          <w:pgMar w:left="572" w:top="121" w:right="1440" w:bottom="1440" w:gutter="0" w:footer="0" w:header="0"/>
        </w:sectPr>
      </w:pPr>
    </w:p>
    <w:bookmarkStart w:id="28" w:name="page29"/>
    <w:bookmarkEnd w:id="28"/>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2010 (the “Report”) fully complies with the requirement of Section 13(a) or Section 15(d), as applicable, of the Securities Exchange Act of 1934, as amended; and</w:t>
      </w:r>
    </w:p>
    <w:p>
      <w:pPr>
        <w:spacing w:after="0" w:line="140"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3,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21" w:right="1440" w:bottom="1440" w:gutter="0" w:footer="0" w:header="0"/>
        </w:sectPr>
      </w:pPr>
    </w:p>
    <w:bookmarkStart w:id="29" w:name="page30"/>
    <w:bookmarkEnd w:id="29"/>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2010 (the “Report”) fully complies with the requirement of Section 13(a) or Section 15(d), as applicable, of the Securities Exchange Act of 1934, as amended; and</w:t>
      </w:r>
    </w:p>
    <w:p>
      <w:pPr>
        <w:spacing w:after="0" w:line="140"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3,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Finance and Administration,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2019-12-10T12:09:59Z</dcterms:created>
  <dcterms:modified xsi:type="dcterms:W3CDTF">2019-12-10T12:09:59Z</dcterms:modified>
</cp:coreProperties>
</file>