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12, 2023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4"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0-26224</w:t>
            </w:r>
          </w:p>
        </w:tc>
        <w:tc>
          <w:tcPr>
            <w:tcW w:w="22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51-0317849</w:t>
            </w:r>
          </w:p>
        </w:tc>
      </w:tr>
      <w:tr>
        <w:trPr>
          <w:trHeight w:val="189"/>
        </w:trPr>
        <w:tc>
          <w:tcPr>
            <w:tcW w:w="32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(State or Other Jurisdiction of Incorporation</w:t>
            </w:r>
          </w:p>
        </w:tc>
        <w:tc>
          <w:tcPr>
            <w:tcW w:w="2260" w:type="dxa"/>
            <w:vAlign w:val="bottom"/>
          </w:tcPr>
          <w:p>
            <w:pPr>
              <w:jc w:val="center"/>
              <w:spacing w:after="0" w:line="189" w:lineRule="exact"/>
              <w:rPr>
                <w:sz w:val="20"/>
                <w:szCs w:val="20"/>
                <w:color w:val="auto"/>
              </w:rPr>
            </w:pPr>
            <w:r>
              <w:rPr>
                <w:rFonts w:ascii="Arial" w:cs="Arial" w:eastAsia="Arial" w:hAnsi="Arial"/>
                <w:sz w:val="18"/>
                <w:szCs w:val="18"/>
                <w:color w:val="auto"/>
                <w:w w:val="93"/>
              </w:rPr>
              <w:t>(Commission File Number)</w:t>
            </w:r>
          </w:p>
        </w:tc>
        <w:tc>
          <w:tcPr>
            <w:tcW w:w="2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5"/>
              </w:rPr>
              <w:t>(IRS Employer Identification</w:t>
            </w:r>
          </w:p>
        </w:tc>
      </w:tr>
      <w:tr>
        <w:trPr>
          <w:trHeight w:val="230"/>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92"/>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93"/>
              </w:rPr>
              <w:t>No.)</w:t>
            </w:r>
          </w:p>
        </w:tc>
      </w:tr>
    </w:tbl>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275-0500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Section12(b) of the Act:</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90"/>
        </w:trPr>
        <w:tc>
          <w:tcPr>
            <w:tcW w:w="1380" w:type="dxa"/>
            <w:vAlign w:val="bottom"/>
          </w:tcPr>
          <w:p>
            <w:pPr>
              <w:spacing w:after="0"/>
              <w:rPr>
                <w:sz w:val="24"/>
                <w:szCs w:val="24"/>
                <w:color w:val="auto"/>
              </w:rPr>
            </w:pPr>
          </w:p>
        </w:tc>
        <w:tc>
          <w:tcPr>
            <w:tcW w:w="3680" w:type="dxa"/>
            <w:vAlign w:val="bottom"/>
            <w:gridSpan w:val="2"/>
          </w:tcPr>
          <w:p>
            <w:pPr>
              <w:jc w:val="center"/>
              <w:ind w:right="2380"/>
              <w:spacing w:after="0"/>
              <w:rPr>
                <w:sz w:val="20"/>
                <w:szCs w:val="20"/>
                <w:color w:val="auto"/>
              </w:rPr>
            </w:pPr>
            <w:r>
              <w:rPr>
                <w:rFonts w:ascii="Arial" w:cs="Arial" w:eastAsia="Arial" w:hAnsi="Arial"/>
                <w:sz w:val="16"/>
                <w:szCs w:val="16"/>
                <w:b w:val="1"/>
                <w:bCs w:val="1"/>
                <w:color w:val="auto"/>
                <w:w w:val="91"/>
              </w:rPr>
              <w:t>Title of Each Class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164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506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$.01 Per Share</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64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86" w:lineRule="exact"/>
        <w:rPr>
          <w:sz w:val="24"/>
          <w:szCs w:val="24"/>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color w:val="auto"/>
        </w:rPr>
        <w:t>The 2023 annual meeting of stockholders (the “Annual Meeting”) of Integra LifeSciences Holdings Corporation (the “Company”) was held on May 12, 2023. The final results of the matters submitted to a vote of stockholders at the Annual Meeting are as follows:</w:t>
      </w:r>
    </w:p>
    <w:p>
      <w:pPr>
        <w:spacing w:after="0" w:line="198"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Item No. 1: All of the nominees for director of the Board of Directors (the “Board”) of the Company were elected to serve until the Company’s 2024 annual meeting of stockholders or until their respective successors are elected and qualified, by the votes set forth below.</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w w:val="88"/>
              </w:rPr>
              <w:t>Nominees</w:t>
            </w: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88"/>
              </w:rPr>
              <w:t>For</w:t>
            </w:r>
          </w:p>
        </w:tc>
        <w:tc>
          <w:tcPr>
            <w:tcW w:w="1140" w:type="dxa"/>
            <w:vAlign w:val="bottom"/>
          </w:tcPr>
          <w:p>
            <w:pPr>
              <w:spacing w:after="0"/>
              <w:rPr>
                <w:sz w:val="17"/>
                <w:szCs w:val="17"/>
                <w:color w:val="auto"/>
              </w:rPr>
            </w:pP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Against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89"/>
              </w:rPr>
              <w:t>Abstain</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w w:val="90"/>
              </w:rPr>
              <w:t>Broker Non-Vote</w:t>
            </w:r>
          </w:p>
        </w:tc>
      </w:tr>
      <w:tr>
        <w:trPr>
          <w:trHeight w:val="20"/>
        </w:trPr>
        <w:tc>
          <w:tcPr>
            <w:tcW w:w="7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224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74,622,029</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2,199,092</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56,101</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Shaundra Clay</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76,404,281</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419,511</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53,430</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6"/>
        </w:trPr>
        <w:tc>
          <w:tcPr>
            <w:tcW w:w="2240" w:type="dxa"/>
            <w:vAlign w:val="bottom"/>
            <w:gridSpan w:val="2"/>
          </w:tcPr>
          <w:p>
            <w:pPr>
              <w:spacing w:after="0"/>
              <w:rPr>
                <w:sz w:val="20"/>
                <w:szCs w:val="20"/>
                <w:color w:val="auto"/>
              </w:rPr>
            </w:pPr>
            <w:r>
              <w:rPr>
                <w:rFonts w:ascii="Arial" w:cs="Arial" w:eastAsia="Arial" w:hAnsi="Arial"/>
                <w:sz w:val="18"/>
                <w:szCs w:val="18"/>
                <w:color w:val="auto"/>
              </w:rPr>
              <w:t>Jan De Witte</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75,717,792</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1,103,473</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55,957</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Stuart M. Essig</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75,127,004</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1,704,299</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45,919</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70,176,495</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6,647,412</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53,315</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Renee W. Lo</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76,338,362</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483,275</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55,585</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74,629,418</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2,190,749</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57,055</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2080" w:type="dxa"/>
            <w:vAlign w:val="bottom"/>
            <w:gridSpan w:val="3"/>
          </w:tcPr>
          <w:p>
            <w:pPr>
              <w:ind w:left="680"/>
              <w:spacing w:after="0"/>
              <w:rPr>
                <w:sz w:val="20"/>
                <w:szCs w:val="20"/>
                <w:color w:val="auto"/>
              </w:rPr>
            </w:pPr>
            <w:r>
              <w:rPr>
                <w:rFonts w:ascii="Arial" w:cs="Arial" w:eastAsia="Arial" w:hAnsi="Arial"/>
                <w:sz w:val="18"/>
                <w:szCs w:val="18"/>
                <w:color w:val="auto"/>
              </w:rPr>
              <w:t>75,358,826</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rPr>
              <w:t>1,460,930</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w w:val="98"/>
              </w:rPr>
              <w:t>57,466</w:t>
            </w: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2,250,376</w:t>
            </w:r>
          </w:p>
        </w:tc>
      </w:tr>
    </w:tbl>
    <w:p>
      <w:pPr>
        <w:spacing w:after="0" w:line="3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Item No. 2: The stockholders ratified the appointment of PricewaterhouseCoopers LLP as the Company’s independent registered public accounting firm for the 2023 fiscal year, by the votes set forth below.</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For</w:t>
            </w: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Against</w:t>
            </w:r>
          </w:p>
        </w:tc>
        <w:tc>
          <w:tcPr>
            <w:tcW w:w="14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Abstain</w:t>
            </w:r>
          </w:p>
        </w:tc>
        <w:tc>
          <w:tcPr>
            <w:tcW w:w="1260" w:type="dxa"/>
            <w:vAlign w:val="bottom"/>
          </w:tcPr>
          <w:p>
            <w:pPr>
              <w:spacing w:after="0"/>
              <w:rPr>
                <w:sz w:val="17"/>
                <w:szCs w:val="17"/>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Broker Non-Vote</w:t>
            </w:r>
          </w:p>
        </w:tc>
      </w:tr>
      <w:tr>
        <w:trPr>
          <w:trHeight w:val="277"/>
        </w:trPr>
        <w:tc>
          <w:tcPr>
            <w:tcW w:w="1440" w:type="dxa"/>
            <w:vAlign w:val="bottom"/>
            <w:gridSpan w:val="2"/>
          </w:tcPr>
          <w:p>
            <w:pPr>
              <w:spacing w:after="0"/>
              <w:rPr>
                <w:sz w:val="20"/>
                <w:szCs w:val="20"/>
                <w:color w:val="auto"/>
              </w:rPr>
            </w:pPr>
            <w:r>
              <w:rPr>
                <w:rFonts w:ascii="Arial" w:cs="Arial" w:eastAsia="Arial" w:hAnsi="Arial"/>
                <w:sz w:val="18"/>
                <w:szCs w:val="18"/>
                <w:color w:val="auto"/>
              </w:rPr>
              <w:t>78,368,495</w:t>
            </w:r>
          </w:p>
        </w:tc>
        <w:tc>
          <w:tcPr>
            <w:tcW w:w="2640" w:type="dxa"/>
            <w:vAlign w:val="bottom"/>
            <w:gridSpan w:val="3"/>
          </w:tcPr>
          <w:p>
            <w:pPr>
              <w:ind w:left="640"/>
              <w:spacing w:after="0"/>
              <w:rPr>
                <w:sz w:val="20"/>
                <w:szCs w:val="20"/>
                <w:color w:val="auto"/>
              </w:rPr>
            </w:pPr>
            <w:r>
              <w:rPr>
                <w:rFonts w:ascii="Arial" w:cs="Arial" w:eastAsia="Arial" w:hAnsi="Arial"/>
                <w:sz w:val="18"/>
                <w:szCs w:val="18"/>
                <w:color w:val="auto"/>
              </w:rPr>
              <w:t>722,305</w:t>
            </w:r>
          </w:p>
        </w:tc>
        <w:tc>
          <w:tcPr>
            <w:tcW w:w="560" w:type="dxa"/>
            <w:vAlign w:val="bottom"/>
          </w:tcPr>
          <w:p>
            <w:pPr>
              <w:spacing w:after="0"/>
              <w:rPr>
                <w:sz w:val="20"/>
                <w:szCs w:val="20"/>
                <w:color w:val="auto"/>
              </w:rPr>
            </w:pPr>
            <w:r>
              <w:rPr>
                <w:rFonts w:ascii="Arial" w:cs="Arial" w:eastAsia="Arial" w:hAnsi="Arial"/>
                <w:sz w:val="18"/>
                <w:szCs w:val="18"/>
                <w:color w:val="auto"/>
                <w:w w:val="98"/>
              </w:rPr>
              <w:t>36,798</w:t>
            </w:r>
          </w:p>
        </w:tc>
        <w:tc>
          <w:tcPr>
            <w:tcW w:w="2500" w:type="dxa"/>
            <w:vAlign w:val="bottom"/>
            <w:gridSpan w:val="2"/>
          </w:tcPr>
          <w:p>
            <w:pPr>
              <w:ind w:left="1260"/>
              <w:spacing w:after="0"/>
              <w:rPr>
                <w:sz w:val="20"/>
                <w:szCs w:val="20"/>
                <w:color w:val="auto"/>
              </w:rPr>
            </w:pPr>
            <w:r>
              <w:rPr>
                <w:rFonts w:ascii="Arial" w:cs="Arial" w:eastAsia="Arial" w:hAnsi="Arial"/>
                <w:sz w:val="18"/>
                <w:szCs w:val="18"/>
                <w:color w:val="auto"/>
              </w:rPr>
              <w:t>0</w:t>
            </w:r>
          </w:p>
        </w:tc>
      </w:tr>
    </w:tbl>
    <w:p>
      <w:pPr>
        <w:spacing w:after="0" w:line="3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Item No. 3: The stockholders approved, on an advisory, non-binding basis, the compensation of the Company’s named executive officers, by the votes set forth below.</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88"/>
              </w:rPr>
              <w:t>For</w:t>
            </w:r>
          </w:p>
        </w:tc>
        <w:tc>
          <w:tcPr>
            <w:tcW w:w="1280" w:type="dxa"/>
            <w:vAlign w:val="bottom"/>
          </w:tcPr>
          <w:p>
            <w:pPr>
              <w:spacing w:after="0"/>
              <w:rPr>
                <w:sz w:val="18"/>
                <w:szCs w:val="18"/>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color w:val="auto"/>
              </w:rPr>
              <w:t>Against</w:t>
            </w:r>
          </w:p>
        </w:tc>
        <w:tc>
          <w:tcPr>
            <w:tcW w:w="560" w:type="dxa"/>
            <w:vAlign w:val="bottom"/>
          </w:tcPr>
          <w:p>
            <w:pPr>
              <w:spacing w:after="0"/>
              <w:rPr>
                <w:sz w:val="20"/>
                <w:szCs w:val="20"/>
                <w:color w:val="auto"/>
              </w:rPr>
            </w:pPr>
            <w:r>
              <w:rPr>
                <w:rFonts w:ascii="Arial" w:cs="Arial" w:eastAsia="Arial" w:hAnsi="Arial"/>
                <w:sz w:val="18"/>
                <w:szCs w:val="18"/>
                <w:color w:val="auto"/>
                <w:w w:val="89"/>
              </w:rPr>
              <w:t>Abstain</w:t>
            </w:r>
          </w:p>
        </w:tc>
        <w:tc>
          <w:tcPr>
            <w:tcW w:w="2620" w:type="dxa"/>
            <w:vAlign w:val="bottom"/>
            <w:gridSpan w:val="2"/>
          </w:tcPr>
          <w:p>
            <w:pPr>
              <w:ind w:left="1380"/>
              <w:spacing w:after="0"/>
              <w:rPr>
                <w:sz w:val="20"/>
                <w:szCs w:val="20"/>
                <w:color w:val="auto"/>
              </w:rPr>
            </w:pPr>
            <w:r>
              <w:rPr>
                <w:rFonts w:ascii="Arial" w:cs="Arial" w:eastAsia="Arial" w:hAnsi="Arial"/>
                <w:sz w:val="18"/>
                <w:szCs w:val="18"/>
                <w:color w:val="auto"/>
                <w:w w:val="90"/>
              </w:rPr>
              <w:t>Broker Non-Vote</w:t>
            </w:r>
          </w:p>
        </w:tc>
      </w:tr>
      <w:tr>
        <w:trPr>
          <w:trHeight w:val="20"/>
        </w:trPr>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77"/>
        </w:trPr>
        <w:tc>
          <w:tcPr>
            <w:tcW w:w="1540" w:type="dxa"/>
            <w:vAlign w:val="bottom"/>
            <w:gridSpan w:val="2"/>
          </w:tcPr>
          <w:p>
            <w:pPr>
              <w:spacing w:after="0"/>
              <w:rPr>
                <w:sz w:val="20"/>
                <w:szCs w:val="20"/>
                <w:color w:val="auto"/>
              </w:rPr>
            </w:pPr>
            <w:r>
              <w:rPr>
                <w:rFonts w:ascii="Arial" w:cs="Arial" w:eastAsia="Arial" w:hAnsi="Arial"/>
                <w:sz w:val="18"/>
                <w:szCs w:val="18"/>
                <w:color w:val="auto"/>
              </w:rPr>
              <w:t>73,644,075</w:t>
            </w:r>
          </w:p>
        </w:tc>
        <w:tc>
          <w:tcPr>
            <w:tcW w:w="2640" w:type="dxa"/>
            <w:vAlign w:val="bottom"/>
            <w:gridSpan w:val="3"/>
          </w:tcPr>
          <w:p>
            <w:pPr>
              <w:ind w:left="720"/>
              <w:spacing w:after="0"/>
              <w:rPr>
                <w:sz w:val="20"/>
                <w:szCs w:val="20"/>
                <w:color w:val="auto"/>
              </w:rPr>
            </w:pPr>
            <w:r>
              <w:rPr>
                <w:rFonts w:ascii="Arial" w:cs="Arial" w:eastAsia="Arial" w:hAnsi="Arial"/>
                <w:sz w:val="18"/>
                <w:szCs w:val="18"/>
                <w:color w:val="auto"/>
              </w:rPr>
              <w:t>3,183,998</w:t>
            </w:r>
          </w:p>
        </w:tc>
        <w:tc>
          <w:tcPr>
            <w:tcW w:w="560" w:type="dxa"/>
            <w:vAlign w:val="bottom"/>
          </w:tcPr>
          <w:p>
            <w:pPr>
              <w:spacing w:after="0"/>
              <w:rPr>
                <w:sz w:val="20"/>
                <w:szCs w:val="20"/>
                <w:color w:val="auto"/>
              </w:rPr>
            </w:pPr>
            <w:r>
              <w:rPr>
                <w:rFonts w:ascii="Arial" w:cs="Arial" w:eastAsia="Arial" w:hAnsi="Arial"/>
                <w:sz w:val="18"/>
                <w:szCs w:val="18"/>
                <w:color w:val="auto"/>
                <w:w w:val="98"/>
              </w:rPr>
              <w:t>49,149</w:t>
            </w:r>
          </w:p>
        </w:tc>
        <w:tc>
          <w:tcPr>
            <w:tcW w:w="2620" w:type="dxa"/>
            <w:vAlign w:val="bottom"/>
            <w:gridSpan w:val="2"/>
          </w:tcPr>
          <w:p>
            <w:pPr>
              <w:ind w:left="1380"/>
              <w:spacing w:after="0"/>
              <w:rPr>
                <w:sz w:val="20"/>
                <w:szCs w:val="20"/>
                <w:color w:val="auto"/>
              </w:rPr>
            </w:pPr>
            <w:r>
              <w:rPr>
                <w:rFonts w:ascii="Arial" w:cs="Arial" w:eastAsia="Arial" w:hAnsi="Arial"/>
                <w:sz w:val="16"/>
                <w:szCs w:val="16"/>
                <w:color w:val="auto"/>
              </w:rPr>
              <w:t>2,250,376</w:t>
            </w:r>
          </w:p>
        </w:tc>
      </w:tr>
    </w:tbl>
    <w:p>
      <w:pPr>
        <w:spacing w:after="0" w:line="33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Item No. 4: The stockholders voted, on an advisory basis, on how frequently future advisory votes on the compensation of the Company’s named executive officers should be held as set forth in the table below.</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520" w:type="dxa"/>
            <w:vAlign w:val="bottom"/>
            <w:gridSpan w:val="2"/>
          </w:tcPr>
          <w:p>
            <w:pPr>
              <w:spacing w:after="0"/>
              <w:rPr>
                <w:sz w:val="20"/>
                <w:szCs w:val="20"/>
                <w:color w:val="auto"/>
              </w:rPr>
            </w:pPr>
            <w:r>
              <w:rPr>
                <w:rFonts w:ascii="Arial" w:cs="Arial" w:eastAsia="Arial" w:hAnsi="Arial"/>
                <w:sz w:val="18"/>
                <w:szCs w:val="18"/>
                <w:color w:val="auto"/>
              </w:rPr>
              <w:t>1 Year</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w w:val="83"/>
              </w:rPr>
              <w:t>2 Years</w:t>
            </w:r>
          </w:p>
        </w:tc>
        <w:tc>
          <w:tcPr>
            <w:tcW w:w="168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w w:val="89"/>
              </w:rPr>
              <w:t>Abstain</w:t>
            </w:r>
          </w:p>
        </w:tc>
        <w:tc>
          <w:tcPr>
            <w:tcW w:w="16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Broker Non-Vote</w:t>
            </w:r>
          </w:p>
        </w:tc>
      </w:tr>
      <w:tr>
        <w:trPr>
          <w:trHeight w:val="20"/>
        </w:trPr>
        <w:tc>
          <w:tcPr>
            <w:tcW w:w="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0"/>
        </w:trPr>
        <w:tc>
          <w:tcPr>
            <w:tcW w:w="1520" w:type="dxa"/>
            <w:vAlign w:val="bottom"/>
            <w:gridSpan w:val="2"/>
          </w:tcPr>
          <w:p>
            <w:pPr>
              <w:spacing w:after="0"/>
              <w:rPr>
                <w:sz w:val="20"/>
                <w:szCs w:val="20"/>
                <w:color w:val="auto"/>
              </w:rPr>
            </w:pPr>
            <w:r>
              <w:rPr>
                <w:rFonts w:ascii="Arial" w:cs="Arial" w:eastAsia="Arial" w:hAnsi="Arial"/>
                <w:sz w:val="18"/>
                <w:szCs w:val="18"/>
                <w:color w:val="auto"/>
              </w:rPr>
              <w:t>75,886,421</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3,291</w:t>
            </w:r>
          </w:p>
        </w:tc>
        <w:tc>
          <w:tcPr>
            <w:tcW w:w="3100" w:type="dxa"/>
            <w:vAlign w:val="bottom"/>
            <w:gridSpan w:val="3"/>
          </w:tcPr>
          <w:p>
            <w:pPr>
              <w:ind w:left="1680"/>
              <w:spacing w:after="0"/>
              <w:rPr>
                <w:sz w:val="20"/>
                <w:szCs w:val="20"/>
                <w:color w:val="auto"/>
              </w:rPr>
            </w:pPr>
            <w:r>
              <w:rPr>
                <w:rFonts w:ascii="Arial" w:cs="Arial" w:eastAsia="Arial" w:hAnsi="Arial"/>
                <w:sz w:val="18"/>
                <w:szCs w:val="18"/>
                <w:color w:val="auto"/>
              </w:rPr>
              <w:t>955,372</w:t>
            </w:r>
          </w:p>
        </w:tc>
        <w:tc>
          <w:tcPr>
            <w:tcW w:w="1380" w:type="dxa"/>
            <w:vAlign w:val="bottom"/>
            <w:gridSpan w:val="2"/>
          </w:tcPr>
          <w:p>
            <w:pPr>
              <w:ind w:left="820"/>
              <w:spacing w:after="0"/>
              <w:rPr>
                <w:sz w:val="20"/>
                <w:szCs w:val="20"/>
                <w:color w:val="auto"/>
              </w:rPr>
            </w:pPr>
            <w:r>
              <w:rPr>
                <w:rFonts w:ascii="Arial" w:cs="Arial" w:eastAsia="Arial" w:hAnsi="Arial"/>
                <w:sz w:val="18"/>
                <w:szCs w:val="18"/>
                <w:color w:val="auto"/>
                <w:w w:val="98"/>
              </w:rPr>
              <w:t>32,138</w:t>
            </w:r>
          </w:p>
        </w:tc>
        <w:tc>
          <w:tcPr>
            <w:tcW w:w="2920" w:type="dxa"/>
            <w:vAlign w:val="bottom"/>
            <w:gridSpan w:val="2"/>
          </w:tcPr>
          <w:p>
            <w:pPr>
              <w:ind w:left="1680"/>
              <w:spacing w:after="0"/>
              <w:rPr>
                <w:sz w:val="20"/>
                <w:szCs w:val="20"/>
                <w:color w:val="auto"/>
              </w:rPr>
            </w:pPr>
            <w:r>
              <w:rPr>
                <w:rFonts w:ascii="Arial" w:cs="Arial" w:eastAsia="Arial" w:hAnsi="Arial"/>
                <w:sz w:val="18"/>
                <w:szCs w:val="18"/>
                <w:color w:val="auto"/>
              </w:rPr>
              <w:t>2,250,376</w:t>
            </w:r>
          </w:p>
        </w:tc>
      </w:tr>
    </w:tbl>
    <w:p>
      <w:pPr>
        <w:spacing w:after="0" w:line="31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light of these voting results and other factors considered by the Board, the Board has determined that the Company will include a stockholder vote on the compensation of the Company’s named executive officers in its proxy materials every year until the next required advisory vote on the frequency of stockholder votes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Company’s named executive officers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1190625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200" w:type="dxa"/>
            <w:vAlign w:val="bottom"/>
            <w:gridSpan w:val="3"/>
          </w:tcPr>
          <w:p>
            <w:pPr>
              <w:ind w:left="1860"/>
              <w:spacing w:after="0"/>
              <w:rPr>
                <w:sz w:val="20"/>
                <w:szCs w:val="20"/>
                <w:color w:val="auto"/>
              </w:rPr>
            </w:pPr>
            <w:r>
              <w:rPr>
                <w:rFonts w:ascii="Arial" w:cs="Arial" w:eastAsia="Arial" w:hAnsi="Arial"/>
                <w:sz w:val="18"/>
                <w:szCs w:val="18"/>
                <w:color w:val="auto"/>
                <w:w w:val="95"/>
              </w:rPr>
              <w:t>INTEGRA LIFESCIENCES HOLDINGS CORPORATION</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 May 16, 2023</w:t>
            </w:r>
          </w:p>
        </w:tc>
        <w:tc>
          <w:tcPr>
            <w:tcW w:w="2600" w:type="dxa"/>
            <w:vAlign w:val="bottom"/>
          </w:tcPr>
          <w:p>
            <w:pPr>
              <w:ind w:left="1860"/>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/s/ Eric I. Schwartz</w:t>
            </w:r>
          </w:p>
        </w:tc>
        <w:tc>
          <w:tcPr>
            <w:tcW w:w="2180" w:type="dxa"/>
            <w:vAlign w:val="bottom"/>
          </w:tcPr>
          <w:p>
            <w:pPr>
              <w:spacing w:after="0"/>
              <w:rPr>
                <w:sz w:val="24"/>
                <w:szCs w:val="24"/>
                <w:color w:val="auto"/>
              </w:rPr>
            </w:pPr>
          </w:p>
        </w:tc>
      </w:tr>
      <w:tr>
        <w:trPr>
          <w:trHeight w:val="250"/>
        </w:trPr>
        <w:tc>
          <w:tcPr>
            <w:tcW w:w="3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Eric I. Schwartz</w:t>
            </w:r>
          </w:p>
        </w:tc>
      </w:tr>
      <w:tr>
        <w:trPr>
          <w:trHeight w:val="242"/>
        </w:trPr>
        <w:tc>
          <w:tcPr>
            <w:tcW w:w="3280" w:type="dxa"/>
            <w:vAlign w:val="bottom"/>
          </w:tcPr>
          <w:p>
            <w:pPr>
              <w:spacing w:after="0"/>
              <w:rPr>
                <w:sz w:val="21"/>
                <w:szCs w:val="21"/>
                <w:color w:val="auto"/>
              </w:rPr>
            </w:pPr>
          </w:p>
        </w:tc>
        <w:tc>
          <w:tcPr>
            <w:tcW w:w="2600" w:type="dxa"/>
            <w:vAlign w:val="bottom"/>
          </w:tcPr>
          <w:p>
            <w:pPr>
              <w:ind w:left="1860"/>
              <w:spacing w:after="0"/>
              <w:rPr>
                <w:sz w:val="20"/>
                <w:szCs w:val="20"/>
                <w:color w:val="auto"/>
              </w:rPr>
            </w:pPr>
            <w:r>
              <w:rPr>
                <w:rFonts w:ascii="Arial" w:cs="Arial" w:eastAsia="Arial" w:hAnsi="Arial"/>
                <w:sz w:val="18"/>
                <w:szCs w:val="18"/>
                <w:color w:val="auto"/>
              </w:rPr>
              <w:t>Title:</w:t>
            </w: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Legal Officer and</w:t>
            </w:r>
          </w:p>
        </w:tc>
      </w:tr>
      <w:tr>
        <w:trPr>
          <w:trHeight w:val="230"/>
        </w:trPr>
        <w:tc>
          <w:tcPr>
            <w:tcW w:w="3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2023-05-16T15:54:13Z</dcterms:created>
  <dcterms:modified xsi:type="dcterms:W3CDTF">2023-05-16T15:54:13Z</dcterms:modified>
</cp:coreProperties>
</file>