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245" w:lineRule="exact"/>
        <w:rPr>
          <w:sz w:val="24"/>
          <w:szCs w:val="24"/>
          <w:color w:val="auto"/>
        </w:rPr>
      </w:pPr>
    </w:p>
    <w:p>
      <w:pPr>
        <w:jc w:val="center"/>
        <w:spacing w:after="0"/>
        <w:rPr>
          <w:sz w:val="20"/>
          <w:szCs w:val="20"/>
          <w:color w:val="auto"/>
        </w:rPr>
      </w:pPr>
      <w:r>
        <w:rPr>
          <w:rFonts w:ascii="Arial" w:cs="Arial" w:eastAsia="Arial" w:hAnsi="Arial"/>
          <w:sz w:val="24"/>
          <w:szCs w:val="24"/>
          <w:color w:val="auto"/>
        </w:rPr>
        <w:t>Washington, D.C. 20549</w:t>
      </w:r>
    </w:p>
    <w:p>
      <w:pPr>
        <w:spacing w:after="0" w:line="24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7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July 26, 2023</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INTEGRA LIFESCIENCES HOLDINGS CORPORATION</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364" w:lineRule="exact"/>
        <w:rPr>
          <w:sz w:val="24"/>
          <w:szCs w:val="24"/>
          <w:color w:val="auto"/>
        </w:rPr>
      </w:pPr>
    </w:p>
    <w:tbl>
      <w:tblPr>
        <w:tblLayout w:type="fixed"/>
        <w:tblInd w:w="1660" w:type="dxa"/>
        <w:tblCellMar>
          <w:top w:w="0" w:type="dxa"/>
          <w:left w:w="0" w:type="dxa"/>
          <w:bottom w:w="0" w:type="dxa"/>
          <w:right w:w="0" w:type="dxa"/>
        </w:tblCellMar>
      </w:tblPr>
      <w:tr>
        <w:trPr>
          <w:trHeight w:val="234"/>
        </w:trPr>
        <w:tc>
          <w:tcPr>
            <w:tcW w:w="328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Delaware</w:t>
            </w:r>
          </w:p>
        </w:tc>
        <w:tc>
          <w:tcPr>
            <w:tcW w:w="2260" w:type="dxa"/>
            <w:vAlign w:val="bottom"/>
          </w:tcPr>
          <w:p>
            <w:pPr>
              <w:jc w:val="right"/>
              <w:ind w:right="770"/>
              <w:spacing w:after="0"/>
              <w:rPr>
                <w:sz w:val="20"/>
                <w:szCs w:val="20"/>
                <w:color w:val="auto"/>
              </w:rPr>
            </w:pPr>
            <w:r>
              <w:rPr>
                <w:rFonts w:ascii="Arial" w:cs="Arial" w:eastAsia="Arial" w:hAnsi="Arial"/>
                <w:sz w:val="18"/>
                <w:szCs w:val="18"/>
                <w:b w:val="1"/>
                <w:bCs w:val="1"/>
                <w:color w:val="auto"/>
              </w:rPr>
              <w:t>0-26224</w:t>
            </w:r>
          </w:p>
        </w:tc>
        <w:tc>
          <w:tcPr>
            <w:tcW w:w="2280" w:type="dxa"/>
            <w:vAlign w:val="bottom"/>
          </w:tcPr>
          <w:p>
            <w:pPr>
              <w:jc w:val="center"/>
              <w:ind w:left="70"/>
              <w:spacing w:after="0"/>
              <w:rPr>
                <w:sz w:val="20"/>
                <w:szCs w:val="20"/>
                <w:color w:val="auto"/>
              </w:rPr>
            </w:pPr>
            <w:r>
              <w:rPr>
                <w:rFonts w:ascii="Arial" w:cs="Arial" w:eastAsia="Arial" w:hAnsi="Arial"/>
                <w:sz w:val="18"/>
                <w:szCs w:val="18"/>
                <w:b w:val="1"/>
                <w:bCs w:val="1"/>
                <w:color w:val="auto"/>
                <w:w w:val="91"/>
              </w:rPr>
              <w:t>51-0317849</w:t>
            </w:r>
          </w:p>
        </w:tc>
      </w:tr>
      <w:tr>
        <w:trPr>
          <w:trHeight w:val="189"/>
        </w:trPr>
        <w:tc>
          <w:tcPr>
            <w:tcW w:w="3280" w:type="dxa"/>
            <w:vAlign w:val="bottom"/>
          </w:tcPr>
          <w:p>
            <w:pPr>
              <w:jc w:val="center"/>
              <w:ind w:right="30"/>
              <w:spacing w:after="0" w:line="189" w:lineRule="exact"/>
              <w:rPr>
                <w:sz w:val="20"/>
                <w:szCs w:val="20"/>
                <w:color w:val="auto"/>
              </w:rPr>
            </w:pPr>
            <w:r>
              <w:rPr>
                <w:rFonts w:ascii="Arial" w:cs="Arial" w:eastAsia="Arial" w:hAnsi="Arial"/>
                <w:sz w:val="18"/>
                <w:szCs w:val="18"/>
                <w:color w:val="auto"/>
                <w:w w:val="91"/>
              </w:rPr>
              <w:t>(State or Other Jurisdiction of Incorporation</w:t>
            </w:r>
          </w:p>
        </w:tc>
        <w:tc>
          <w:tcPr>
            <w:tcW w:w="2260" w:type="dxa"/>
            <w:vAlign w:val="bottom"/>
          </w:tcPr>
          <w:p>
            <w:pPr>
              <w:jc w:val="center"/>
              <w:spacing w:after="0" w:line="189" w:lineRule="exact"/>
              <w:rPr>
                <w:sz w:val="20"/>
                <w:szCs w:val="20"/>
                <w:color w:val="auto"/>
              </w:rPr>
            </w:pPr>
            <w:r>
              <w:rPr>
                <w:rFonts w:ascii="Arial" w:cs="Arial" w:eastAsia="Arial" w:hAnsi="Arial"/>
                <w:sz w:val="18"/>
                <w:szCs w:val="18"/>
                <w:color w:val="auto"/>
                <w:w w:val="93"/>
              </w:rPr>
              <w:t>(Commission File Number)</w:t>
            </w:r>
          </w:p>
        </w:tc>
        <w:tc>
          <w:tcPr>
            <w:tcW w:w="2280" w:type="dxa"/>
            <w:vAlign w:val="bottom"/>
          </w:tcPr>
          <w:p>
            <w:pPr>
              <w:jc w:val="center"/>
              <w:ind w:left="70"/>
              <w:spacing w:after="0" w:line="189" w:lineRule="exact"/>
              <w:rPr>
                <w:sz w:val="20"/>
                <w:szCs w:val="20"/>
                <w:color w:val="auto"/>
              </w:rPr>
            </w:pPr>
            <w:r>
              <w:rPr>
                <w:rFonts w:ascii="Arial" w:cs="Arial" w:eastAsia="Arial" w:hAnsi="Arial"/>
                <w:sz w:val="18"/>
                <w:szCs w:val="18"/>
                <w:color w:val="auto"/>
                <w:w w:val="95"/>
              </w:rPr>
              <w:t>(IRS Employer Identification</w:t>
            </w:r>
          </w:p>
        </w:tc>
      </w:tr>
      <w:tr>
        <w:trPr>
          <w:trHeight w:val="230"/>
        </w:trPr>
        <w:tc>
          <w:tcPr>
            <w:tcW w:w="3280" w:type="dxa"/>
            <w:vAlign w:val="bottom"/>
          </w:tcPr>
          <w:p>
            <w:pPr>
              <w:jc w:val="center"/>
              <w:ind w:right="30"/>
              <w:spacing w:after="0"/>
              <w:rPr>
                <w:sz w:val="20"/>
                <w:szCs w:val="20"/>
                <w:color w:val="auto"/>
              </w:rPr>
            </w:pPr>
            <w:r>
              <w:rPr>
                <w:rFonts w:ascii="Arial" w:cs="Arial" w:eastAsia="Arial" w:hAnsi="Arial"/>
                <w:sz w:val="18"/>
                <w:szCs w:val="18"/>
                <w:color w:val="auto"/>
                <w:w w:val="92"/>
              </w:rPr>
              <w:t>or Organization)</w:t>
            </w:r>
          </w:p>
        </w:tc>
        <w:tc>
          <w:tcPr>
            <w:tcW w:w="2260" w:type="dxa"/>
            <w:vAlign w:val="bottom"/>
          </w:tcPr>
          <w:p>
            <w:pPr>
              <w:spacing w:after="0"/>
              <w:rPr>
                <w:sz w:val="20"/>
                <w:szCs w:val="20"/>
                <w:color w:val="auto"/>
              </w:rPr>
            </w:pPr>
          </w:p>
        </w:tc>
        <w:tc>
          <w:tcPr>
            <w:tcW w:w="2280" w:type="dxa"/>
            <w:vAlign w:val="bottom"/>
          </w:tcPr>
          <w:p>
            <w:pPr>
              <w:jc w:val="center"/>
              <w:ind w:left="70"/>
              <w:spacing w:after="0"/>
              <w:rPr>
                <w:sz w:val="20"/>
                <w:szCs w:val="20"/>
                <w:color w:val="auto"/>
              </w:rPr>
            </w:pPr>
            <w:r>
              <w:rPr>
                <w:rFonts w:ascii="Arial" w:cs="Arial" w:eastAsia="Arial" w:hAnsi="Arial"/>
                <w:sz w:val="18"/>
                <w:szCs w:val="18"/>
                <w:color w:val="auto"/>
                <w:w w:val="93"/>
              </w:rPr>
              <w:t>No.)</w:t>
            </w:r>
          </w:p>
        </w:tc>
      </w:tr>
    </w:tbl>
    <w:p>
      <w:pPr>
        <w:spacing w:after="0" w:line="3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1100 Campus Road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Princeton, NJ 08540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(Zip Code)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(609) 275-0500</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4" w:lineRule="exact"/>
        <w:rPr>
          <w:sz w:val="24"/>
          <w:szCs w:val="24"/>
          <w:color w:val="auto"/>
        </w:rPr>
      </w:pPr>
    </w:p>
    <w:p>
      <w:pPr>
        <w:ind w:right="680"/>
        <w:spacing w:after="0" w:line="261"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25"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262" w:lineRule="exact"/>
        <w:rPr>
          <w:rFonts w:ascii="MS PGothic" w:cs="MS PGothic" w:eastAsia="MS PGothic" w:hAnsi="MS PGothic"/>
          <w:sz w:val="20"/>
          <w:szCs w:val="20"/>
          <w:color w:val="auto"/>
        </w:rPr>
      </w:pPr>
    </w:p>
    <w:p>
      <w:pPr>
        <w:ind w:left="240" w:hanging="232"/>
        <w:spacing w:after="0"/>
        <w:tabs>
          <w:tab w:leader="none" w:pos="240"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275" w:lineRule="exact"/>
        <w:rPr>
          <w:rFonts w:ascii="MS PGothic" w:cs="MS PGothic" w:eastAsia="MS PGothic" w:hAnsi="MS PGothic"/>
          <w:sz w:val="20"/>
          <w:szCs w:val="20"/>
          <w:color w:val="auto"/>
        </w:rPr>
      </w:pPr>
    </w:p>
    <w:p>
      <w:pPr>
        <w:ind w:left="240" w:hanging="232"/>
        <w:spacing w:after="0"/>
        <w:tabs>
          <w:tab w:leader="none" w:pos="240"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275" w:lineRule="exact"/>
        <w:rPr>
          <w:rFonts w:ascii="MS PGothic" w:cs="MS PGothic" w:eastAsia="MS PGothic" w:hAnsi="MS PGothic"/>
          <w:sz w:val="20"/>
          <w:szCs w:val="20"/>
          <w:color w:val="auto"/>
        </w:rPr>
      </w:pPr>
    </w:p>
    <w:p>
      <w:pPr>
        <w:ind w:left="240" w:hanging="232"/>
        <w:spacing w:after="0"/>
        <w:tabs>
          <w:tab w:leader="none" w:pos="240"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307"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5060" w:type="dxa"/>
            <w:vAlign w:val="bottom"/>
            <w:gridSpan w:val="3"/>
          </w:tcPr>
          <w:p>
            <w:pPr>
              <w:spacing w:after="0"/>
              <w:rPr>
                <w:sz w:val="20"/>
                <w:szCs w:val="20"/>
                <w:color w:val="auto"/>
              </w:rPr>
            </w:pPr>
            <w:r>
              <w:rPr>
                <w:rFonts w:ascii="Arial" w:cs="Arial" w:eastAsia="Arial" w:hAnsi="Arial"/>
                <w:sz w:val="16"/>
                <w:szCs w:val="16"/>
                <w:color w:val="auto"/>
              </w:rPr>
              <w:t>Securities Registered Pursuant to Section12(b) of the Act:</w:t>
            </w:r>
          </w:p>
        </w:tc>
        <w:tc>
          <w:tcPr>
            <w:tcW w:w="11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90"/>
        </w:trPr>
        <w:tc>
          <w:tcPr>
            <w:tcW w:w="1380" w:type="dxa"/>
            <w:vAlign w:val="bottom"/>
          </w:tcPr>
          <w:p>
            <w:pPr>
              <w:spacing w:after="0"/>
              <w:rPr>
                <w:sz w:val="24"/>
                <w:szCs w:val="24"/>
                <w:color w:val="auto"/>
              </w:rPr>
            </w:pPr>
          </w:p>
        </w:tc>
        <w:tc>
          <w:tcPr>
            <w:tcW w:w="3680" w:type="dxa"/>
            <w:vAlign w:val="bottom"/>
            <w:gridSpan w:val="2"/>
          </w:tcPr>
          <w:p>
            <w:pPr>
              <w:jc w:val="center"/>
              <w:ind w:right="2380"/>
              <w:spacing w:after="0"/>
              <w:rPr>
                <w:sz w:val="20"/>
                <w:szCs w:val="20"/>
                <w:color w:val="auto"/>
              </w:rPr>
            </w:pPr>
            <w:r>
              <w:rPr>
                <w:rFonts w:ascii="Arial" w:cs="Arial" w:eastAsia="Arial" w:hAnsi="Arial"/>
                <w:sz w:val="16"/>
                <w:szCs w:val="16"/>
                <w:b w:val="1"/>
                <w:bCs w:val="1"/>
                <w:color w:val="auto"/>
                <w:w w:val="91"/>
              </w:rPr>
              <w:t>Title of Each Class</w:t>
            </w: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92"/>
              </w:rPr>
              <w:t>Trading Symbol</w:t>
            </w:r>
          </w:p>
        </w:tc>
        <w:tc>
          <w:tcPr>
            <w:tcW w:w="1640" w:type="dxa"/>
            <w:vAlign w:val="bottom"/>
          </w:tcPr>
          <w:p>
            <w:pPr>
              <w:spacing w:after="0"/>
              <w:rPr>
                <w:sz w:val="24"/>
                <w:szCs w:val="24"/>
                <w:color w:val="auto"/>
              </w:rPr>
            </w:pPr>
          </w:p>
        </w:tc>
        <w:tc>
          <w:tcPr>
            <w:tcW w:w="2780" w:type="dxa"/>
            <w:vAlign w:val="bottom"/>
          </w:tcPr>
          <w:p>
            <w:pPr>
              <w:jc w:val="center"/>
              <w:spacing w:after="0"/>
              <w:rPr>
                <w:sz w:val="20"/>
                <w:szCs w:val="20"/>
                <w:color w:val="auto"/>
              </w:rPr>
            </w:pPr>
            <w:r>
              <w:rPr>
                <w:rFonts w:ascii="Arial" w:cs="Arial" w:eastAsia="Arial" w:hAnsi="Arial"/>
                <w:sz w:val="16"/>
                <w:szCs w:val="16"/>
                <w:b w:val="1"/>
                <w:bCs w:val="1"/>
                <w:color w:val="auto"/>
                <w:w w:val="90"/>
              </w:rPr>
              <w:t>Name of Exchange on Which Registered</w:t>
            </w:r>
          </w:p>
        </w:tc>
      </w:tr>
      <w:tr>
        <w:trPr>
          <w:trHeight w:val="20"/>
        </w:trPr>
        <w:tc>
          <w:tcPr>
            <w:tcW w:w="13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780" w:type="dxa"/>
            <w:vAlign w:val="bottom"/>
            <w:shd w:val="clear" w:color="auto" w:fill="000000"/>
          </w:tcPr>
          <w:p>
            <w:pPr>
              <w:spacing w:after="0" w:line="20" w:lineRule="exact"/>
              <w:rPr>
                <w:sz w:val="1"/>
                <w:szCs w:val="1"/>
                <w:color w:val="auto"/>
              </w:rPr>
            </w:pPr>
          </w:p>
        </w:tc>
      </w:tr>
      <w:tr>
        <w:trPr>
          <w:trHeight w:val="250"/>
        </w:trPr>
        <w:tc>
          <w:tcPr>
            <w:tcW w:w="5060" w:type="dxa"/>
            <w:vAlign w:val="bottom"/>
            <w:gridSpan w:val="3"/>
          </w:tcPr>
          <w:p>
            <w:pPr>
              <w:jc w:val="center"/>
              <w:ind w:right="1000"/>
              <w:spacing w:after="0"/>
              <w:rPr>
                <w:sz w:val="20"/>
                <w:szCs w:val="20"/>
                <w:color w:val="auto"/>
              </w:rPr>
            </w:pPr>
            <w:r>
              <w:rPr>
                <w:rFonts w:ascii="Arial" w:cs="Arial" w:eastAsia="Arial" w:hAnsi="Arial"/>
                <w:sz w:val="18"/>
                <w:szCs w:val="18"/>
                <w:color w:val="auto"/>
                <w:w w:val="89"/>
              </w:rPr>
              <w:t>Common Stock, Par Value $.01 Per Share</w:t>
            </w:r>
          </w:p>
        </w:tc>
        <w:tc>
          <w:tcPr>
            <w:tcW w:w="1120" w:type="dxa"/>
            <w:vAlign w:val="bottom"/>
          </w:tcPr>
          <w:p>
            <w:pPr>
              <w:jc w:val="center"/>
              <w:spacing w:after="0"/>
              <w:rPr>
                <w:sz w:val="20"/>
                <w:szCs w:val="20"/>
                <w:color w:val="auto"/>
              </w:rPr>
            </w:pPr>
            <w:r>
              <w:rPr>
                <w:rFonts w:ascii="Arial" w:cs="Arial" w:eastAsia="Arial" w:hAnsi="Arial"/>
                <w:sz w:val="18"/>
                <w:szCs w:val="18"/>
                <w:color w:val="auto"/>
                <w:w w:val="97"/>
              </w:rPr>
              <w:t>IART</w:t>
            </w:r>
          </w:p>
        </w:tc>
        <w:tc>
          <w:tcPr>
            <w:tcW w:w="1640" w:type="dxa"/>
            <w:vAlign w:val="bottom"/>
          </w:tcPr>
          <w:p>
            <w:pPr>
              <w:spacing w:after="0"/>
              <w:rPr>
                <w:sz w:val="21"/>
                <w:szCs w:val="21"/>
                <w:color w:val="auto"/>
              </w:rPr>
            </w:pPr>
          </w:p>
        </w:tc>
        <w:tc>
          <w:tcPr>
            <w:tcW w:w="2780" w:type="dxa"/>
            <w:vAlign w:val="bottom"/>
          </w:tcPr>
          <w:p>
            <w:pPr>
              <w:jc w:val="center"/>
              <w:spacing w:after="0"/>
              <w:rPr>
                <w:sz w:val="20"/>
                <w:szCs w:val="20"/>
                <w:color w:val="auto"/>
              </w:rPr>
            </w:pPr>
            <w:r>
              <w:rPr>
                <w:rFonts w:ascii="Arial" w:cs="Arial" w:eastAsia="Arial" w:hAnsi="Arial"/>
                <w:sz w:val="18"/>
                <w:szCs w:val="18"/>
                <w:color w:val="auto"/>
                <w:w w:val="90"/>
              </w:rPr>
              <w:t>Nasdaq Global Select Market</w:t>
            </w:r>
          </w:p>
        </w:tc>
      </w:tr>
    </w:tbl>
    <w:p>
      <w:pPr>
        <w:spacing w:after="0" w:line="323"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3" w:lineRule="exact"/>
        <w:rPr>
          <w:sz w:val="24"/>
          <w:szCs w:val="24"/>
          <w:color w:val="auto"/>
        </w:rPr>
      </w:pPr>
    </w:p>
    <w:p>
      <w:pPr>
        <w:spacing w:after="0" w:line="219"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9"/>
          <w:szCs w:val="19"/>
          <w:color w:val="auto"/>
        </w:rPr>
        <w:t>☐</w:t>
      </w:r>
    </w:p>
    <w:p>
      <w:pPr>
        <w:spacing w:after="0" w:line="186" w:lineRule="exact"/>
        <w:rPr>
          <w:sz w:val="24"/>
          <w:szCs w:val="24"/>
          <w:color w:val="auto"/>
        </w:rPr>
      </w:pPr>
    </w:p>
    <w:p>
      <w:pPr>
        <w:spacing w:after="0" w:line="24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445135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5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July 26, 2023, Integra LifeSciences Holdings Corporation (the “Company”) issued a press release announcing financial results for the quarter ended June 30, 2023 (the “Press Release”). A copy of the Press Release is attached as Exhibit 99.1 to this Current Report on Form 8-K and is incorporated by reference into this Item. In the financial statements portion of the Press Release, the Company has included a reconciliation of GAAP revenues to organic revenues for the quarters ended June 30, 2023 and 2022, GAAP net income to adjusted earnings before interest, taxes, depreciation and amortization (“EBITDA”) for the quarters ended June 30, 2023 and 2022, GAAP net income to adjusted net income for the quarters ended June 30, 2023 and 2022, GAAP earnings per diluted share to adjusted earnings per diluted share for the quarters ended June 30, 2023 and 2022, GAAP total debt to net debt for the quarters ended June 30, 2023 and 2022, and GAAP operating cash flow to free cash flow and adjusted free cash flow conversion used by management for the quarters and twelve months ended June 30, 2023 and 2022.</w:t>
      </w:r>
    </w:p>
    <w:p>
      <w:pPr>
        <w:spacing w:after="0" w:line="20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Press Release, the Company provided forward-looking guidance regarding adjusted earnings per diluted share but did not provide a reconciliation to GAAP earnings per share, because certain GAAP expense items are highly variable and management is unable to predict them with reasonable certainty and without unreasonable effort.</w:t>
      </w:r>
    </w:p>
    <w:p>
      <w:pPr>
        <w:spacing w:after="0" w:line="21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information contained in Item 2.02 of this Current Report on Form 8-K (including the Press Release and selected historical financial information) is being furnished and shall not be deemed “filed” for the purposes of Section 18 of the Securities Exchange Act of 1934, as amended (the “Exchange Act”), or otherwise subject to the liabilities of that Section. The information contained in Item 2.02 of this Current Report on Form 8-K (including the Press Release and selected historical financial information) shall not be incorporated by reference into any registration statement or other document pursuant to the Securities Act of 1933, as amended, or the Exchange Act, except as shall be expressly set forth by specific reference in any such filing.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of Adjusted Financial Measures</w:t>
      </w:r>
    </w:p>
    <w:p>
      <w:pPr>
        <w:spacing w:after="0" w:line="25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addition to our GAAP results, we provide certain non-GAAP measures, including organic revenues, adjusted EBITDA, adjusted net income, adjusted earnings per diluted share, net debt, free cash flow and adjusted free cash flow conversion. Organic revenues consist of total revenues excluding the effects of currency exchange rates, revenues from current-period acquisitions and product divestitures and discontinuances. Adjusted EBITDA consists of GAAP net income excluding: (i) depreciation and amortization; (ii) other income (expense); (iii) interest income and expense; (iv) income tax expense (benefit); and (v) those operating expenses also excluded from adjusted net income. The measure of adjusted net income consists of GAAP net income, excluding: (i) structural optimization charges; (ii) divestiture, acquisition and integration-related charges; (iii) EU Medical Device Regulation-related charges; (iv) charges related to the voluntary global recall of all products manufactured at the Company’s Boston, Massachusetts facility; (v) intangible asset amortization expense; and (vi) income tax impact from adjustments. The adjusted earnings per diluted share measure is calculated by dividing adjusted net income attributable to diluted shares by diluted weighted average shares outstanding. The measure of net debt consists of GAAP total debt (excluding deferred financing costs) less cash and cash equivalents. The measure of free cash flow consists of GAAP net cash provided by operating activities less purchases of property and equipment. The adjusted free cash flow conversion measure is calculated by dividing free cash flow by adjusted net income.</w:t>
      </w:r>
    </w:p>
    <w:p>
      <w:pPr>
        <w:spacing w:after="0" w:line="19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believes that the presentation of organic revenues and the various adjusted EBITDA, adjusted net income, adjusted earnings per diluted share, net debt, free cash flow and adjusted free cash flow conversion measures provides important supplemental information to management and investors regarding financial and business trends relating to the Company's financial condition and results of operations. Management uses non-GAAP financial measures in the form of organic revenues, adjusted EBITDA, adjusted net income, adjusted earnings per diluted share, net debt, free cash flow and adjusted free cash flow conversion when evaluating operating performance because we believe that the inclusion or exclusion of the items described below, for which the amounts and/or timing may vary significantly depending upon the Company's divestiture, acquisition, integration, and restructuring activities, for which the amounts are non-cash in nature, or for which the amounts are not expected to recur at the same magnitude, provides a supplemental measure of our operating results that facilitates comparability of our financial condition and operating performance from period to period, against our business model objectives, and against other companies in our industry. We have chosen to provide this information to investors so they can analyze our operating results in the same way that management does and use this information in their assessment of our core business and the valuation of our Company. In addition, since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557530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2" w:name="page3"/>
    <w:bookmarkEnd w:id="2"/>
    <w:p>
      <w:pPr>
        <w:spacing w:after="0" w:line="277" w:lineRule="auto"/>
        <w:rPr>
          <w:sz w:val="20"/>
          <w:szCs w:val="20"/>
          <w:color w:val="auto"/>
        </w:rPr>
      </w:pPr>
      <w:r>
        <w:rPr>
          <w:rFonts w:ascii="Arial" w:cs="Arial" w:eastAsia="Arial" w:hAnsi="Arial"/>
          <w:sz w:val="18"/>
          <w:szCs w:val="18"/>
          <w:color w:val="auto"/>
        </w:rPr>
        <w:t>Company has historically provided non-GAAP guidance to the investment community, we believe the continued inclusion of non-GAAP guidance provides consistency in the information made available to investors.</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Organic revenues, adjusted EBITDA, adjusted net income, adjusted earnings per diluted share, net debt, free cash flow and adjusted free cash flow conversion are significant measures used by management for purposes of:</w:t>
      </w:r>
    </w:p>
    <w:p>
      <w:pPr>
        <w:spacing w:after="0" w:line="184"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supplementing the financial results and forecasts reported to the Company's board of directors;</w:t>
      </w:r>
    </w:p>
    <w:p>
      <w:pPr>
        <w:spacing w:after="0" w:line="11"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evaluating, managing and benchmarking the operating performance of the Company.</w:t>
      </w:r>
    </w:p>
    <w:p>
      <w:pPr>
        <w:ind w:left="660" w:hanging="328"/>
        <w:spacing w:after="0" w:line="23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establishing internal operating budgets;</w:t>
      </w:r>
    </w:p>
    <w:p>
      <w:pPr>
        <w:ind w:left="660" w:hanging="328"/>
        <w:spacing w:after="0" w:line="23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determining compensation under bonus or other incentive programs;</w:t>
      </w:r>
    </w:p>
    <w:p>
      <w:pPr>
        <w:ind w:left="660" w:hanging="328"/>
        <w:spacing w:after="0" w:line="23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enhancing comparability from period to period;</w:t>
      </w:r>
    </w:p>
    <w:p>
      <w:pPr>
        <w:ind w:left="660" w:hanging="328"/>
        <w:spacing w:after="0" w:line="23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comparing performance with internal forecasts and targeted business models; and</w:t>
      </w: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evaluating and valuing potential acquisition candidates.</w:t>
      </w:r>
    </w:p>
    <w:p>
      <w:pPr>
        <w:spacing w:after="0" w:line="22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measure of organic revenues that we report reflects the decrease in total revenues for the quarter ended June 30, 2023 adjusted for the effects of currency exchange rates, revenues from acquisitions, revenues from divested products, and product discontinuations on current period revenues. We provide this measure because changes in foreign currency exchange rates can distort our reduction favorably or unfavorably, depending upon the strength of the U.S. dollar in relation to the various foreign currencies in which we generate revenues. We generate significant revenues outside the United States in multiple foreign currencies. We believe this measure provides useful information to determine the success of our international selling organizations in increasing sales of products in their local currencies without regard to fluctuations in currency exchanges rates, which we do not control. Additionally, significant divestitures, acquisitions and discontinued product lines can distort our current period revenues when compared to prior periods.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measure of adjusted net income reflects GAAP net income adjusted for one or more of the following items, as applicable:</w:t>
      </w:r>
    </w:p>
    <w:p>
      <w:pPr>
        <w:spacing w:after="0" w:line="252" w:lineRule="exact"/>
        <w:rPr>
          <w:sz w:val="20"/>
          <w:szCs w:val="20"/>
          <w:color w:val="auto"/>
        </w:rPr>
      </w:pPr>
    </w:p>
    <w:p>
      <w:pPr>
        <w:jc w:val="both"/>
        <w:ind w:left="660" w:hanging="328"/>
        <w:spacing w:after="0" w:line="25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Structural optimization charges.</w:t>
      </w:r>
      <w:r>
        <w:rPr>
          <w:rFonts w:ascii="Arial" w:cs="Arial" w:eastAsia="Arial" w:hAnsi="Arial"/>
          <w:sz w:val="18"/>
          <w:szCs w:val="18"/>
          <w:color w:val="auto"/>
        </w:rPr>
        <w:t xml:space="preserve"> These charges include employee severance and other costs associated with exit or disposal of facilities, costs related to transferring manufacturing and/or distribution activities to different locations, and rationalization or enhancement of our organization, existing manufacturing, distribution, administrative, functional and commercial infrastructure. Some of these cost-saving and efficiency-driven activities are identified as opportunities in connection with acquisitions that provide the Company with additional capacity or economies of scale. Although recurring in nature, given management's ongoing review of the efficiency of our organization and structure, including manufacturing, distribution and administrative facilities and operations, management excludes these items when evaluating the operating performance of the Company because the frequency and amount of such charges vary significantly based on the timing and magnitude of the Company's rationalization activities and are, in some cases, dependent upon opportunities identified in acquisitions, which also vary in frequency and magnitude.</w:t>
      </w:r>
    </w:p>
    <w:p>
      <w:pPr>
        <w:spacing w:after="0" w:line="142" w:lineRule="exact"/>
        <w:rPr>
          <w:rFonts w:ascii="Arial" w:cs="Arial" w:eastAsia="Arial" w:hAnsi="Arial"/>
          <w:sz w:val="18"/>
          <w:szCs w:val="18"/>
          <w:color w:val="auto"/>
        </w:rPr>
      </w:pPr>
    </w:p>
    <w:p>
      <w:pPr>
        <w:jc w:val="both"/>
        <w:ind w:left="660" w:hanging="328"/>
        <w:spacing w:after="0" w:line="271"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u w:val="single" w:color="auto"/>
          <w:color w:val="auto"/>
        </w:rPr>
        <w:t>Acquisition, divestiture and integration-related charges.</w:t>
      </w:r>
      <w:r>
        <w:rPr>
          <w:rFonts w:ascii="Arial" w:cs="Arial" w:eastAsia="Arial" w:hAnsi="Arial"/>
          <w:sz w:val="17"/>
          <w:szCs w:val="17"/>
          <w:color w:val="auto"/>
        </w:rPr>
        <w:t xml:space="preserve"> Acquisition, divestiture and integration-related charges include (i) inventory fair value purchase accounting adjustments, (ii) changes in the fair value of contingent consideration after the acquisition date, (iii) costs related to acquisition integration, including systems, operations, retention and severance, (iv) legal, accounting, banking and other outside consultants expenses directly related to acquisitions or divestitures, and (v) gain or loss on sale of business and related costs to complete the divestiture of business. Although recurring, given the ongoing character of our acquisitions and divestitures, these charges are not factored into the evaluation of our performance by management after completion because they are of a temporary nature, they are not related to our core operating performance and the frequency and amount of such charges vary significantly based on the timing and magnitude of our acquisition and divestiture transactions as well as the level of inventory on hand at the time of acquisition.</w:t>
      </w:r>
    </w:p>
    <w:p>
      <w:pPr>
        <w:spacing w:after="0" w:line="124"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EU Medical Device Regulation charges</w:t>
      </w:r>
      <w:r>
        <w:rPr>
          <w:rFonts w:ascii="Arial" w:cs="Arial" w:eastAsia="Arial" w:hAnsi="Arial"/>
          <w:sz w:val="18"/>
          <w:szCs w:val="18"/>
          <w:color w:val="auto"/>
        </w:rPr>
        <w:t>. These charges represent costs specific to complying with the medical device reporting regulations and other requirements of the European Union’s regulation for medical devices. Management excludes this item when evaluating the Company’s operating performance because these costs incurred are not reflective of its ongoing operations.</w:t>
      </w:r>
    </w:p>
    <w:p>
      <w:pPr>
        <w:spacing w:after="0" w:line="129"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Boston Recall charges</w:t>
      </w:r>
      <w:r>
        <w:rPr>
          <w:rFonts w:ascii="Arial" w:cs="Arial" w:eastAsia="Arial" w:hAnsi="Arial"/>
          <w:sz w:val="18"/>
          <w:szCs w:val="18"/>
          <w:color w:val="auto"/>
        </w:rPr>
        <w:t>. These charges represent costs, including inventory write-offs and idle capacity charges, incurred in connection with the global voluntary recall of all products manufactured at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653415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3" w:name="page4"/>
    <w:bookmarkEnd w:id="3"/>
    <w:p>
      <w:pPr>
        <w:ind w:left="660"/>
        <w:spacing w:after="0" w:line="277" w:lineRule="auto"/>
        <w:rPr>
          <w:sz w:val="20"/>
          <w:szCs w:val="20"/>
          <w:color w:val="auto"/>
        </w:rPr>
      </w:pPr>
      <w:r>
        <w:rPr>
          <w:rFonts w:ascii="Arial" w:cs="Arial" w:eastAsia="Arial" w:hAnsi="Arial"/>
          <w:sz w:val="18"/>
          <w:szCs w:val="18"/>
          <w:color w:val="auto"/>
        </w:rPr>
        <w:t>Company’s Boston, Massachusetts facility and distributed between March 1, 2018 and May 22, 2023. Management excludes this item when evaluating the Company’s operating performance because of the infrequent and/or large scale nature of these activities.</w:t>
      </w:r>
    </w:p>
    <w:p>
      <w:pPr>
        <w:spacing w:after="0" w:line="116" w:lineRule="exact"/>
        <w:rPr>
          <w:sz w:val="20"/>
          <w:szCs w:val="20"/>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Intangible asset amortization expense.</w:t>
      </w:r>
      <w:r>
        <w:rPr>
          <w:rFonts w:ascii="Arial" w:cs="Arial" w:eastAsia="Arial" w:hAnsi="Arial"/>
          <w:sz w:val="18"/>
          <w:szCs w:val="18"/>
          <w:color w:val="auto"/>
        </w:rPr>
        <w:t xml:space="preserve"> Management excludes this item when evaluating the Company's operating performance because it is a non-cash expense.</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Income tax impact from adjustments.</w:t>
      </w:r>
      <w:r>
        <w:rPr>
          <w:rFonts w:ascii="Arial" w:cs="Arial" w:eastAsia="Arial" w:hAnsi="Arial"/>
          <w:sz w:val="18"/>
          <w:szCs w:val="18"/>
          <w:color w:val="auto"/>
        </w:rPr>
        <w:t xml:space="preserve"> This item represents adjustments to income tax expense for the amount of additional tax expense that the Company estimates that it would record if it used non-GAAP results instead of GAAP results in the calculation of its tax provision, based on the statutory rate applicable to jurisdictions in which the above non-GAAP adjustments relate.</w:t>
      </w:r>
    </w:p>
    <w:p>
      <w:pPr>
        <w:spacing w:after="0" w:line="21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the Press Release, the Company provided forward-looking guidance regarding adjusted earnings per diluted share but did not provide a reconciliation to GAAP earnings per share, because certain GAAP expense items are highly variable and management is unable to predict them with reasonable certainty and without unreasonable effort. Specifically, the financial impact and timing of divestitures, acquisitions, integrations, structural optimization, efforts to comply with the EU Medical Device Regulation, and income tax impact from adjustments are uncertain, depend on various dynamic factors and are not reasonably ascertainable at this time. These expense items could have a material impact on GAAP results.</w:t>
      </w:r>
    </w:p>
    <w:p>
      <w:pPr>
        <w:spacing w:after="0" w:line="20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Organic revenues, adjusted EBITDA, adjusted net income, adjusted earnings per diluted share, net debt, free cash flow and adjusted free cash flow conversion are not calculated in accordance with GAAP, and should be considered supplemental to, and not as a substitute for, or superior to, financial measures calculated in accordance with GAAP. Non-GAAP financial measures have limitations in that they do not reflect all of the revenues, costs or benefits associated with the operations of the Company's business as determined in accordance with GAAP. As a result, you should not consider these measures in isolation or as a substitute for analysis of the Company's results as reported under GAAP. The Company expects to continue to acquire businesses and product lines and to incur expenses of a nature similar to many of the non-GAAP adjustments described above, and exclusion of these items from its adjusted financial measures should not be construed as an inference that all of these revenue adjustments or costs are unusual, infrequent or non-recurring. Some of the limitations in relying on the adjusted financial measures are:</w:t>
      </w:r>
    </w:p>
    <w:p>
      <w:pPr>
        <w:spacing w:after="0" w:line="205" w:lineRule="exact"/>
        <w:rPr>
          <w:sz w:val="20"/>
          <w:szCs w:val="20"/>
          <w:color w:val="auto"/>
        </w:rPr>
      </w:pPr>
    </w:p>
    <w:p>
      <w:pPr>
        <w:jc w:val="both"/>
        <w:ind w:left="660" w:hanging="328"/>
        <w:spacing w:after="0" w:line="263"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periodically acquires other companies or businesses, and we expect to continue to incur acquisition-related expenses and charges in the future. These costs can directly impact the amount of the Company's available funds or could include costs for aborted deals which may be significant and reduce GAAP net income.</w:t>
      </w:r>
    </w:p>
    <w:p>
      <w:pPr>
        <w:spacing w:after="0" w:line="129"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 of the adjustments to GAAP net income have been tax affected at the Company's actual tax rates. Depending on the nature of the adjustments and the tax treatment of the underlying items, the effective tax rate related to adjusted net income could differ significantly from the effective tax rate related to GAAP net income.</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the financial tables portion of the Press Release, the Company has included a reconciliation of GAAP reported revenues to organic revenues for the quarters ended June 30, 2023 and 2022 and GAAP net income to adjusted EBITDA, GAAP net income to adjusted net income, GAAP earnings per diluted share to adjusted earnings per diluted share, GAAP total debt to net debt, and GAAP operating cash flow to free cash flow and adjusted free cash flow conversion used by management for the quarters and twelve months ended June 30, 2023 and 2022.</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FDA Matters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July 19, 2023, a subsidiary of the Company received a warning letter, dated July 17, 2023, from the United States Food and Drug Administration (the “FDA”).</w:t>
      </w:r>
    </w:p>
    <w:p>
      <w:pPr>
        <w:spacing w:after="0" w:line="19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warning letter relates to quality systems issues at the Company’s manufacturing facility located in Boston, Massachusetts. The letter resulted from an inspection held at that facility earlier this year and did not identify any new observations that had not already been provided in the Form 483 the FDA issued to the Company following the inspection (the “2023 Form 483”). The Company submitted an initial response to the 2023 Form 483 to the FDA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536575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4" w:name="page5"/>
    <w:bookmarkEnd w:id="4"/>
    <w:p>
      <w:pPr>
        <w:jc w:val="both"/>
        <w:spacing w:after="0" w:line="277" w:lineRule="auto"/>
        <w:rPr>
          <w:sz w:val="20"/>
          <w:szCs w:val="20"/>
          <w:color w:val="auto"/>
        </w:rPr>
      </w:pPr>
      <w:r>
        <w:rPr>
          <w:rFonts w:ascii="Arial" w:cs="Arial" w:eastAsia="Arial" w:hAnsi="Arial"/>
          <w:sz w:val="18"/>
          <w:szCs w:val="18"/>
          <w:color w:val="auto"/>
        </w:rPr>
        <w:t>and is in the process of preparing a written response to the warning letter. The Company is committed to resolving the matters identified in the letter and is continuing its comprehensive efforts to remediate the observations.</w:t>
      </w:r>
    </w:p>
    <w:p>
      <w:pPr>
        <w:spacing w:after="0" w:line="19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While the warning letter itself does not restrict the Company’s ability to manufacture or ship products or require the recall of any products, the Company previously announced in May 2023 a voluntary recall of products manufactured in the Boston plant and an extension of the temporary halt of manufacturing at the facility to implement additional detection and quality controls. The Company expects to resume manufacturing at its Boston facility following implementation of such controls. The warning letter requires an annual third-party audit of the Boston facility’s manufacturing and quality assurance systems for three years, with the initial audit completed by the end of the first quarter 2024.</w:t>
      </w:r>
    </w:p>
    <w:p>
      <w:pPr>
        <w:spacing w:after="0" w:line="20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warning letter does not restrict the Company’s ability to seek FDA 510(k) clearance of products, but premarket approval applications for Class III devices to which the quality system regulation violations are reasonably related will not be approved until the violations have been addressed. The letter also states that requests for Certificates to Foreign Governments may not be granted until the violations have been corrected.</w:t>
      </w:r>
    </w:p>
    <w:p>
      <w:pPr>
        <w:spacing w:after="0" w:line="18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Sales of products manufactured in the Boston facility, including SurgiMend</w:t>
      </w:r>
      <w:r>
        <w:rPr>
          <w:rFonts w:ascii="Arial" w:cs="Arial" w:eastAsia="Arial" w:hAnsi="Arial"/>
          <w:sz w:val="23"/>
          <w:szCs w:val="23"/>
          <w:color w:val="auto"/>
          <w:vertAlign w:val="superscript"/>
        </w:rPr>
        <w:t>®</w:t>
      </w:r>
      <w:r>
        <w:rPr>
          <w:rFonts w:ascii="Arial" w:cs="Arial" w:eastAsia="Arial" w:hAnsi="Arial"/>
          <w:sz w:val="18"/>
          <w:szCs w:val="18"/>
          <w:color w:val="auto"/>
        </w:rPr>
        <w:t>, PriMatrix</w:t>
      </w:r>
      <w:r>
        <w:rPr>
          <w:rFonts w:ascii="Arial" w:cs="Arial" w:eastAsia="Arial" w:hAnsi="Arial"/>
          <w:sz w:val="23"/>
          <w:szCs w:val="23"/>
          <w:color w:val="auto"/>
          <w:vertAlign w:val="superscript"/>
        </w:rPr>
        <w:t>®</w:t>
      </w:r>
      <w:r>
        <w:rPr>
          <w:rFonts w:ascii="Arial" w:cs="Arial" w:eastAsia="Arial" w:hAnsi="Arial"/>
          <w:sz w:val="18"/>
          <w:szCs w:val="18"/>
          <w:color w:val="auto"/>
        </w:rPr>
        <w:t>, Revize™ and TissueMend™ products, represented approximately 5% of the Company’s consolidated revenues for the year ended December 31, 2022. The Company does not expect to incur material incremental expense for remediation activities as a result of the warning letter.</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cannot provide any assurances that the FDA will be satisfied with the Company’s response to the letter or as to the expected date of the resolution of the matters included in the letter. Until the issues cited in the letter are resolved to the FDA’s satisfaction, the FDA may initiate additional regulatory action without further notice. Any adverse regulatory action, depending on its magnitude, may restrict the Company from effectively manufacturing, marketing and selling our products and could have a material adverse effect on the Company’s business, financial condition and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Program</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18, 2023, the Board of Directors of the Company (the “Board”) authorized the Company to repurchase up to $225 million of the Company’s common stock. The program allows the Company to repurchase its shares opportunistically from time to time. The repurchase authorization expires in December 2025. This stock repurchase authorization replaces the previous $225 million stock repurchase authorization, of which $75 million remained authorized at the time of its replacement.</w:t>
      </w:r>
    </w:p>
    <w:p>
      <w:pPr>
        <w:spacing w:after="0" w:line="21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July 26, 2023, the Company announced it is planning a $125 million share repurchase as a part of the Board’s authorization. The Company may repurchase shares at its discretion, subject to applicable regulatory and other legal requirements. The number of shares to be repurchased and the timing of such transactions will depend on a variety of factors, including market conditions, regulatory requirements, and other corporate considerations, and could be suspended or discontinued at any time as determined by management. Commencement of share repurchases is expected to occur in the third quarter of 2023 and the Company may utilize various methods to effect the repurchases, including open market transactions, privately negotiated transactions, transactions structured through investment banking institutions, including accelerated share repurchases, or a combination of the foregoing, some of which may be effected through Rule 10b5-1 plans.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This Current Report on Form 8-K contains forward-looking statements within the meaning of Section 27A of the Securities Act of 1933 and Section 21E of the Securities Exchange Act of 1934. Forward-looking statements may be identified by words like “believe,” “expect,” “plan,” and similar words. These forward-looking statements are based on our beliefs, assumptions and estimates using information available to us at the time and are not intended to be guarantees of future events or performance. These forward-looking statements include, among other things, statements regarding the issues causing the voluntary removal of the Company’s products manufactured at its Boston facility, the potential effects of the process deviations identified at the Boston facility, the anticipated impact of the voluntary recall and manufacturing stoppage on the Company’s business, the Company’s ability to address in a timely manner the product-related issues discussed above and resume manufacturing activities at its Boston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554990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5" w:name="page6"/>
    <w:bookmarkEnd w:id="5"/>
    <w:p>
      <w:pPr>
        <w:jc w:val="both"/>
        <w:spacing w:after="0" w:line="254" w:lineRule="auto"/>
        <w:rPr>
          <w:sz w:val="20"/>
          <w:szCs w:val="20"/>
          <w:color w:val="auto"/>
        </w:rPr>
      </w:pPr>
      <w:r>
        <w:rPr>
          <w:rFonts w:ascii="Arial" w:cs="Arial" w:eastAsia="Arial" w:hAnsi="Arial"/>
          <w:sz w:val="18"/>
          <w:szCs w:val="18"/>
          <w:color w:val="auto"/>
        </w:rPr>
        <w:t>facility, the Company’s future financial performance, including the expected amount and timing for recording charges associated with the recall, and the repurchase of the Company’s common stock, including the amount and timing of any purchases under the Company’s authorized stock repurchase program. Such forward-looking statements involve risks and uncertainties that could cause actual results to differ from predicted results. These risks and uncertainties include market conditions and other factors beyond the Company's control and the economic, competitive, governmental, technological and other factors identified under the heading "Risk Factors" included in item 1A of the Company’s Annual Report on Form 10-K for the year ended December 31, 2022, and information contained in subsequent filings with the Securities and Exchange Commission. These forward-looking statements are made only as the date thereof, and the Company undertakes no obligation to update or revise the forward-looking statements, whether as a result of new information, future events or otherwise.</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99.1 </w:t>
      </w:r>
      <w:r>
        <w:rPr>
          <w:rFonts w:ascii="Arial" w:cs="Arial" w:eastAsia="Arial" w:hAnsi="Arial"/>
          <w:sz w:val="18"/>
          <w:szCs w:val="18"/>
          <w:u w:val="single" w:color="auto"/>
          <w:color w:val="0000FF"/>
        </w:rPr>
        <w:t>Press Release with attachments, dated July 26, 2023, issued by Integra LifeSciences Holdings Corporation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104 Cover Page Interactive Data File (embedded within the inline XRBL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739140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6" w:name="page7"/>
    <w:bookmarkEnd w:id="6"/>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7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280" w:type="dxa"/>
            <w:vAlign w:val="bottom"/>
          </w:tcPr>
          <w:p>
            <w:pPr>
              <w:spacing w:after="0"/>
              <w:rPr>
                <w:sz w:val="20"/>
                <w:szCs w:val="20"/>
                <w:color w:val="auto"/>
              </w:rPr>
            </w:pPr>
          </w:p>
        </w:tc>
        <w:tc>
          <w:tcPr>
            <w:tcW w:w="6420" w:type="dxa"/>
            <w:vAlign w:val="bottom"/>
            <w:gridSpan w:val="3"/>
          </w:tcPr>
          <w:p>
            <w:pPr>
              <w:ind w:left="1860"/>
              <w:spacing w:after="0"/>
              <w:rPr>
                <w:sz w:val="20"/>
                <w:szCs w:val="20"/>
                <w:color w:val="auto"/>
              </w:rPr>
            </w:pPr>
            <w:r>
              <w:rPr>
                <w:rFonts w:ascii="Arial" w:cs="Arial" w:eastAsia="Arial" w:hAnsi="Arial"/>
                <w:sz w:val="18"/>
                <w:szCs w:val="18"/>
                <w:color w:val="auto"/>
              </w:rPr>
              <w:t>INTEGRA LIFESCIENCES HOLDINGS CORPORATION</w:t>
            </w:r>
          </w:p>
        </w:tc>
      </w:tr>
      <w:tr>
        <w:trPr>
          <w:trHeight w:val="459"/>
        </w:trPr>
        <w:tc>
          <w:tcPr>
            <w:tcW w:w="3280" w:type="dxa"/>
            <w:vAlign w:val="bottom"/>
          </w:tcPr>
          <w:p>
            <w:pPr>
              <w:spacing w:after="0"/>
              <w:rPr>
                <w:sz w:val="20"/>
                <w:szCs w:val="20"/>
                <w:color w:val="auto"/>
              </w:rPr>
            </w:pPr>
            <w:r>
              <w:rPr>
                <w:rFonts w:ascii="Arial" w:cs="Arial" w:eastAsia="Arial" w:hAnsi="Arial"/>
                <w:sz w:val="18"/>
                <w:szCs w:val="18"/>
                <w:color w:val="auto"/>
              </w:rPr>
              <w:t>Date: July 26, 2023</w:t>
            </w:r>
          </w:p>
        </w:tc>
        <w:tc>
          <w:tcPr>
            <w:tcW w:w="2600" w:type="dxa"/>
            <w:vAlign w:val="bottom"/>
          </w:tcPr>
          <w:p>
            <w:pPr>
              <w:ind w:left="1860"/>
              <w:spacing w:after="0"/>
              <w:rPr>
                <w:sz w:val="20"/>
                <w:szCs w:val="20"/>
                <w:color w:val="auto"/>
              </w:rPr>
            </w:pPr>
            <w:r>
              <w:rPr>
                <w:rFonts w:ascii="Arial" w:cs="Arial" w:eastAsia="Arial" w:hAnsi="Arial"/>
                <w:sz w:val="18"/>
                <w:szCs w:val="18"/>
                <w:color w:val="auto"/>
              </w:rPr>
              <w:t>By:</w:t>
            </w:r>
          </w:p>
        </w:tc>
        <w:tc>
          <w:tcPr>
            <w:tcW w:w="3820" w:type="dxa"/>
            <w:vAlign w:val="bottom"/>
            <w:gridSpan w:val="2"/>
          </w:tcPr>
          <w:p>
            <w:pPr>
              <w:ind w:left="40"/>
              <w:spacing w:after="0"/>
              <w:rPr>
                <w:sz w:val="20"/>
                <w:szCs w:val="20"/>
                <w:color w:val="auto"/>
              </w:rPr>
            </w:pPr>
            <w:r>
              <w:rPr>
                <w:rFonts w:ascii="Arial" w:cs="Arial" w:eastAsia="Arial" w:hAnsi="Arial"/>
                <w:sz w:val="18"/>
                <w:szCs w:val="18"/>
                <w:color w:val="auto"/>
              </w:rPr>
              <w:t>/s/ Lea Knight</w:t>
            </w:r>
          </w:p>
        </w:tc>
      </w:tr>
      <w:tr>
        <w:trPr>
          <w:trHeight w:val="250"/>
        </w:trPr>
        <w:tc>
          <w:tcPr>
            <w:tcW w:w="328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10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Lea Knight</w:t>
            </w:r>
          </w:p>
        </w:tc>
        <w:tc>
          <w:tcPr>
            <w:tcW w:w="2760" w:type="dxa"/>
            <w:vAlign w:val="bottom"/>
          </w:tcPr>
          <w:p>
            <w:pPr>
              <w:spacing w:after="0"/>
              <w:rPr>
                <w:sz w:val="21"/>
                <w:szCs w:val="21"/>
                <w:color w:val="auto"/>
              </w:rPr>
            </w:pPr>
          </w:p>
        </w:tc>
      </w:tr>
      <w:tr>
        <w:trPr>
          <w:trHeight w:val="243"/>
        </w:trPr>
        <w:tc>
          <w:tcPr>
            <w:tcW w:w="3280" w:type="dxa"/>
            <w:vAlign w:val="bottom"/>
          </w:tcPr>
          <w:p>
            <w:pPr>
              <w:spacing w:after="0"/>
              <w:rPr>
                <w:sz w:val="21"/>
                <w:szCs w:val="21"/>
                <w:color w:val="auto"/>
              </w:rPr>
            </w:pPr>
          </w:p>
        </w:tc>
        <w:tc>
          <w:tcPr>
            <w:tcW w:w="2600" w:type="dxa"/>
            <w:vAlign w:val="bottom"/>
          </w:tcPr>
          <w:p>
            <w:pPr>
              <w:ind w:left="1860"/>
              <w:spacing w:after="0"/>
              <w:rPr>
                <w:sz w:val="20"/>
                <w:szCs w:val="20"/>
                <w:color w:val="auto"/>
              </w:rPr>
            </w:pPr>
            <w:r>
              <w:rPr>
                <w:rFonts w:ascii="Arial" w:cs="Arial" w:eastAsia="Arial" w:hAnsi="Arial"/>
                <w:sz w:val="18"/>
                <w:szCs w:val="18"/>
                <w:color w:val="auto"/>
              </w:rPr>
              <w:t>Title:</w:t>
            </w:r>
          </w:p>
        </w:tc>
        <w:tc>
          <w:tcPr>
            <w:tcW w:w="3820" w:type="dxa"/>
            <w:vAlign w:val="bottom"/>
            <w:gridSpan w:val="2"/>
          </w:tcPr>
          <w:p>
            <w:pPr>
              <w:spacing w:after="0"/>
              <w:rPr>
                <w:sz w:val="20"/>
                <w:szCs w:val="20"/>
                <w:color w:val="auto"/>
              </w:rPr>
            </w:pPr>
            <w:r>
              <w:rPr>
                <w:rFonts w:ascii="Arial" w:cs="Arial" w:eastAsia="Arial" w:hAnsi="Arial"/>
                <w:sz w:val="18"/>
                <w:szCs w:val="18"/>
                <w:color w:val="auto"/>
                <w:w w:val="91"/>
              </w:rPr>
              <w:t>Executive Vice President and Chief Financial Officer</w:t>
            </w:r>
          </w:p>
        </w:tc>
      </w:tr>
    </w:tbl>
    <w:p>
      <w:pPr>
        <w:sectPr>
          <w:pgSz w:w="11900" w:h="16838" w:orient="portrait"/>
          <w:cols w:equalWidth="0" w:num="1">
            <w:col w:w="11240"/>
          </w:cols>
          <w:pgMar w:left="320" w:top="931" w:right="339" w:bottom="1440" w:gutter="0" w:footer="0" w:header="0"/>
        </w:sectPr>
      </w:pPr>
    </w:p>
    <w:bookmarkStart w:id="7" w:name="page8"/>
    <w:bookmarkEnd w:id="7"/>
    <w:p>
      <w:pPr>
        <w:spacing w:after="0"/>
        <w:rPr>
          <w:sz w:val="20"/>
          <w:szCs w:val="20"/>
          <w:color w:val="auto"/>
        </w:rPr>
      </w:pPr>
      <w:r>
        <w:rPr>
          <w:rFonts w:ascii="Arial" w:cs="Arial" w:eastAsia="Arial" w:hAnsi="Arial"/>
          <w:sz w:val="29"/>
          <w:szCs w:val="29"/>
          <w:i w:val="1"/>
          <w:iCs w:val="1"/>
          <w:color w:val="auto"/>
        </w:rPr>
        <w:t>News Release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i w:val="1"/>
          <w:iCs w:val="1"/>
          <w:color w:val="auto"/>
        </w:rPr>
        <w:t>Integra LifeSciences Reports Second Quarter 2023 Financial Results</w:t>
      </w:r>
    </w:p>
    <w:p>
      <w:pPr>
        <w:spacing w:after="0" w:line="239" w:lineRule="exact"/>
        <w:rPr>
          <w:sz w:val="20"/>
          <w:szCs w:val="20"/>
          <w:color w:val="auto"/>
        </w:rPr>
      </w:pPr>
    </w:p>
    <w:p>
      <w:pPr>
        <w:ind w:right="400"/>
        <w:spacing w:after="0" w:line="260" w:lineRule="auto"/>
        <w:rPr>
          <w:sz w:val="20"/>
          <w:szCs w:val="20"/>
          <w:color w:val="auto"/>
        </w:rPr>
      </w:pPr>
      <w:r>
        <w:rPr>
          <w:rFonts w:ascii="Arial" w:cs="Arial" w:eastAsia="Arial" w:hAnsi="Arial"/>
          <w:sz w:val="20"/>
          <w:szCs w:val="20"/>
          <w:color w:val="auto"/>
        </w:rPr>
        <w:t xml:space="preserve">PRINCETON, N.J., July 26, 2023 - </w:t>
      </w:r>
      <w:r>
        <w:rPr>
          <w:rFonts w:ascii="Arial" w:cs="Arial" w:eastAsia="Arial" w:hAnsi="Arial"/>
          <w:sz w:val="20"/>
          <w:szCs w:val="20"/>
          <w:u w:val="single" w:color="auto"/>
          <w:color w:val="0000FF"/>
        </w:rPr>
        <w:t>Integra LifeSciences Holdings Corporation</w:t>
      </w:r>
      <w:r>
        <w:rPr>
          <w:rFonts w:ascii="Arial" w:cs="Arial" w:eastAsia="Arial" w:hAnsi="Arial"/>
          <w:sz w:val="20"/>
          <w:szCs w:val="20"/>
          <w:color w:val="auto"/>
        </w:rPr>
        <w:t xml:space="preserve"> (NASDAQ: IART), a leading global medical technology company, today reported financial results for the second quarter ending June 30, 2023.</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Second Quarter 2023 Highlights</w:t>
      </w:r>
    </w:p>
    <w:p>
      <w:pPr>
        <w:spacing w:after="0" w:line="195" w:lineRule="exact"/>
        <w:rPr>
          <w:sz w:val="20"/>
          <w:szCs w:val="20"/>
          <w:color w:val="auto"/>
        </w:rPr>
      </w:pPr>
    </w:p>
    <w:p>
      <w:pPr>
        <w:ind w:left="660" w:right="40" w:hanging="328"/>
        <w:spacing w:after="0" w:line="246" w:lineRule="auto"/>
        <w:tabs>
          <w:tab w:leader="none" w:pos="660" w:val="left"/>
        </w:tabs>
        <w:numPr>
          <w:ilvl w:val="0"/>
          <w:numId w:val="6"/>
        </w:numPr>
        <w:rPr>
          <w:rFonts w:ascii="Arial" w:cs="Arial" w:eastAsia="Arial" w:hAnsi="Arial"/>
          <w:sz w:val="20"/>
          <w:szCs w:val="20"/>
          <w:color w:val="auto"/>
        </w:rPr>
      </w:pPr>
      <w:r>
        <w:rPr>
          <w:rFonts w:ascii="Arial" w:cs="Arial" w:eastAsia="Arial" w:hAnsi="Arial"/>
          <w:sz w:val="20"/>
          <w:szCs w:val="20"/>
          <w:color w:val="auto"/>
        </w:rPr>
        <w:t>Second quarter revenues of $381.3 million declined 4.2% on a reported basis and declined 2.7% on an organic basis compared to the prior year.</w:t>
      </w:r>
    </w:p>
    <w:p>
      <w:pPr>
        <w:spacing w:after="0" w:line="217" w:lineRule="exact"/>
        <w:rPr>
          <w:rFonts w:ascii="Arial" w:cs="Arial" w:eastAsia="Arial" w:hAnsi="Arial"/>
          <w:sz w:val="20"/>
          <w:szCs w:val="20"/>
          <w:color w:val="auto"/>
        </w:rPr>
      </w:pPr>
    </w:p>
    <w:p>
      <w:pPr>
        <w:ind w:left="660" w:right="20" w:hanging="328"/>
        <w:spacing w:after="0" w:line="250" w:lineRule="auto"/>
        <w:tabs>
          <w:tab w:leader="none" w:pos="660" w:val="left"/>
        </w:tabs>
        <w:numPr>
          <w:ilvl w:val="0"/>
          <w:numId w:val="6"/>
        </w:numPr>
        <w:rPr>
          <w:rFonts w:ascii="Arial" w:cs="Arial" w:eastAsia="Arial" w:hAnsi="Arial"/>
          <w:sz w:val="20"/>
          <w:szCs w:val="20"/>
          <w:color w:val="auto"/>
        </w:rPr>
      </w:pPr>
      <w:r>
        <w:rPr>
          <w:rFonts w:ascii="Arial" w:cs="Arial" w:eastAsia="Arial" w:hAnsi="Arial"/>
          <w:sz w:val="20"/>
          <w:szCs w:val="20"/>
          <w:color w:val="auto"/>
        </w:rPr>
        <w:t>Second quarter GAAP earnings per diluted share of $0.05, compared to $0.54 in the prior year; adjusted earnings per diluted share of $0.71, compared to $0.82 in the prior year</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8" w:lineRule="exact"/>
        <w:rPr>
          <w:sz w:val="20"/>
          <w:szCs w:val="20"/>
          <w:color w:val="auto"/>
        </w:rPr>
      </w:pPr>
    </w:p>
    <w:p>
      <w:pPr>
        <w:ind w:left="660" w:hanging="328"/>
        <w:spacing w:after="0"/>
        <w:tabs>
          <w:tab w:leader="none" w:pos="660" w:val="left"/>
        </w:tabs>
        <w:numPr>
          <w:ilvl w:val="0"/>
          <w:numId w:val="7"/>
        </w:numPr>
        <w:rPr>
          <w:rFonts w:ascii="Arial" w:cs="Arial" w:eastAsia="Arial" w:hAnsi="Arial"/>
          <w:sz w:val="20"/>
          <w:szCs w:val="20"/>
          <w:color w:val="auto"/>
        </w:rPr>
      </w:pPr>
      <w:r>
        <w:rPr>
          <w:rFonts w:ascii="Arial" w:cs="Arial" w:eastAsia="Arial" w:hAnsi="Arial"/>
          <w:sz w:val="20"/>
          <w:szCs w:val="20"/>
          <w:color w:val="auto"/>
        </w:rPr>
        <w:t>Appointed Lea Daniels Knight as executive vice president and CFO</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Share repurchase and 2023 guidance</w:t>
      </w:r>
    </w:p>
    <w:p>
      <w:pPr>
        <w:spacing w:after="0" w:line="246" w:lineRule="exact"/>
        <w:rPr>
          <w:sz w:val="20"/>
          <w:szCs w:val="20"/>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Arial" w:cs="Arial" w:eastAsia="Arial" w:hAnsi="Arial"/>
          <w:sz w:val="20"/>
          <w:szCs w:val="20"/>
          <w:color w:val="auto"/>
        </w:rPr>
        <w:t>Planning a $125 million share repurchase in the third quarter</w:t>
      </w:r>
    </w:p>
    <w:p>
      <w:pPr>
        <w:spacing w:after="0" w:line="235" w:lineRule="exact"/>
        <w:rPr>
          <w:rFonts w:ascii="Arial" w:cs="Arial" w:eastAsia="Arial" w:hAnsi="Arial"/>
          <w:sz w:val="22"/>
          <w:szCs w:val="22"/>
          <w:color w:val="auto"/>
        </w:rPr>
      </w:pPr>
    </w:p>
    <w:p>
      <w:pPr>
        <w:ind w:left="660" w:right="60" w:hanging="328"/>
        <w:spacing w:after="0" w:line="303" w:lineRule="auto"/>
        <w:tabs>
          <w:tab w:leader="none" w:pos="660" w:val="left"/>
        </w:tabs>
        <w:numPr>
          <w:ilvl w:val="0"/>
          <w:numId w:val="8"/>
        </w:numPr>
        <w:rPr>
          <w:rFonts w:ascii="Arial" w:cs="Arial" w:eastAsia="Arial" w:hAnsi="Arial"/>
          <w:sz w:val="19"/>
          <w:szCs w:val="19"/>
          <w:color w:val="auto"/>
        </w:rPr>
      </w:pPr>
      <w:r>
        <w:rPr>
          <w:rFonts w:ascii="Arial" w:cs="Arial" w:eastAsia="Arial" w:hAnsi="Arial"/>
          <w:sz w:val="18"/>
          <w:szCs w:val="18"/>
          <w:color w:val="auto"/>
        </w:rPr>
        <w:t>Updating full-year 2023 revenue and adjusted earnings per share guidance with a range of $1.548 billion to $1.560 billion and $3.10 to $3.18 respectively, reflecting the impact of the Boston recall and the solid performance of the underlying business</w:t>
      </w:r>
    </w:p>
    <w:p>
      <w:pPr>
        <w:spacing w:after="0" w:line="165"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color w:val="auto"/>
        </w:rPr>
        <w:t>"The strong organic growth of our Codman Specialty Surgical segment and several product lines in our Tissue Technologies business demonstrate the resilience of our diversified portfolio of leading brands and technologies and strong market recovery. Excluding the impact of the Boston recall, we delivered solid, mid-single digit organic growth from the underlying business," said Jan De Witte, Integra LifeSciences’ president and chief executive officer. "We are confident in our plans for the CereLink relaunch and the restart of our Boston manufacturing facility, and we continue to advance our implant-based breast reconstruction (IBBR) PMA strategy.”</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Second Quarter 2023 Consolidated Performance</w:t>
      </w:r>
    </w:p>
    <w:p>
      <w:pPr>
        <w:spacing w:after="0" w:line="249" w:lineRule="exact"/>
        <w:rPr>
          <w:sz w:val="20"/>
          <w:szCs w:val="20"/>
          <w:color w:val="auto"/>
        </w:rPr>
      </w:pPr>
    </w:p>
    <w:p>
      <w:pPr>
        <w:ind w:right="340"/>
        <w:spacing w:after="0" w:line="260" w:lineRule="auto"/>
        <w:rPr>
          <w:sz w:val="20"/>
          <w:szCs w:val="20"/>
          <w:color w:val="auto"/>
        </w:rPr>
      </w:pPr>
      <w:r>
        <w:rPr>
          <w:rFonts w:ascii="Arial" w:cs="Arial" w:eastAsia="Arial" w:hAnsi="Arial"/>
          <w:sz w:val="20"/>
          <w:szCs w:val="20"/>
          <w:color w:val="auto"/>
        </w:rPr>
        <w:t>Total reported revenues of $381.3 million declined 4.2% on a reported basis and declined 2.7% on an organic basis compared to the prior year.</w:t>
      </w:r>
    </w:p>
    <w:p>
      <w:pPr>
        <w:spacing w:after="0" w:line="150" w:lineRule="exact"/>
        <w:rPr>
          <w:sz w:val="20"/>
          <w:szCs w:val="20"/>
          <w:color w:val="auto"/>
        </w:rPr>
      </w:pPr>
    </w:p>
    <w:p>
      <w:pPr>
        <w:ind w:right="80"/>
        <w:spacing w:after="0" w:line="274" w:lineRule="auto"/>
        <w:rPr>
          <w:sz w:val="20"/>
          <w:szCs w:val="20"/>
          <w:color w:val="auto"/>
        </w:rPr>
      </w:pPr>
      <w:r>
        <w:rPr>
          <w:rFonts w:ascii="Arial" w:cs="Arial" w:eastAsia="Arial" w:hAnsi="Arial"/>
          <w:sz w:val="20"/>
          <w:szCs w:val="20"/>
          <w:color w:val="auto"/>
        </w:rPr>
        <w:t>The Company reported GAAP gross margin of 54.3%, compared to 62.7% in the second quarter of 2022. Adjusted gross margin was 67.6%, compared to 68.0% in the prior year.</w:t>
      </w:r>
    </w:p>
    <w:p>
      <w:pPr>
        <w:spacing w:after="0" w:line="136"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Adjusted EBITDA for the second quarter of 2023 was $88.8 million, or 23.3% of revenue, compared to $102.8 million, or 25.8% of revenue, in the prior year.</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color w:val="auto"/>
        </w:rPr>
        <w:t>The Company reported GAAP net income of $4.2 million, or $0.05 per diluted share, in the second quarter of 2023, compared to a GAAP net income of $44.8 million, or $0.54 per diluted share, in the prior year.</w:t>
      </w:r>
    </w:p>
    <w:p>
      <w:pPr>
        <w:spacing w:after="0" w:line="2" w:lineRule="exact"/>
        <w:rPr>
          <w:sz w:val="20"/>
          <w:szCs w:val="20"/>
          <w:color w:val="auto"/>
        </w:rPr>
      </w:pPr>
    </w:p>
    <w:p>
      <w:pPr>
        <w:ind w:right="260"/>
        <w:spacing w:after="0" w:line="258" w:lineRule="auto"/>
        <w:rPr>
          <w:sz w:val="20"/>
          <w:szCs w:val="20"/>
          <w:color w:val="auto"/>
        </w:rPr>
      </w:pPr>
      <w:r>
        <w:rPr>
          <w:rFonts w:ascii="Arial" w:cs="Arial" w:eastAsia="Arial" w:hAnsi="Arial"/>
          <w:sz w:val="20"/>
          <w:szCs w:val="20"/>
          <w:color w:val="auto"/>
        </w:rPr>
        <w:t>Adjusted net income for the second quarter of 2023 was $57.4 million, or $0.71 per diluted share, compared to $68.3 million, or $0.82 per diluted share, in the prior year.</w:t>
      </w:r>
    </w:p>
    <w:p>
      <w:pPr>
        <w:sectPr>
          <w:pgSz w:w="11900" w:h="16838" w:orient="portrait"/>
          <w:cols w:equalWidth="0" w:num="1">
            <w:col w:w="11200"/>
          </w:cols>
          <w:pgMar w:left="320" w:top="885" w:right="379" w:bottom="1440" w:gutter="0" w:footer="0" w:header="0"/>
        </w:sectPr>
      </w:pPr>
    </w:p>
    <w:bookmarkStart w:id="8" w:name="page9"/>
    <w:bookmarkEnd w:id="8"/>
    <w:p>
      <w:pPr>
        <w:spacing w:after="0"/>
        <w:rPr>
          <w:sz w:val="20"/>
          <w:szCs w:val="20"/>
          <w:color w:val="auto"/>
        </w:rPr>
      </w:pPr>
      <w:r>
        <w:rPr>
          <w:rFonts w:ascii="Arial" w:cs="Arial" w:eastAsia="Arial" w:hAnsi="Arial"/>
          <w:sz w:val="20"/>
          <w:szCs w:val="20"/>
          <w:b w:val="1"/>
          <w:bCs w:val="1"/>
          <w:color w:val="auto"/>
        </w:rPr>
        <w:t>Second Quarter 2023 Segment Performance</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Codman Specialty Surgical (~71% of Revenues)</w:t>
      </w:r>
    </w:p>
    <w:p>
      <w:pPr>
        <w:spacing w:after="0" w:line="195" w:lineRule="exact"/>
        <w:rPr>
          <w:sz w:val="20"/>
          <w:szCs w:val="20"/>
          <w:color w:val="auto"/>
        </w:rPr>
      </w:pPr>
    </w:p>
    <w:p>
      <w:pPr>
        <w:ind w:left="1300" w:right="160" w:hanging="320"/>
        <w:spacing w:after="0" w:line="238" w:lineRule="auto"/>
        <w:tabs>
          <w:tab w:leader="none" w:pos="1300" w:val="left"/>
        </w:tabs>
        <w:numPr>
          <w:ilvl w:val="0"/>
          <w:numId w:val="9"/>
        </w:numPr>
        <w:rPr>
          <w:rFonts w:ascii="Arial" w:cs="Arial" w:eastAsia="Arial" w:hAnsi="Arial"/>
          <w:sz w:val="20"/>
          <w:szCs w:val="20"/>
          <w:color w:val="auto"/>
        </w:rPr>
      </w:pPr>
      <w:r>
        <w:rPr>
          <w:rFonts w:ascii="Arial" w:cs="Arial" w:eastAsia="Arial" w:hAnsi="Arial"/>
          <w:sz w:val="20"/>
          <w:szCs w:val="20"/>
          <w:color w:val="auto"/>
        </w:rPr>
        <w:t>Total revenues were $271.0 million, representing reported growth of 5.1% and organic growth of 6.3% compared to the second quarter of 2022, due to high single-digit growth in Advanced Energy driven by CUSA capital and disposables; mid-single-digit growth in CSF management driven by Certas® Plus valves and BactiSeal®; mid-single-digit growth in Dural Access and Repair driven by Mayfield® and DuraGen®; low single-digit decline in Neuro Monitoring driven by CereLink and low double-digit growth in Instruments.</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Tissue Technologies (~29% of Revenues)</w:t>
      </w:r>
    </w:p>
    <w:p>
      <w:pPr>
        <w:spacing w:after="0" w:line="249" w:lineRule="exact"/>
        <w:rPr>
          <w:sz w:val="20"/>
          <w:szCs w:val="20"/>
          <w:color w:val="auto"/>
        </w:rPr>
      </w:pPr>
    </w:p>
    <w:p>
      <w:pPr>
        <w:jc w:val="both"/>
        <w:ind w:left="1300" w:right="200" w:hanging="320"/>
        <w:spacing w:after="0" w:line="266"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Total revenues were $110.2 million, representing reported decline of 21.2% and organic decline of 19.7% compared to the second quarter of 2022, due to the impact of the lost revenue and return provision for the Boston recall which was partially</w:t>
      </w:r>
    </w:p>
    <w:p>
      <w:pPr>
        <w:ind w:left="1300"/>
        <w:spacing w:after="0"/>
        <w:rPr>
          <w:sz w:val="20"/>
          <w:szCs w:val="20"/>
          <w:color w:val="auto"/>
        </w:rPr>
      </w:pPr>
      <w:r>
        <w:rPr>
          <w:rFonts w:ascii="Arial" w:cs="Arial" w:eastAsia="Arial" w:hAnsi="Arial"/>
          <w:sz w:val="20"/>
          <w:szCs w:val="20"/>
          <w:color w:val="auto"/>
        </w:rPr>
        <w:t xml:space="preserve">offset by </w:t>
      </w:r>
      <w:r>
        <w:rPr>
          <w:rFonts w:ascii="Arial" w:cs="Arial" w:eastAsia="Arial" w:hAnsi="Arial"/>
          <w:sz w:val="21"/>
          <w:szCs w:val="21"/>
          <w:color w:val="auto"/>
        </w:rPr>
        <w:t>double digit</w:t>
      </w:r>
      <w:r>
        <w:rPr>
          <w:rFonts w:ascii="Arial" w:cs="Arial" w:eastAsia="Arial" w:hAnsi="Arial"/>
          <w:sz w:val="20"/>
          <w:szCs w:val="20"/>
          <w:color w:val="auto"/>
        </w:rPr>
        <w:t xml:space="preserve"> growth from MicroMatrix®, Cytal®, MediHoney® and nerve franchise.</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Key Products and Business Highlights</w:t>
      </w:r>
    </w:p>
    <w:p>
      <w:pPr>
        <w:spacing w:after="0" w:line="224" w:lineRule="exact"/>
        <w:rPr>
          <w:sz w:val="20"/>
          <w:szCs w:val="20"/>
          <w:color w:val="auto"/>
        </w:rPr>
      </w:pPr>
    </w:p>
    <w:p>
      <w:pPr>
        <w:ind w:left="1300" w:hanging="320"/>
        <w:spacing w:after="0"/>
        <w:tabs>
          <w:tab w:leader="none" w:pos="1300" w:val="left"/>
        </w:tabs>
        <w:numPr>
          <w:ilvl w:val="0"/>
          <w:numId w:val="11"/>
        </w:numPr>
        <w:rPr>
          <w:rFonts w:ascii="Arial" w:cs="Arial" w:eastAsia="Arial" w:hAnsi="Arial"/>
          <w:sz w:val="22"/>
          <w:szCs w:val="22"/>
          <w:color w:val="auto"/>
        </w:rPr>
      </w:pPr>
      <w:r>
        <w:rPr>
          <w:rFonts w:ascii="Arial" w:cs="Arial" w:eastAsia="Arial" w:hAnsi="Arial"/>
          <w:sz w:val="20"/>
          <w:szCs w:val="20"/>
          <w:color w:val="auto"/>
        </w:rPr>
        <w:t>Positive global demand performance across the portfolio</w:t>
      </w:r>
    </w:p>
    <w:p>
      <w:pPr>
        <w:spacing w:after="0" w:line="6" w:lineRule="exact"/>
        <w:rPr>
          <w:rFonts w:ascii="Arial" w:cs="Arial" w:eastAsia="Arial" w:hAnsi="Arial"/>
          <w:sz w:val="22"/>
          <w:szCs w:val="22"/>
          <w:color w:val="auto"/>
        </w:rPr>
      </w:pPr>
    </w:p>
    <w:p>
      <w:pPr>
        <w:ind w:left="1300" w:hanging="320"/>
        <w:spacing w:after="0"/>
        <w:tabs>
          <w:tab w:leader="none" w:pos="1300" w:val="left"/>
        </w:tabs>
        <w:numPr>
          <w:ilvl w:val="0"/>
          <w:numId w:val="11"/>
        </w:numPr>
        <w:rPr>
          <w:rFonts w:ascii="Arial" w:cs="Arial" w:eastAsia="Arial" w:hAnsi="Arial"/>
          <w:sz w:val="19"/>
          <w:szCs w:val="19"/>
          <w:color w:val="auto"/>
        </w:rPr>
      </w:pPr>
      <w:r>
        <w:rPr>
          <w:rFonts w:ascii="Arial" w:cs="Arial" w:eastAsia="Arial" w:hAnsi="Arial"/>
          <w:sz w:val="18"/>
          <w:szCs w:val="18"/>
          <w:color w:val="auto"/>
        </w:rPr>
        <w:t>Expect to restart manufacturing at the Boston facility late Q4’23 and resume commercial distribution in mid- to late Q2’24</w:t>
      </w:r>
    </w:p>
    <w:p>
      <w:pPr>
        <w:spacing w:after="0" w:line="37" w:lineRule="exact"/>
        <w:rPr>
          <w:rFonts w:ascii="Arial" w:cs="Arial" w:eastAsia="Arial" w:hAnsi="Arial"/>
          <w:sz w:val="19"/>
          <w:szCs w:val="19"/>
          <w:color w:val="auto"/>
        </w:rPr>
      </w:pPr>
    </w:p>
    <w:p>
      <w:pPr>
        <w:ind w:left="1300" w:hanging="320"/>
        <w:spacing w:after="0" w:line="237" w:lineRule="auto"/>
        <w:tabs>
          <w:tab w:leader="none" w:pos="1300" w:val="left"/>
        </w:tabs>
        <w:numPr>
          <w:ilvl w:val="0"/>
          <w:numId w:val="11"/>
        </w:numPr>
        <w:rPr>
          <w:rFonts w:ascii="Arial" w:cs="Arial" w:eastAsia="Arial" w:hAnsi="Arial"/>
          <w:sz w:val="22"/>
          <w:szCs w:val="22"/>
          <w:color w:val="auto"/>
        </w:rPr>
      </w:pPr>
      <w:r>
        <w:rPr>
          <w:rFonts w:ascii="Arial" w:cs="Arial" w:eastAsia="Arial" w:hAnsi="Arial"/>
          <w:sz w:val="20"/>
          <w:szCs w:val="20"/>
          <w:color w:val="auto"/>
        </w:rPr>
        <w:t>Relaunch of CereLink® expected late Q3’23 in international markets and late Q4’23 in the US</w:t>
      </w:r>
    </w:p>
    <w:p>
      <w:pPr>
        <w:spacing w:after="0" w:line="17" w:lineRule="exact"/>
        <w:rPr>
          <w:rFonts w:ascii="Arial" w:cs="Arial" w:eastAsia="Arial" w:hAnsi="Arial"/>
          <w:sz w:val="22"/>
          <w:szCs w:val="22"/>
          <w:color w:val="auto"/>
        </w:rPr>
      </w:pPr>
    </w:p>
    <w:p>
      <w:pPr>
        <w:ind w:left="1300" w:hanging="320"/>
        <w:spacing w:after="0"/>
        <w:tabs>
          <w:tab w:leader="none" w:pos="1300" w:val="left"/>
        </w:tabs>
        <w:numPr>
          <w:ilvl w:val="0"/>
          <w:numId w:val="11"/>
        </w:numPr>
        <w:rPr>
          <w:rFonts w:ascii="Arial" w:cs="Arial" w:eastAsia="Arial" w:hAnsi="Arial"/>
          <w:sz w:val="22"/>
          <w:szCs w:val="22"/>
          <w:color w:val="auto"/>
        </w:rPr>
      </w:pPr>
      <w:r>
        <w:rPr>
          <w:rFonts w:ascii="Arial" w:cs="Arial" w:eastAsia="Arial" w:hAnsi="Arial"/>
          <w:sz w:val="20"/>
          <w:szCs w:val="20"/>
          <w:color w:val="auto"/>
        </w:rPr>
        <w:t>Advancing IBBR PMA strategy</w:t>
      </w:r>
    </w:p>
    <w:p>
      <w:pPr>
        <w:spacing w:after="0" w:line="5" w:lineRule="exact"/>
        <w:rPr>
          <w:rFonts w:ascii="Arial" w:cs="Arial" w:eastAsia="Arial" w:hAnsi="Arial"/>
          <w:sz w:val="22"/>
          <w:szCs w:val="22"/>
          <w:color w:val="auto"/>
        </w:rPr>
      </w:pPr>
    </w:p>
    <w:p>
      <w:pPr>
        <w:ind w:left="1960" w:hanging="332"/>
        <w:spacing w:after="0" w:line="224" w:lineRule="auto"/>
        <w:tabs>
          <w:tab w:leader="none" w:pos="1960" w:val="left"/>
        </w:tabs>
        <w:numPr>
          <w:ilvl w:val="1"/>
          <w:numId w:val="11"/>
        </w:numPr>
        <w:rPr>
          <w:rFonts w:ascii="Arial" w:cs="Arial" w:eastAsia="Arial" w:hAnsi="Arial"/>
          <w:sz w:val="22"/>
          <w:szCs w:val="22"/>
          <w:color w:val="auto"/>
        </w:rPr>
      </w:pPr>
      <w:r>
        <w:rPr>
          <w:rFonts w:ascii="Arial" w:cs="Arial" w:eastAsia="Arial" w:hAnsi="Arial"/>
          <w:sz w:val="20"/>
          <w:szCs w:val="20"/>
          <w:color w:val="auto"/>
        </w:rPr>
        <w:t>Submitted clinical PMA amendment for SurgiMend®</w:t>
      </w:r>
    </w:p>
    <w:p>
      <w:pPr>
        <w:spacing w:after="0" w:line="6" w:lineRule="exact"/>
        <w:rPr>
          <w:rFonts w:ascii="Arial" w:cs="Arial" w:eastAsia="Arial" w:hAnsi="Arial"/>
          <w:sz w:val="22"/>
          <w:szCs w:val="22"/>
          <w:color w:val="auto"/>
        </w:rPr>
      </w:pPr>
    </w:p>
    <w:p>
      <w:pPr>
        <w:ind w:left="1960" w:hanging="332"/>
        <w:spacing w:after="0" w:line="237" w:lineRule="auto"/>
        <w:tabs>
          <w:tab w:leader="none" w:pos="1960" w:val="left"/>
        </w:tabs>
        <w:numPr>
          <w:ilvl w:val="1"/>
          <w:numId w:val="11"/>
        </w:numPr>
        <w:rPr>
          <w:rFonts w:ascii="Arial" w:cs="Arial" w:eastAsia="Arial" w:hAnsi="Arial"/>
          <w:sz w:val="22"/>
          <w:szCs w:val="22"/>
          <w:color w:val="auto"/>
        </w:rPr>
      </w:pPr>
      <w:r>
        <w:rPr>
          <w:rFonts w:ascii="Arial" w:cs="Arial" w:eastAsia="Arial" w:hAnsi="Arial"/>
          <w:sz w:val="20"/>
          <w:szCs w:val="20"/>
          <w:color w:val="auto"/>
        </w:rPr>
        <w:t>Completed enrollment In DuraSorb® Monofilament Mesh U.S. investigational device exemption study</w:t>
      </w:r>
    </w:p>
    <w:p>
      <w:pPr>
        <w:spacing w:after="0" w:line="17" w:lineRule="exact"/>
        <w:rPr>
          <w:rFonts w:ascii="Arial" w:cs="Arial" w:eastAsia="Arial" w:hAnsi="Arial"/>
          <w:sz w:val="22"/>
          <w:szCs w:val="22"/>
          <w:color w:val="auto"/>
        </w:rPr>
      </w:pPr>
    </w:p>
    <w:p>
      <w:pPr>
        <w:ind w:left="1300" w:hanging="320"/>
        <w:spacing w:after="0"/>
        <w:tabs>
          <w:tab w:leader="none" w:pos="1300" w:val="left"/>
        </w:tabs>
        <w:numPr>
          <w:ilvl w:val="0"/>
          <w:numId w:val="11"/>
        </w:numPr>
        <w:rPr>
          <w:rFonts w:ascii="Arial" w:cs="Arial" w:eastAsia="Arial" w:hAnsi="Arial"/>
          <w:sz w:val="22"/>
          <w:szCs w:val="22"/>
          <w:color w:val="auto"/>
        </w:rPr>
      </w:pPr>
      <w:r>
        <w:rPr>
          <w:rFonts w:ascii="Arial" w:cs="Arial" w:eastAsia="Arial" w:hAnsi="Arial"/>
          <w:sz w:val="20"/>
          <w:szCs w:val="20"/>
          <w:color w:val="auto"/>
        </w:rPr>
        <w:t>Expanded global DuraGen® portfolio with approvals in China and Japan</w:t>
      </w:r>
    </w:p>
    <w:p>
      <w:pPr>
        <w:spacing w:after="0" w:line="17" w:lineRule="exact"/>
        <w:rPr>
          <w:rFonts w:ascii="Arial" w:cs="Arial" w:eastAsia="Arial" w:hAnsi="Arial"/>
          <w:sz w:val="22"/>
          <w:szCs w:val="22"/>
          <w:color w:val="auto"/>
        </w:rPr>
      </w:pPr>
    </w:p>
    <w:p>
      <w:pPr>
        <w:ind w:left="1300" w:hanging="320"/>
        <w:spacing w:after="0"/>
        <w:tabs>
          <w:tab w:leader="none" w:pos="1300" w:val="left"/>
        </w:tabs>
        <w:numPr>
          <w:ilvl w:val="0"/>
          <w:numId w:val="11"/>
        </w:numPr>
        <w:rPr>
          <w:rFonts w:ascii="Arial" w:cs="Arial" w:eastAsia="Arial" w:hAnsi="Arial"/>
          <w:sz w:val="22"/>
          <w:szCs w:val="22"/>
          <w:color w:val="auto"/>
        </w:rPr>
      </w:pPr>
      <w:r>
        <w:rPr>
          <w:rFonts w:ascii="Arial" w:cs="Arial" w:eastAsia="Arial" w:hAnsi="Arial"/>
          <w:sz w:val="20"/>
          <w:szCs w:val="20"/>
          <w:color w:val="auto"/>
        </w:rPr>
        <w:t>Launched CUSA Lap Tip in Japan, Canada, South Africa and Israel</w:t>
      </w:r>
    </w:p>
    <w:p>
      <w:pPr>
        <w:spacing w:after="0" w:line="6" w:lineRule="exact"/>
        <w:rPr>
          <w:rFonts w:ascii="Arial" w:cs="Arial" w:eastAsia="Arial" w:hAnsi="Arial"/>
          <w:sz w:val="22"/>
          <w:szCs w:val="22"/>
          <w:color w:val="auto"/>
        </w:rPr>
      </w:pPr>
    </w:p>
    <w:p>
      <w:pPr>
        <w:ind w:left="1300" w:hanging="320"/>
        <w:spacing w:after="0"/>
        <w:tabs>
          <w:tab w:leader="none" w:pos="1300" w:val="left"/>
        </w:tabs>
        <w:numPr>
          <w:ilvl w:val="0"/>
          <w:numId w:val="11"/>
        </w:numPr>
        <w:rPr>
          <w:rFonts w:ascii="Arial" w:cs="Arial" w:eastAsia="Arial" w:hAnsi="Arial"/>
          <w:sz w:val="19"/>
          <w:szCs w:val="19"/>
          <w:color w:val="auto"/>
        </w:rPr>
      </w:pPr>
      <w:r>
        <w:rPr>
          <w:rFonts w:ascii="Arial" w:cs="Arial" w:eastAsia="Arial" w:hAnsi="Arial"/>
          <w:sz w:val="18"/>
          <w:szCs w:val="18"/>
          <w:color w:val="auto"/>
        </w:rPr>
        <w:t>Positive clinical and economic outcomes for Codman® Bactiseal® EVD Catheter from real-world evidence study in Europe</w:t>
      </w:r>
    </w:p>
    <w:p>
      <w:pPr>
        <w:spacing w:after="0" w:line="48" w:lineRule="exact"/>
        <w:rPr>
          <w:rFonts w:ascii="Arial" w:cs="Arial" w:eastAsia="Arial" w:hAnsi="Arial"/>
          <w:sz w:val="19"/>
          <w:szCs w:val="19"/>
          <w:color w:val="auto"/>
        </w:rPr>
      </w:pPr>
    </w:p>
    <w:p>
      <w:pPr>
        <w:ind w:left="1300" w:hanging="320"/>
        <w:spacing w:after="0"/>
        <w:tabs>
          <w:tab w:leader="none" w:pos="1300" w:val="left"/>
        </w:tabs>
        <w:numPr>
          <w:ilvl w:val="0"/>
          <w:numId w:val="11"/>
        </w:numPr>
        <w:rPr>
          <w:rFonts w:ascii="Arial" w:cs="Arial" w:eastAsia="Arial" w:hAnsi="Arial"/>
          <w:sz w:val="22"/>
          <w:szCs w:val="22"/>
          <w:color w:val="auto"/>
        </w:rPr>
      </w:pPr>
      <w:r>
        <w:rPr>
          <w:rFonts w:ascii="Arial" w:cs="Arial" w:eastAsia="Arial" w:hAnsi="Arial"/>
          <w:sz w:val="20"/>
          <w:szCs w:val="20"/>
          <w:color w:val="auto"/>
        </w:rPr>
        <w:t>Opened Dr. Richard E. Caruso Center of Innovation and Learning in Plainsboro, New Jersey</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Balance Sheet, Cash Flow and Capital Allocation</w:t>
      </w:r>
    </w:p>
    <w:p>
      <w:pPr>
        <w:spacing w:after="0" w:line="195" w:lineRule="exact"/>
        <w:rPr>
          <w:sz w:val="20"/>
          <w:szCs w:val="20"/>
          <w:color w:val="auto"/>
        </w:rPr>
      </w:pPr>
    </w:p>
    <w:p>
      <w:pPr>
        <w:ind w:right="380"/>
        <w:spacing w:after="0" w:line="287" w:lineRule="auto"/>
        <w:rPr>
          <w:sz w:val="20"/>
          <w:szCs w:val="20"/>
          <w:color w:val="auto"/>
        </w:rPr>
      </w:pPr>
      <w:r>
        <w:rPr>
          <w:rFonts w:ascii="Arial" w:cs="Arial" w:eastAsia="Arial" w:hAnsi="Arial"/>
          <w:sz w:val="19"/>
          <w:szCs w:val="19"/>
          <w:color w:val="auto"/>
        </w:rPr>
        <w:t>The Company generated cash flow from operations of $28.3 million in the quarter. Total balance sheet debt and net debt at the end of the quarter were $1.44 billion and $1.13 billion, respectively, and the consolidated total leverage ratio was 2.6x.</w:t>
      </w:r>
    </w:p>
    <w:p>
      <w:pPr>
        <w:spacing w:after="0" w:line="166" w:lineRule="exact"/>
        <w:rPr>
          <w:sz w:val="20"/>
          <w:szCs w:val="20"/>
          <w:color w:val="auto"/>
        </w:rPr>
      </w:pPr>
    </w:p>
    <w:p>
      <w:pPr>
        <w:ind w:right="600"/>
        <w:spacing w:after="0" w:line="274" w:lineRule="auto"/>
        <w:rPr>
          <w:sz w:val="20"/>
          <w:szCs w:val="20"/>
          <w:color w:val="auto"/>
        </w:rPr>
      </w:pPr>
      <w:r>
        <w:rPr>
          <w:rFonts w:ascii="Arial" w:cs="Arial" w:eastAsia="Arial" w:hAnsi="Arial"/>
          <w:sz w:val="20"/>
          <w:szCs w:val="20"/>
          <w:color w:val="auto"/>
        </w:rPr>
        <w:t>As of quarter end, the Company had total liquidity of approximately $1.61 billion, including $309.2 million in cash and the remainder available under the revolving credit facility.</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Share Repurchase Program</w:t>
      </w:r>
    </w:p>
    <w:p>
      <w:pPr>
        <w:spacing w:after="0" w:line="249" w:lineRule="exact"/>
        <w:rPr>
          <w:sz w:val="20"/>
          <w:szCs w:val="20"/>
          <w:color w:val="auto"/>
        </w:rPr>
      </w:pPr>
    </w:p>
    <w:p>
      <w:pPr>
        <w:ind w:right="420"/>
        <w:spacing w:after="0" w:line="254" w:lineRule="auto"/>
        <w:rPr>
          <w:sz w:val="20"/>
          <w:szCs w:val="20"/>
          <w:color w:val="auto"/>
        </w:rPr>
      </w:pPr>
      <w:r>
        <w:rPr>
          <w:rFonts w:ascii="Arial" w:cs="Arial" w:eastAsia="Arial" w:hAnsi="Arial"/>
          <w:sz w:val="20"/>
          <w:szCs w:val="20"/>
          <w:color w:val="auto"/>
        </w:rPr>
        <w:t>The Company is planning for a $125 million share repurchase during the third quarter under an authorization of the Company’s board of directors</w:t>
      </w:r>
      <w:r>
        <w:rPr>
          <w:rFonts w:ascii="Arial" w:cs="Arial" w:eastAsia="Arial" w:hAnsi="Arial"/>
          <w:sz w:val="21"/>
          <w:szCs w:val="21"/>
          <w:color w:val="auto"/>
        </w:rPr>
        <w:t>.</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2023 Outlook</w:t>
      </w:r>
    </w:p>
    <w:p>
      <w:pPr>
        <w:spacing w:after="0" w:line="176" w:lineRule="exact"/>
        <w:rPr>
          <w:sz w:val="20"/>
          <w:szCs w:val="20"/>
          <w:color w:val="auto"/>
        </w:rPr>
      </w:pPr>
    </w:p>
    <w:p>
      <w:pPr>
        <w:spacing w:after="0" w:line="254" w:lineRule="auto"/>
        <w:rPr>
          <w:sz w:val="20"/>
          <w:szCs w:val="20"/>
          <w:color w:val="auto"/>
        </w:rPr>
      </w:pPr>
      <w:r>
        <w:rPr>
          <w:rFonts w:ascii="Arial" w:cs="Arial" w:eastAsia="Arial" w:hAnsi="Arial"/>
          <w:sz w:val="20"/>
          <w:szCs w:val="20"/>
          <w:color w:val="auto"/>
        </w:rPr>
        <w:t xml:space="preserve">For the full year 2023, the Company is updating its revenue and adjusted EPS expectations to </w:t>
      </w:r>
      <w:r>
        <w:rPr>
          <w:rFonts w:ascii="Arial" w:cs="Arial" w:eastAsia="Arial" w:hAnsi="Arial"/>
          <w:sz w:val="21"/>
          <w:szCs w:val="21"/>
          <w:color w:val="auto"/>
        </w:rPr>
        <w:t>$1.548 to $1.560 billion</w:t>
      </w:r>
      <w:r>
        <w:rPr>
          <w:rFonts w:ascii="Arial" w:cs="Arial" w:eastAsia="Arial" w:hAnsi="Arial"/>
          <w:sz w:val="20"/>
          <w:szCs w:val="20"/>
          <w:color w:val="auto"/>
        </w:rPr>
        <w:t xml:space="preserve"> and </w:t>
      </w:r>
      <w:r>
        <w:rPr>
          <w:rFonts w:ascii="Arial" w:cs="Arial" w:eastAsia="Arial" w:hAnsi="Arial"/>
          <w:sz w:val="21"/>
          <w:szCs w:val="21"/>
          <w:color w:val="auto"/>
        </w:rPr>
        <w:t>$3.10 to $3.18</w:t>
      </w:r>
      <w:r>
        <w:rPr>
          <w:rFonts w:ascii="Arial" w:cs="Arial" w:eastAsia="Arial" w:hAnsi="Arial"/>
          <w:sz w:val="20"/>
          <w:szCs w:val="20"/>
          <w:color w:val="auto"/>
        </w:rPr>
        <w:t xml:space="preserve">, respectively. The revenue range represents reported growth of </w:t>
      </w:r>
      <w:r>
        <w:rPr>
          <w:rFonts w:ascii="Arial" w:cs="Arial" w:eastAsia="Arial" w:hAnsi="Arial"/>
          <w:sz w:val="21"/>
          <w:szCs w:val="21"/>
          <w:color w:val="auto"/>
        </w:rPr>
        <w:t>-0.6% to 0.2%,</w:t>
      </w:r>
      <w:r>
        <w:rPr>
          <w:rFonts w:ascii="Arial" w:cs="Arial" w:eastAsia="Arial" w:hAnsi="Arial"/>
          <w:sz w:val="20"/>
          <w:szCs w:val="20"/>
          <w:color w:val="auto"/>
        </w:rPr>
        <w:t xml:space="preserve"> with organic growth of </w:t>
      </w:r>
      <w:r>
        <w:rPr>
          <w:rFonts w:ascii="Arial" w:cs="Arial" w:eastAsia="Arial" w:hAnsi="Arial"/>
          <w:sz w:val="21"/>
          <w:szCs w:val="21"/>
          <w:color w:val="auto"/>
        </w:rPr>
        <w:t>0.3% to 1.1%</w:t>
      </w:r>
      <w:r>
        <w:rPr>
          <w:rFonts w:ascii="Arial" w:cs="Arial" w:eastAsia="Arial" w:hAnsi="Arial"/>
          <w:sz w:val="20"/>
          <w:szCs w:val="20"/>
          <w:color w:val="auto"/>
        </w:rPr>
        <w:t xml:space="preserve"> and reflects the full year impact of the Boston recall and the solid performance of the underlying business.</w:t>
      </w:r>
    </w:p>
    <w:p>
      <w:pPr>
        <w:sectPr>
          <w:pgSz w:w="11900" w:h="16838" w:orient="portrait"/>
          <w:cols w:equalWidth="0" w:num="1">
            <w:col w:w="11220"/>
          </w:cols>
          <w:pgMar w:left="320" w:top="886" w:right="359" w:bottom="1440" w:gutter="0" w:footer="0" w:header="0"/>
        </w:sectPr>
      </w:pPr>
    </w:p>
    <w:bookmarkStart w:id="9" w:name="page10"/>
    <w:bookmarkEnd w:id="9"/>
    <w:p>
      <w:pPr>
        <w:ind w:right="180"/>
        <w:spacing w:after="0" w:line="284" w:lineRule="auto"/>
        <w:rPr>
          <w:sz w:val="20"/>
          <w:szCs w:val="20"/>
          <w:color w:val="auto"/>
        </w:rPr>
      </w:pPr>
      <w:r>
        <w:rPr>
          <w:rFonts w:ascii="Arial" w:cs="Arial" w:eastAsia="Arial" w:hAnsi="Arial"/>
          <w:sz w:val="18"/>
          <w:szCs w:val="18"/>
          <w:color w:val="auto"/>
        </w:rPr>
        <w:t xml:space="preserve">For the third quarter 2023, the Company expects reported revenues in the range of </w:t>
      </w:r>
      <w:r>
        <w:rPr>
          <w:rFonts w:ascii="Arial" w:cs="Arial" w:eastAsia="Arial" w:hAnsi="Arial"/>
          <w:sz w:val="19"/>
          <w:szCs w:val="19"/>
          <w:color w:val="auto"/>
        </w:rPr>
        <w:t>$386</w:t>
      </w:r>
      <w:r>
        <w:rPr>
          <w:rFonts w:ascii="Arial" w:cs="Arial" w:eastAsia="Arial" w:hAnsi="Arial"/>
          <w:sz w:val="18"/>
          <w:szCs w:val="18"/>
          <w:color w:val="auto"/>
        </w:rPr>
        <w:t xml:space="preserve"> million to </w:t>
      </w:r>
      <w:r>
        <w:rPr>
          <w:rFonts w:ascii="Arial" w:cs="Arial" w:eastAsia="Arial" w:hAnsi="Arial"/>
          <w:sz w:val="19"/>
          <w:szCs w:val="19"/>
          <w:color w:val="auto"/>
        </w:rPr>
        <w:t>$390</w:t>
      </w:r>
      <w:r>
        <w:rPr>
          <w:rFonts w:ascii="Arial" w:cs="Arial" w:eastAsia="Arial" w:hAnsi="Arial"/>
          <w:sz w:val="18"/>
          <w:szCs w:val="18"/>
          <w:color w:val="auto"/>
        </w:rPr>
        <w:t xml:space="preserve"> million, representing reported growth of </w:t>
      </w:r>
      <w:r>
        <w:rPr>
          <w:rFonts w:ascii="Arial" w:cs="Arial" w:eastAsia="Arial" w:hAnsi="Arial"/>
          <w:sz w:val="19"/>
          <w:szCs w:val="19"/>
          <w:color w:val="auto"/>
        </w:rPr>
        <w:t>0.2%</w:t>
      </w:r>
      <w:r>
        <w:rPr>
          <w:rFonts w:ascii="Arial" w:cs="Arial" w:eastAsia="Arial" w:hAnsi="Arial"/>
          <w:sz w:val="18"/>
          <w:szCs w:val="18"/>
          <w:color w:val="auto"/>
        </w:rPr>
        <w:t xml:space="preserve"> to 1.3</w:t>
      </w:r>
      <w:r>
        <w:rPr>
          <w:rFonts w:ascii="Arial" w:cs="Arial" w:eastAsia="Arial" w:hAnsi="Arial"/>
          <w:sz w:val="19"/>
          <w:szCs w:val="19"/>
          <w:color w:val="auto"/>
        </w:rPr>
        <w:t>%</w:t>
      </w:r>
      <w:r>
        <w:rPr>
          <w:rFonts w:ascii="Arial" w:cs="Arial" w:eastAsia="Arial" w:hAnsi="Arial"/>
          <w:sz w:val="18"/>
          <w:szCs w:val="18"/>
          <w:color w:val="auto"/>
        </w:rPr>
        <w:t xml:space="preserve"> and organic growth of </w:t>
      </w:r>
      <w:r>
        <w:rPr>
          <w:rFonts w:ascii="Arial" w:cs="Arial" w:eastAsia="Arial" w:hAnsi="Arial"/>
          <w:sz w:val="19"/>
          <w:szCs w:val="19"/>
          <w:color w:val="auto"/>
        </w:rPr>
        <w:t>0.3%</w:t>
      </w:r>
      <w:r>
        <w:rPr>
          <w:rFonts w:ascii="Arial" w:cs="Arial" w:eastAsia="Arial" w:hAnsi="Arial"/>
          <w:sz w:val="18"/>
          <w:szCs w:val="18"/>
          <w:color w:val="auto"/>
        </w:rPr>
        <w:t xml:space="preserve"> to 1.3</w:t>
      </w:r>
      <w:r>
        <w:rPr>
          <w:rFonts w:ascii="Arial" w:cs="Arial" w:eastAsia="Arial" w:hAnsi="Arial"/>
          <w:sz w:val="19"/>
          <w:szCs w:val="19"/>
          <w:color w:val="auto"/>
        </w:rPr>
        <w:t>%</w:t>
      </w:r>
      <w:r>
        <w:rPr>
          <w:rFonts w:ascii="Arial" w:cs="Arial" w:eastAsia="Arial" w:hAnsi="Arial"/>
          <w:sz w:val="18"/>
          <w:szCs w:val="18"/>
          <w:color w:val="auto"/>
        </w:rPr>
        <w:t xml:space="preserve">. Adjusted earnings per diluted share are expected to be in the range of </w:t>
      </w:r>
      <w:r>
        <w:rPr>
          <w:rFonts w:ascii="Arial" w:cs="Arial" w:eastAsia="Arial" w:hAnsi="Arial"/>
          <w:sz w:val="19"/>
          <w:szCs w:val="19"/>
          <w:color w:val="auto"/>
        </w:rPr>
        <w:t>$0.76</w:t>
      </w:r>
    </w:p>
    <w:p>
      <w:pPr>
        <w:spacing w:after="0"/>
        <w:rPr>
          <w:sz w:val="20"/>
          <w:szCs w:val="20"/>
          <w:color w:val="auto"/>
        </w:rPr>
      </w:pPr>
      <w:r>
        <w:rPr>
          <w:rFonts w:ascii="Arial" w:cs="Arial" w:eastAsia="Arial" w:hAnsi="Arial"/>
          <w:sz w:val="20"/>
          <w:szCs w:val="20"/>
          <w:color w:val="auto"/>
        </w:rPr>
        <w:t xml:space="preserve">to </w:t>
      </w:r>
      <w:r>
        <w:rPr>
          <w:rFonts w:ascii="Arial" w:cs="Arial" w:eastAsia="Arial" w:hAnsi="Arial"/>
          <w:sz w:val="21"/>
          <w:szCs w:val="21"/>
          <w:color w:val="auto"/>
        </w:rPr>
        <w:t>$0.80</w:t>
      </w:r>
      <w:r>
        <w:rPr>
          <w:rFonts w:ascii="Arial" w:cs="Arial" w:eastAsia="Arial" w:hAnsi="Arial"/>
          <w:sz w:val="20"/>
          <w:szCs w:val="20"/>
          <w:color w:val="auto"/>
        </w:rPr>
        <w:t>, including the impact of the Boston recall.</w:t>
      </w:r>
    </w:p>
    <w:p>
      <w:pPr>
        <w:spacing w:after="0" w:line="231" w:lineRule="exact"/>
        <w:rPr>
          <w:sz w:val="20"/>
          <w:szCs w:val="20"/>
          <w:color w:val="auto"/>
        </w:rPr>
      </w:pPr>
    </w:p>
    <w:p>
      <w:pPr>
        <w:ind w:right="80"/>
        <w:spacing w:after="0" w:line="245" w:lineRule="auto"/>
        <w:rPr>
          <w:sz w:val="20"/>
          <w:szCs w:val="20"/>
          <w:color w:val="auto"/>
        </w:rPr>
      </w:pPr>
      <w:r>
        <w:rPr>
          <w:rFonts w:ascii="Arial" w:cs="Arial" w:eastAsia="Arial" w:hAnsi="Arial"/>
          <w:sz w:val="20"/>
          <w:szCs w:val="20"/>
          <w:color w:val="auto"/>
        </w:rPr>
        <w:t xml:space="preserve">The Company’s guidance for the third quarter and full-year organic sales growth excludes acquisitions and divestitures, the effects of foreign currency and the </w:t>
      </w:r>
      <w:r>
        <w:rPr>
          <w:rFonts w:ascii="Arial" w:cs="Arial" w:eastAsia="Arial" w:hAnsi="Arial"/>
          <w:sz w:val="21"/>
          <w:szCs w:val="21"/>
          <w:color w:val="auto"/>
        </w:rPr>
        <w:t>year-over-year change in revenue from discontinued products.</w:t>
      </w:r>
      <w:r>
        <w:rPr>
          <w:rFonts w:ascii="Arial" w:cs="Arial" w:eastAsia="Arial" w:hAnsi="Arial"/>
          <w:sz w:val="20"/>
          <w:szCs w:val="20"/>
          <w:color w:val="auto"/>
        </w:rPr>
        <w:t xml:space="preserve"> Organic growth excludes sales from the divestiture of the Company’s traditional wound care (TWC) business as of September 1, 2022, and sales from the acquisition of Surgical Innovation Associates, Inc. (SIA) through December 1, 2023. Adjusted earnings per share guidance reflects the impact of the divestiture of the TWC business, the SIA acquisition and the impact of foreign currency.</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Conference Call and Presentation Available Online</w:t>
      </w:r>
    </w:p>
    <w:p>
      <w:pPr>
        <w:spacing w:after="0" w:line="181" w:lineRule="exact"/>
        <w:rPr>
          <w:sz w:val="20"/>
          <w:szCs w:val="20"/>
          <w:color w:val="auto"/>
        </w:rPr>
      </w:pPr>
    </w:p>
    <w:p>
      <w:pPr>
        <w:ind w:right="40"/>
        <w:spacing w:after="0" w:line="269" w:lineRule="auto"/>
        <w:rPr>
          <w:sz w:val="20"/>
          <w:szCs w:val="20"/>
          <w:color w:val="auto"/>
        </w:rPr>
      </w:pPr>
      <w:r>
        <w:rPr>
          <w:rFonts w:ascii="Arial" w:cs="Arial" w:eastAsia="Arial" w:hAnsi="Arial"/>
          <w:sz w:val="18"/>
          <w:szCs w:val="18"/>
          <w:color w:val="auto"/>
        </w:rPr>
        <w:t>Integra has scheduled a conference call for 8:30 a.m. ET on Thursday, July 27, 2023, to discuss second quarter 2023 financial results and forward-looking financial guidance. The conference call will be hosted by Integra's senior management team and will be open to all listeners. Additional forward-looking information may be discussed in a question-and-answer session following the call. Integra's management team will reference a presentation during the conference call, which can be found on the Investor section of the website at</w:t>
      </w:r>
    </w:p>
    <w:p>
      <w:pPr>
        <w:spacing w:after="0" w:line="3" w:lineRule="exact"/>
        <w:rPr>
          <w:sz w:val="20"/>
          <w:szCs w:val="20"/>
          <w:color w:val="auto"/>
        </w:rPr>
      </w:pPr>
    </w:p>
    <w:p>
      <w:pPr>
        <w:spacing w:after="0"/>
        <w:rPr>
          <w:sz w:val="20"/>
          <w:szCs w:val="20"/>
          <w:color w:val="auto"/>
        </w:rPr>
      </w:pPr>
      <w:r>
        <w:rPr>
          <w:rFonts w:ascii="Arial" w:cs="Arial" w:eastAsia="Arial" w:hAnsi="Arial"/>
          <w:sz w:val="22"/>
          <w:szCs w:val="22"/>
          <w:color w:val="auto"/>
        </w:rPr>
        <w:t>investor.integralife.com</w:t>
      </w:r>
      <w:r>
        <w:rPr>
          <w:rFonts w:ascii="Arial" w:cs="Arial" w:eastAsia="Arial" w:hAnsi="Arial"/>
          <w:sz w:val="19"/>
          <w:szCs w:val="19"/>
          <w:color w:val="auto"/>
        </w:rPr>
        <w:t>.</w:t>
      </w:r>
    </w:p>
    <w:p>
      <w:pPr>
        <w:spacing w:after="0" w:line="220" w:lineRule="exact"/>
        <w:rPr>
          <w:sz w:val="20"/>
          <w:szCs w:val="20"/>
          <w:color w:val="auto"/>
        </w:rPr>
      </w:pPr>
    </w:p>
    <w:p>
      <w:pPr>
        <w:ind w:right="120"/>
        <w:spacing w:after="0" w:line="246" w:lineRule="auto"/>
        <w:rPr>
          <w:sz w:val="20"/>
          <w:szCs w:val="20"/>
          <w:color w:val="auto"/>
        </w:rPr>
      </w:pPr>
      <w:r>
        <w:rPr>
          <w:rFonts w:ascii="Arial" w:cs="Arial" w:eastAsia="Arial" w:hAnsi="Arial"/>
          <w:sz w:val="20"/>
          <w:szCs w:val="20"/>
          <w:color w:val="auto"/>
        </w:rPr>
        <w:t>A live webcast will be available on the Investors section of the Company’s website at investor.integralife.com. For those planning to participate on the call, register here to receive dial-in details and an individual pin. While not required, it is recommended to join 10 minutes prior to the event’s start. A webcast replay of the conference call will be available on the Investors section of the Company’s website following the call.</w:t>
      </w:r>
    </w:p>
    <w:p>
      <w:pPr>
        <w:spacing w:after="0" w:line="3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Integra</w:t>
      </w:r>
    </w:p>
    <w:p>
      <w:pPr>
        <w:spacing w:after="0" w:line="249" w:lineRule="exact"/>
        <w:rPr>
          <w:sz w:val="20"/>
          <w:szCs w:val="20"/>
          <w:color w:val="auto"/>
        </w:rPr>
      </w:pPr>
    </w:p>
    <w:p>
      <w:pPr>
        <w:spacing w:after="0"/>
        <w:rPr>
          <w:sz w:val="20"/>
          <w:szCs w:val="20"/>
          <w:color w:val="auto"/>
        </w:rPr>
      </w:pPr>
      <w:r>
        <w:rPr>
          <w:rFonts w:ascii="Arial" w:cs="Arial" w:eastAsia="Arial" w:hAnsi="Arial"/>
          <w:sz w:val="19"/>
          <w:szCs w:val="19"/>
          <w:color w:val="auto"/>
        </w:rPr>
        <w:t>At Integra LifeSciences, we are driven by our purpose of restoring patients’ lives. We innovate treatment pathways to advance patient</w:t>
      </w:r>
    </w:p>
    <w:p>
      <w:pPr>
        <w:spacing w:after="0" w:line="14" w:lineRule="exact"/>
        <w:rPr>
          <w:sz w:val="20"/>
          <w:szCs w:val="20"/>
          <w:color w:val="auto"/>
        </w:rPr>
      </w:pPr>
    </w:p>
    <w:p>
      <w:pPr>
        <w:ind w:right="100"/>
        <w:spacing w:after="0" w:line="272" w:lineRule="auto"/>
        <w:rPr>
          <w:sz w:val="20"/>
          <w:szCs w:val="20"/>
          <w:color w:val="auto"/>
        </w:rPr>
      </w:pPr>
      <w:r>
        <w:rPr>
          <w:rFonts w:ascii="Arial" w:cs="Arial" w:eastAsia="Arial" w:hAnsi="Arial"/>
          <w:sz w:val="16"/>
          <w:szCs w:val="16"/>
          <w:color w:val="auto"/>
        </w:rPr>
        <w:t>outcomes and set new standards of surgical, neurologic and regenerative care. We offer a comprehensive portfolio of high quality, leadership brands that include AmnioExcel®, Aurora®, Bactiseal®, BioD™, CerebroFlo®, CereLink® Certas® Plus, Codman®, CUSA®, Cytal®,</w:t>
      </w:r>
    </w:p>
    <w:p>
      <w:pPr>
        <w:spacing w:after="0" w:line="226" w:lineRule="auto"/>
        <w:rPr>
          <w:sz w:val="20"/>
          <w:szCs w:val="20"/>
          <w:color w:val="auto"/>
        </w:rPr>
      </w:pPr>
      <w:r>
        <w:rPr>
          <w:rFonts w:ascii="Arial" w:cs="Arial" w:eastAsia="Arial" w:hAnsi="Arial"/>
          <w:sz w:val="20"/>
          <w:szCs w:val="20"/>
          <w:color w:val="auto"/>
        </w:rPr>
        <w:t>DuraGen®, DuraSeal®, DuraSorb®, Gentrix®, ICP Express®, Integra®, Licox®, MAYFIELD®, MediHoney®, MicroFrance®,</w:t>
      </w:r>
    </w:p>
    <w:p>
      <w:pPr>
        <w:spacing w:after="0" w:line="1" w:lineRule="exact"/>
        <w:rPr>
          <w:sz w:val="20"/>
          <w:szCs w:val="20"/>
          <w:color w:val="auto"/>
        </w:rPr>
      </w:pPr>
    </w:p>
    <w:p>
      <w:pPr>
        <w:ind w:right="60"/>
        <w:spacing w:after="0" w:line="227" w:lineRule="auto"/>
        <w:rPr>
          <w:sz w:val="20"/>
          <w:szCs w:val="20"/>
          <w:color w:val="auto"/>
        </w:rPr>
      </w:pPr>
      <w:r>
        <w:rPr>
          <w:rFonts w:ascii="Arial" w:cs="Arial" w:eastAsia="Arial" w:hAnsi="Arial"/>
          <w:sz w:val="20"/>
          <w:szCs w:val="20"/>
          <w:color w:val="auto"/>
        </w:rPr>
        <w:t>MicroMatrix®, NeuraGen®, NeuraWrap™, PriMatrix®, SurgiMend®, TCC-EZ® and VersaTru®. For the latest news and information about Integra and its products, please visit www.integralife.com.</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35" w:lineRule="exact"/>
        <w:rPr>
          <w:sz w:val="20"/>
          <w:szCs w:val="20"/>
          <w:color w:val="auto"/>
        </w:rPr>
      </w:pPr>
    </w:p>
    <w:p>
      <w:pPr>
        <w:spacing w:after="0"/>
        <w:rPr>
          <w:sz w:val="20"/>
          <w:szCs w:val="20"/>
          <w:color w:val="auto"/>
        </w:rPr>
      </w:pPr>
      <w:r>
        <w:rPr>
          <w:rFonts w:ascii="Arial" w:cs="Arial" w:eastAsia="Arial" w:hAnsi="Arial"/>
          <w:sz w:val="19"/>
          <w:szCs w:val="19"/>
          <w:color w:val="auto"/>
        </w:rPr>
        <w:t>This news release contains forward-looking statements within the meaning of the Private Securities Litigation Reform Act of 1995 that</w:t>
      </w:r>
    </w:p>
    <w:p>
      <w:pPr>
        <w:spacing w:after="0" w:line="14" w:lineRule="exact"/>
        <w:rPr>
          <w:sz w:val="20"/>
          <w:szCs w:val="20"/>
          <w:color w:val="auto"/>
        </w:rPr>
      </w:pPr>
    </w:p>
    <w:p>
      <w:pPr>
        <w:ind w:right="440"/>
        <w:spacing w:after="0" w:line="272" w:lineRule="auto"/>
        <w:rPr>
          <w:sz w:val="20"/>
          <w:szCs w:val="20"/>
          <w:color w:val="auto"/>
        </w:rPr>
      </w:pPr>
      <w:r>
        <w:rPr>
          <w:rFonts w:ascii="Arial" w:cs="Arial" w:eastAsia="Arial" w:hAnsi="Arial"/>
          <w:sz w:val="16"/>
          <w:szCs w:val="16"/>
          <w:color w:val="auto"/>
        </w:rPr>
        <w:t>involve risks and uncertainties and reflect the Company's judgment as of the date of this release. All statements, other than statements of historical fact, are statements that could be deemed forward-looking statements. Some of these forward-looking statements may contain</w:t>
      </w:r>
    </w:p>
    <w:p>
      <w:pPr>
        <w:spacing w:after="0" w:line="226" w:lineRule="auto"/>
        <w:rPr>
          <w:sz w:val="20"/>
          <w:szCs w:val="20"/>
          <w:color w:val="auto"/>
        </w:rPr>
      </w:pPr>
      <w:r>
        <w:rPr>
          <w:rFonts w:ascii="Arial" w:cs="Arial" w:eastAsia="Arial" w:hAnsi="Arial"/>
          <w:sz w:val="20"/>
          <w:szCs w:val="20"/>
          <w:color w:val="auto"/>
        </w:rPr>
        <w:t>words like “will,” “believe,” “may,” “could,” “would,” “might,” “possible,” “should,” “expect,” “intend,” "forecast," "guidance," “plan,”</w:t>
      </w:r>
    </w:p>
    <w:p>
      <w:pPr>
        <w:spacing w:after="0" w:line="1" w:lineRule="exact"/>
        <w:rPr>
          <w:sz w:val="20"/>
          <w:szCs w:val="20"/>
          <w:color w:val="auto"/>
        </w:rPr>
      </w:pPr>
    </w:p>
    <w:p>
      <w:pPr>
        <w:ind w:right="480"/>
        <w:spacing w:after="0" w:line="242" w:lineRule="auto"/>
        <w:rPr>
          <w:sz w:val="20"/>
          <w:szCs w:val="20"/>
          <w:color w:val="auto"/>
        </w:rPr>
      </w:pPr>
      <w:r>
        <w:rPr>
          <w:rFonts w:ascii="Arial" w:cs="Arial" w:eastAsia="Arial" w:hAnsi="Arial"/>
          <w:sz w:val="18"/>
          <w:szCs w:val="18"/>
          <w:color w:val="auto"/>
        </w:rPr>
        <w:t>“anticipate,” "target," or “continue,” the negative of these words, other terms of similar meaning or they may use future dates. Forward-looking statements contained in this news release include, but are not limited to, statements concerning future financial performance,</w:t>
      </w:r>
    </w:p>
    <w:p>
      <w:pPr>
        <w:spacing w:after="0" w:line="1" w:lineRule="exact"/>
        <w:rPr>
          <w:sz w:val="20"/>
          <w:szCs w:val="20"/>
          <w:color w:val="auto"/>
        </w:rPr>
      </w:pPr>
    </w:p>
    <w:p>
      <w:pPr>
        <w:ind w:right="200"/>
        <w:spacing w:after="0" w:line="281" w:lineRule="auto"/>
        <w:rPr>
          <w:sz w:val="20"/>
          <w:szCs w:val="20"/>
          <w:color w:val="auto"/>
        </w:rPr>
      </w:pPr>
      <w:r>
        <w:rPr>
          <w:rFonts w:ascii="Arial" w:cs="Arial" w:eastAsia="Arial" w:hAnsi="Arial"/>
          <w:sz w:val="16"/>
          <w:szCs w:val="16"/>
          <w:color w:val="auto"/>
        </w:rPr>
        <w:t>including projections for revenues, expected revenue growth (both reported and organic), GAAP and adjusted net income, GAAP and adjusted earnings per diluted share, non-GAAP adjustments such as divestiture, acquisition and integration-related charges, intangible asset</w:t>
      </w:r>
    </w:p>
    <w:p>
      <w:pPr>
        <w:spacing w:after="0" w:line="1"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amortization, structural optimization charges, EU Medical Device Regulation-related charges, charges related to the voluntary global recall of all products manufactured at the Company’s facility in Boston, Massachusetts, and income tax expense (benefit) related to non-GAAP</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adjustments and other items, expectations and plans with respect to strategic initiatives and product development, expectations concerning</w:t>
      </w:r>
    </w:p>
    <w:p>
      <w:pPr>
        <w:spacing w:after="0" w:line="9" w:lineRule="exact"/>
        <w:rPr>
          <w:sz w:val="20"/>
          <w:szCs w:val="20"/>
          <w:color w:val="auto"/>
        </w:rPr>
      </w:pPr>
    </w:p>
    <w:p>
      <w:pPr>
        <w:ind w:right="40"/>
        <w:spacing w:after="0" w:line="272" w:lineRule="auto"/>
        <w:rPr>
          <w:sz w:val="20"/>
          <w:szCs w:val="20"/>
          <w:color w:val="auto"/>
        </w:rPr>
      </w:pPr>
      <w:r>
        <w:rPr>
          <w:rFonts w:ascii="Arial" w:cs="Arial" w:eastAsia="Arial" w:hAnsi="Arial"/>
          <w:sz w:val="16"/>
          <w:szCs w:val="16"/>
          <w:color w:val="auto"/>
        </w:rPr>
        <w:t>the resumption of manufacturing at the Company’s Boston, Massachusetts facility, and statements related to the repurchase of the Company’s common stock, including the timing of any purchases under the Company’s authorized stock repurchase program. It is important to note that</w:t>
      </w:r>
    </w:p>
    <w:p>
      <w:pPr>
        <w:spacing w:after="0" w:line="238" w:lineRule="auto"/>
        <w:rPr>
          <w:sz w:val="20"/>
          <w:szCs w:val="20"/>
          <w:color w:val="auto"/>
        </w:rPr>
      </w:pPr>
      <w:r>
        <w:rPr>
          <w:rFonts w:ascii="Arial" w:cs="Arial" w:eastAsia="Arial" w:hAnsi="Arial"/>
          <w:sz w:val="19"/>
          <w:szCs w:val="19"/>
          <w:color w:val="auto"/>
        </w:rPr>
        <w:t>the Company’s goals and expectations are not predictions of actual performance. Such forward-looking statements involve risks and</w:t>
      </w:r>
    </w:p>
    <w:p>
      <w:pPr>
        <w:spacing w:after="0" w:line="1" w:lineRule="exact"/>
        <w:rPr>
          <w:sz w:val="20"/>
          <w:szCs w:val="20"/>
          <w:color w:val="auto"/>
        </w:rPr>
      </w:pPr>
    </w:p>
    <w:p>
      <w:pPr>
        <w:ind w:right="220"/>
        <w:spacing w:after="0" w:line="227" w:lineRule="auto"/>
        <w:rPr>
          <w:sz w:val="20"/>
          <w:szCs w:val="20"/>
          <w:color w:val="auto"/>
        </w:rPr>
      </w:pPr>
      <w:r>
        <w:rPr>
          <w:rFonts w:ascii="Arial" w:cs="Arial" w:eastAsia="Arial" w:hAnsi="Arial"/>
          <w:sz w:val="20"/>
          <w:szCs w:val="20"/>
          <w:color w:val="auto"/>
        </w:rPr>
        <w:t>uncertainties that could cause actual results to differ materially from predicted or expected results. Such risks and uncertainties include, but are not limited, to the following: the ongoing and possible future effects of</w:t>
      </w:r>
    </w:p>
    <w:p>
      <w:pPr>
        <w:sectPr>
          <w:pgSz w:w="11900" w:h="16838" w:orient="portrait"/>
          <w:cols w:equalWidth="0" w:num="1">
            <w:col w:w="11240"/>
          </w:cols>
          <w:pgMar w:left="320" w:top="113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global challenges, including macroeconomic uncertainties, inflation, supply chain disruptions, trade regulation and tariffs, other economic</w:t>
      </w:r>
    </w:p>
    <w:p>
      <w:pPr>
        <w:spacing w:after="0" w:line="25" w:lineRule="exact"/>
        <w:rPr>
          <w:sz w:val="20"/>
          <w:szCs w:val="20"/>
          <w:color w:val="auto"/>
        </w:rPr>
      </w:pPr>
    </w:p>
    <w:p>
      <w:pPr>
        <w:ind w:right="20"/>
        <w:spacing w:after="0" w:line="272" w:lineRule="auto"/>
        <w:rPr>
          <w:sz w:val="20"/>
          <w:szCs w:val="20"/>
          <w:color w:val="auto"/>
        </w:rPr>
      </w:pPr>
      <w:r>
        <w:rPr>
          <w:rFonts w:ascii="Arial" w:cs="Arial" w:eastAsia="Arial" w:hAnsi="Arial"/>
          <w:sz w:val="16"/>
          <w:szCs w:val="16"/>
          <w:color w:val="auto"/>
        </w:rPr>
        <w:t>disruptions and U.S. and global recession concerns, on the Company’s customers and on the Company’s business, financial condition, results of operations and cash flows; the Company's ability to execute its operating plan effectively; the Company’s ability to successfully integrate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acquired businesses; the Company’s ability to achieve sales growth in a timely fashion; the Company's ability to manufacture and ship</w:t>
      </w:r>
    </w:p>
    <w:p>
      <w:pPr>
        <w:spacing w:after="0" w:line="9" w:lineRule="exact"/>
        <w:rPr>
          <w:sz w:val="20"/>
          <w:szCs w:val="20"/>
          <w:color w:val="auto"/>
        </w:rPr>
      </w:pPr>
    </w:p>
    <w:p>
      <w:pPr>
        <w:ind w:right="260"/>
        <w:spacing w:after="0" w:line="242" w:lineRule="auto"/>
        <w:rPr>
          <w:sz w:val="20"/>
          <w:szCs w:val="20"/>
          <w:color w:val="auto"/>
        </w:rPr>
      </w:pPr>
      <w:r>
        <w:rPr>
          <w:rFonts w:ascii="Arial" w:cs="Arial" w:eastAsia="Arial" w:hAnsi="Arial"/>
          <w:sz w:val="18"/>
          <w:szCs w:val="18"/>
          <w:color w:val="auto"/>
        </w:rPr>
        <w:t>sufficient quantities of its products to meet its customers' demands; the ability of third-party suppliers to supply us with raw materials and finished products; the scope, duration and effect of additional U.S. and international governmental, regulatory, fiscal, monetary and public</w:t>
      </w:r>
    </w:p>
    <w:p>
      <w:pPr>
        <w:spacing w:after="0" w:line="1"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health responses to the COVID-19 pandemic and any future public health crises; global macroeconomic and political conditions, including the war in Ukraine; the Company's ability to manage its direct sales channels effectively; the sales performance of third-party distributors on</w:t>
      </w:r>
    </w:p>
    <w:p>
      <w:pPr>
        <w:spacing w:after="0" w:line="1" w:lineRule="exact"/>
        <w:rPr>
          <w:sz w:val="20"/>
          <w:szCs w:val="20"/>
          <w:color w:val="auto"/>
        </w:rPr>
      </w:pPr>
    </w:p>
    <w:p>
      <w:pPr>
        <w:ind w:right="340"/>
        <w:spacing w:after="0" w:line="272" w:lineRule="auto"/>
        <w:rPr>
          <w:sz w:val="20"/>
          <w:szCs w:val="20"/>
          <w:color w:val="auto"/>
        </w:rPr>
      </w:pPr>
      <w:r>
        <w:rPr>
          <w:rFonts w:ascii="Arial" w:cs="Arial" w:eastAsia="Arial" w:hAnsi="Arial"/>
          <w:sz w:val="16"/>
          <w:szCs w:val="16"/>
          <w:color w:val="auto"/>
        </w:rPr>
        <w:t>whom the Company relies to generate revenue for certain products and geographic regions; the Company's ability to access and maintain relationships with customers of acquired entities and businesses; physicians' willingness to adopt and third-party payors' willingness to</w:t>
      </w:r>
    </w:p>
    <w:p>
      <w:pPr>
        <w:spacing w:after="0" w:line="238" w:lineRule="auto"/>
        <w:rPr>
          <w:sz w:val="20"/>
          <w:szCs w:val="20"/>
          <w:color w:val="auto"/>
        </w:rPr>
      </w:pPr>
      <w:r>
        <w:rPr>
          <w:rFonts w:ascii="Arial" w:cs="Arial" w:eastAsia="Arial" w:hAnsi="Arial"/>
          <w:sz w:val="19"/>
          <w:szCs w:val="19"/>
          <w:color w:val="auto"/>
        </w:rPr>
        <w:t>provide or maintain reimbursement for the Company's recently launched, planned and existing products; initiatives launched by the</w:t>
      </w:r>
    </w:p>
    <w:p>
      <w:pPr>
        <w:spacing w:after="0" w:line="1" w:lineRule="exact"/>
        <w:rPr>
          <w:sz w:val="20"/>
          <w:szCs w:val="20"/>
          <w:color w:val="auto"/>
        </w:rPr>
      </w:pPr>
    </w:p>
    <w:p>
      <w:pPr>
        <w:ind w:right="300"/>
        <w:spacing w:after="0" w:line="242" w:lineRule="auto"/>
        <w:rPr>
          <w:sz w:val="20"/>
          <w:szCs w:val="20"/>
          <w:color w:val="auto"/>
        </w:rPr>
      </w:pPr>
      <w:r>
        <w:rPr>
          <w:rFonts w:ascii="Arial" w:cs="Arial" w:eastAsia="Arial" w:hAnsi="Arial"/>
          <w:sz w:val="18"/>
          <w:szCs w:val="18"/>
          <w:color w:val="auto"/>
        </w:rPr>
        <w:t>Company's competitors; downward pricing pressures from customers; the Company's ability to secure regulatory approval for products in development; the Company's ability to remediate quality systems violations; fluctuations in hospitals' spending for capital equipment; the</w:t>
      </w:r>
    </w:p>
    <w:p>
      <w:pPr>
        <w:spacing w:after="0" w:line="238" w:lineRule="auto"/>
        <w:rPr>
          <w:sz w:val="20"/>
          <w:szCs w:val="20"/>
          <w:color w:val="auto"/>
        </w:rPr>
      </w:pPr>
      <w:r>
        <w:rPr>
          <w:rFonts w:ascii="Arial" w:cs="Arial" w:eastAsia="Arial" w:hAnsi="Arial"/>
          <w:sz w:val="19"/>
          <w:szCs w:val="19"/>
          <w:color w:val="auto"/>
        </w:rPr>
        <w:t>Company's ability to comply with and obtain approvals for products of human origin and comply with regulations regarding products</w:t>
      </w:r>
    </w:p>
    <w:p>
      <w:pPr>
        <w:ind w:right="480"/>
        <w:spacing w:after="0" w:line="242" w:lineRule="auto"/>
        <w:rPr>
          <w:sz w:val="20"/>
          <w:szCs w:val="20"/>
          <w:color w:val="auto"/>
        </w:rPr>
      </w:pPr>
      <w:r>
        <w:rPr>
          <w:rFonts w:ascii="Arial" w:cs="Arial" w:eastAsia="Arial" w:hAnsi="Arial"/>
          <w:sz w:val="18"/>
          <w:szCs w:val="18"/>
          <w:color w:val="auto"/>
        </w:rPr>
        <w:t>containing materials derived from animal sources; difficulties in controlling expenses, including costs to procure and manufacture our products; the impact of changes in management or staff levels; the impact of goodwill and intangible asset impairment charges if future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operating results of acquired businesses are significantly less than the results anticipated at the time of the acquisitions, the Company's ability</w:t>
      </w:r>
    </w:p>
    <w:p>
      <w:pPr>
        <w:spacing w:after="0" w:line="32" w:lineRule="exact"/>
        <w:rPr>
          <w:sz w:val="20"/>
          <w:szCs w:val="20"/>
          <w:color w:val="auto"/>
        </w:rPr>
      </w:pPr>
    </w:p>
    <w:p>
      <w:pPr>
        <w:ind w:right="20"/>
        <w:spacing w:after="0" w:line="272" w:lineRule="auto"/>
        <w:rPr>
          <w:sz w:val="20"/>
          <w:szCs w:val="20"/>
          <w:color w:val="auto"/>
        </w:rPr>
      </w:pPr>
      <w:r>
        <w:rPr>
          <w:rFonts w:ascii="Arial" w:cs="Arial" w:eastAsia="Arial" w:hAnsi="Arial"/>
          <w:sz w:val="16"/>
          <w:szCs w:val="16"/>
          <w:color w:val="auto"/>
        </w:rPr>
        <w:t>to leverage its existing selling organizations and administrative infrastructure; the Company's ability to increase product sales and gross margins, and control non-product costs; the Company’s ability to achieve anticipated growth rates, margins and scale and execute its strategy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generally; the amount and timing of divestiture, acquisition and integration-related costs; the geographic distribution of where the Company</w:t>
      </w:r>
    </w:p>
    <w:p>
      <w:pPr>
        <w:spacing w:after="0" w:line="9" w:lineRule="exact"/>
        <w:rPr>
          <w:sz w:val="20"/>
          <w:szCs w:val="20"/>
          <w:color w:val="auto"/>
        </w:rPr>
      </w:pPr>
    </w:p>
    <w:p>
      <w:pPr>
        <w:ind w:right="240"/>
        <w:spacing w:after="0" w:line="242" w:lineRule="auto"/>
        <w:rPr>
          <w:sz w:val="20"/>
          <w:szCs w:val="20"/>
          <w:color w:val="auto"/>
        </w:rPr>
      </w:pPr>
      <w:r>
        <w:rPr>
          <w:rFonts w:ascii="Arial" w:cs="Arial" w:eastAsia="Arial" w:hAnsi="Arial"/>
          <w:sz w:val="18"/>
          <w:szCs w:val="18"/>
          <w:color w:val="auto"/>
        </w:rPr>
        <w:t>generates its taxable income; new U.S. and foreign government laws and regulations, and changes in existing laws, regulations and enforcement guidance, which affect areas of our operations including, but not limited to, those affecting the health care industry, including</w:t>
      </w:r>
    </w:p>
    <w:p>
      <w:pPr>
        <w:spacing w:after="0" w:line="1" w:lineRule="exact"/>
        <w:rPr>
          <w:sz w:val="20"/>
          <w:szCs w:val="20"/>
          <w:color w:val="auto"/>
        </w:rPr>
      </w:pPr>
    </w:p>
    <w:p>
      <w:pPr>
        <w:ind w:right="300"/>
        <w:spacing w:after="0" w:line="250" w:lineRule="auto"/>
        <w:rPr>
          <w:sz w:val="20"/>
          <w:szCs w:val="20"/>
          <w:color w:val="auto"/>
        </w:rPr>
      </w:pPr>
      <w:r>
        <w:rPr>
          <w:rFonts w:ascii="Arial" w:cs="Arial" w:eastAsia="Arial" w:hAnsi="Arial"/>
          <w:sz w:val="18"/>
          <w:szCs w:val="18"/>
          <w:color w:val="auto"/>
        </w:rPr>
        <w:t>the EU Medical Devices Regulation; fluctuations in foreign currency exchange rates; the amount of our bank borrowings outstanding and other factors influencing liquidity; the Company’s ability to commence any share repurchase activity, including within the anticipated</w:t>
      </w:r>
    </w:p>
    <w:p>
      <w:pPr>
        <w:spacing w:after="0" w:line="1" w:lineRule="exact"/>
        <w:rPr>
          <w:sz w:val="20"/>
          <w:szCs w:val="20"/>
          <w:color w:val="auto"/>
        </w:rPr>
      </w:pPr>
    </w:p>
    <w:p>
      <w:pPr>
        <w:ind w:right="440"/>
        <w:spacing w:after="0" w:line="242" w:lineRule="auto"/>
        <w:rPr>
          <w:sz w:val="20"/>
          <w:szCs w:val="20"/>
          <w:color w:val="auto"/>
        </w:rPr>
      </w:pPr>
      <w:r>
        <w:rPr>
          <w:rFonts w:ascii="Arial" w:cs="Arial" w:eastAsia="Arial" w:hAnsi="Arial"/>
          <w:sz w:val="18"/>
          <w:szCs w:val="18"/>
          <w:color w:val="auto"/>
        </w:rPr>
        <w:t>timeframe; potential negative impacts resulting from environmental, social and governance matters; and the economic, competitive, governmental, technological, and other risk factors and uncertainties identified under the heading “Risk Factors” included in Item 1A of</w:t>
      </w:r>
    </w:p>
    <w:p>
      <w:pPr>
        <w:spacing w:after="0" w:line="1" w:lineRule="exact"/>
        <w:rPr>
          <w:sz w:val="20"/>
          <w:szCs w:val="20"/>
          <w:color w:val="auto"/>
        </w:rPr>
      </w:pPr>
    </w:p>
    <w:p>
      <w:pPr>
        <w:ind w:right="520"/>
        <w:spacing w:after="0" w:line="234" w:lineRule="auto"/>
        <w:rPr>
          <w:sz w:val="20"/>
          <w:szCs w:val="20"/>
          <w:color w:val="auto"/>
        </w:rPr>
      </w:pPr>
      <w:r>
        <w:rPr>
          <w:rFonts w:ascii="Arial" w:cs="Arial" w:eastAsia="Arial" w:hAnsi="Arial"/>
          <w:sz w:val="20"/>
          <w:szCs w:val="20"/>
          <w:color w:val="auto"/>
        </w:rPr>
        <w:t>Integra's Annual Report on Form 10-K for the year ended December 31, 2022 and information contained in subsequent filings with the Securities and Exchange Commission.</w:t>
      </w:r>
    </w:p>
    <w:p>
      <w:pPr>
        <w:spacing w:after="0" w:line="197" w:lineRule="exact"/>
        <w:rPr>
          <w:sz w:val="20"/>
          <w:szCs w:val="20"/>
          <w:color w:val="auto"/>
        </w:rPr>
      </w:pPr>
    </w:p>
    <w:p>
      <w:pPr>
        <w:ind w:right="360"/>
        <w:spacing w:after="0" w:line="246" w:lineRule="auto"/>
        <w:rPr>
          <w:sz w:val="20"/>
          <w:szCs w:val="20"/>
          <w:color w:val="auto"/>
        </w:rPr>
      </w:pPr>
      <w:r>
        <w:rPr>
          <w:rFonts w:ascii="Arial" w:cs="Arial" w:eastAsia="Arial" w:hAnsi="Arial"/>
          <w:sz w:val="20"/>
          <w:szCs w:val="20"/>
          <w:color w:val="auto"/>
        </w:rPr>
        <w:t>These forward-looking statements are made only as of the date hereof, and the Company undertakes no obligation to update or revise the forward-looking statements, whether as a result of new information, future events, or otherwise.</w:t>
      </w:r>
    </w:p>
    <w:p>
      <w:pPr>
        <w:spacing w:after="0" w:line="2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Discussion of Adjusted Financial Measures</w:t>
      </w:r>
    </w:p>
    <w:p>
      <w:pPr>
        <w:spacing w:after="0" w:line="60" w:lineRule="exact"/>
        <w:rPr>
          <w:sz w:val="20"/>
          <w:szCs w:val="20"/>
          <w:color w:val="auto"/>
        </w:rPr>
      </w:pPr>
    </w:p>
    <w:p>
      <w:pPr>
        <w:ind w:right="20"/>
        <w:spacing w:after="0" w:line="269" w:lineRule="auto"/>
        <w:rPr>
          <w:sz w:val="20"/>
          <w:szCs w:val="20"/>
          <w:color w:val="auto"/>
        </w:rPr>
      </w:pPr>
      <w:r>
        <w:rPr>
          <w:rFonts w:ascii="Arial" w:cs="Arial" w:eastAsia="Arial" w:hAnsi="Arial"/>
          <w:sz w:val="18"/>
          <w:szCs w:val="18"/>
          <w:color w:val="auto"/>
        </w:rPr>
        <w:t>In addition to our GAAP results, we provide certain non-GAAP measures, including organic revenues, adjusted earnings before interest, taxes, depreciation and amortization (EBITDA), adjusted net income, adjusted earnings per diluted share, free cash flow, adjusted free cash flow conversion, and net debt. Organic revenues consist of total revenues excluding the effects of currency exchange rates, revenues from current-period acquisitions and product divestitures and discontinuances. Adjusted EBITDA consists of GAAP net income excluding: (i) depreciation and amortization; (ii) other income (expense); (iii) interest income and expense; (iv) income tax expense (benefit); and (v) those operating expenses also excluded from adjusted net income. The measure of adjusted net income consists of GAAP net income, excluding:</w:t>
      </w:r>
    </w:p>
    <w:p>
      <w:pPr>
        <w:spacing w:after="0" w:line="1" w:lineRule="exact"/>
        <w:rPr>
          <w:sz w:val="20"/>
          <w:szCs w:val="20"/>
          <w:color w:val="auto"/>
        </w:rPr>
      </w:pPr>
    </w:p>
    <w:p>
      <w:pPr>
        <w:ind w:right="20" w:firstLine="8"/>
        <w:spacing w:after="0" w:line="268" w:lineRule="auto"/>
        <w:tabs>
          <w:tab w:leader="none" w:pos="236" w:val="left"/>
        </w:tabs>
        <w:numPr>
          <w:ilvl w:val="0"/>
          <w:numId w:val="12"/>
        </w:numPr>
        <w:rPr>
          <w:rFonts w:ascii="Arial" w:cs="Arial" w:eastAsia="Arial" w:hAnsi="Arial"/>
          <w:sz w:val="18"/>
          <w:szCs w:val="18"/>
          <w:color w:val="auto"/>
        </w:rPr>
      </w:pPr>
      <w:r>
        <w:rPr>
          <w:rFonts w:ascii="Arial" w:cs="Arial" w:eastAsia="Arial" w:hAnsi="Arial"/>
          <w:sz w:val="18"/>
          <w:szCs w:val="18"/>
          <w:color w:val="auto"/>
        </w:rPr>
        <w:t>structural optimization charges; (ii) divestiture, acquisition and integration-related charges; (iii) EU Medical Device Regulation-related charges; (iv) charges related to the voluntary global recall of products manufactured at the Company’s Boston, Massachusetts facility; (v) intangible asset amortization expense; and (vi) income tax impact from adjustments. The adjusted earnings per diluted share measure is calculated by dividing adjusted net income attributable to diluted shares by diluted weighted average shares outstanding. The measure of free cash flow consists of GAAP net cash provided by operating activities less purchases of property and equipment. The adjusted free cash flow conversion measure is calculated by dividing free cash flow by adjusted net income. The measure of net debt consists of GAAP total debt (excluding deferred financing costs) less cash and cash equivalents.</w:t>
      </w:r>
    </w:p>
    <w:p>
      <w:pPr>
        <w:sectPr>
          <w:pgSz w:w="11900" w:h="16838" w:orient="portrait"/>
          <w:cols w:equalWidth="0" w:num="1">
            <w:col w:w="11200"/>
          </w:cols>
          <w:pgMar w:left="320" w:top="879" w:right="37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Reconciliations of GAAP revenues to organic revenues, GAAP net income to adjusted EBITDA, and adjusted net income, GAAP total debt</w:t>
      </w:r>
    </w:p>
    <w:p>
      <w:pPr>
        <w:spacing w:after="0" w:line="25" w:lineRule="exact"/>
        <w:rPr>
          <w:sz w:val="20"/>
          <w:szCs w:val="20"/>
          <w:color w:val="auto"/>
        </w:rPr>
      </w:pPr>
    </w:p>
    <w:p>
      <w:pPr>
        <w:ind w:right="60"/>
        <w:spacing w:after="0" w:line="272" w:lineRule="auto"/>
        <w:rPr>
          <w:sz w:val="20"/>
          <w:szCs w:val="20"/>
          <w:color w:val="auto"/>
        </w:rPr>
      </w:pPr>
      <w:r>
        <w:rPr>
          <w:rFonts w:ascii="Arial" w:cs="Arial" w:eastAsia="Arial" w:hAnsi="Arial"/>
          <w:sz w:val="16"/>
          <w:szCs w:val="16"/>
          <w:color w:val="auto"/>
        </w:rPr>
        <w:t>to net debt and GAAP earnings per diluted share to adjusted earnings per diluted share all for the quarter ended June 30, 2023 and 2022, and the free cash flow and adjusted free cash flow conversion for the quarter ended June 30, 2023 and 2022, appear in the financial tables in this</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release.</w:t>
      </w:r>
    </w:p>
    <w:p>
      <w:pPr>
        <w:spacing w:after="0" w:line="213"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The Company believes that the presentation of organic revenues and the other non-GAAP measures provide important supplemental information to management and investors regarding financial and business trends relating to the Company's financial condition and results of</w:t>
      </w:r>
    </w:p>
    <w:p>
      <w:pPr>
        <w:spacing w:after="0" w:line="1"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operations. For further information regarding why Integra believes that these non-GAAP financial measures provide useful information to investors, the specific manner in which management uses these measures, and some of the limitations associated with the use of these</w:t>
      </w:r>
    </w:p>
    <w:p>
      <w:pPr>
        <w:spacing w:after="0" w:line="1"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measures, please refer to the Company's Current Report on Form 8-K regarding this earnings press release filed today with the Securities and Exchange Commission. This Current Report on Form 8-K is available on the SEC's website at www.sec.gov or on our website at</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www.integralife.com.</w:t>
      </w: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Investor Relations Contact</w:t>
      </w:r>
      <w:r>
        <w:rPr>
          <w:rFonts w:ascii="Arial" w:cs="Arial" w:eastAsia="Arial" w:hAnsi="Arial"/>
          <w:sz w:val="17"/>
          <w:szCs w:val="17"/>
          <w:b w:val="1"/>
          <w:bCs w:val="1"/>
          <w:color w:val="auto"/>
        </w:rPr>
        <w:t>:</w:t>
      </w: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color w:val="auto"/>
        </w:rPr>
        <w:t>Chris Ward</w:t>
      </w:r>
    </w:p>
    <w:p>
      <w:pPr>
        <w:spacing w:after="0" w:line="20" w:lineRule="exact"/>
        <w:rPr>
          <w:sz w:val="20"/>
          <w:szCs w:val="20"/>
          <w:color w:val="auto"/>
        </w:rPr>
      </w:pPr>
    </w:p>
    <w:p>
      <w:pPr>
        <w:ind w:right="8960" w:firstLine="8"/>
        <w:spacing w:after="0" w:line="307" w:lineRule="auto"/>
        <w:tabs>
          <w:tab w:leader="none" w:pos="478" w:val="left"/>
        </w:tabs>
        <w:numPr>
          <w:ilvl w:val="0"/>
          <w:numId w:val="13"/>
        </w:numPr>
        <w:rPr>
          <w:rFonts w:ascii="Arial" w:cs="Arial" w:eastAsia="Arial" w:hAnsi="Arial"/>
          <w:sz w:val="18"/>
          <w:szCs w:val="18"/>
          <w:color w:val="auto"/>
        </w:rPr>
      </w:pPr>
      <w:r>
        <w:rPr>
          <w:rFonts w:ascii="Arial" w:cs="Arial" w:eastAsia="Arial" w:hAnsi="Arial"/>
          <w:sz w:val="18"/>
          <w:szCs w:val="18"/>
          <w:color w:val="auto"/>
        </w:rPr>
        <w:t>772-7736 chris.ward@integralife.com</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Media Contact:</w:t>
      </w: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color w:val="auto"/>
        </w:rPr>
        <w:t>Laurene Isip</w:t>
      </w:r>
    </w:p>
    <w:p>
      <w:pPr>
        <w:spacing w:after="0" w:line="20" w:lineRule="exact"/>
        <w:rPr>
          <w:sz w:val="20"/>
          <w:szCs w:val="20"/>
          <w:color w:val="auto"/>
        </w:rPr>
      </w:pPr>
    </w:p>
    <w:p>
      <w:pPr>
        <w:ind w:right="8860" w:firstLine="8"/>
        <w:spacing w:after="0" w:line="307" w:lineRule="auto"/>
        <w:tabs>
          <w:tab w:leader="none" w:pos="478" w:val="left"/>
        </w:tabs>
        <w:numPr>
          <w:ilvl w:val="0"/>
          <w:numId w:val="14"/>
        </w:numPr>
        <w:rPr>
          <w:rFonts w:ascii="Arial" w:cs="Arial" w:eastAsia="Arial" w:hAnsi="Arial"/>
          <w:sz w:val="18"/>
          <w:szCs w:val="18"/>
          <w:color w:val="auto"/>
        </w:rPr>
      </w:pPr>
      <w:r>
        <w:rPr>
          <w:rFonts w:ascii="Arial" w:cs="Arial" w:eastAsia="Arial" w:hAnsi="Arial"/>
          <w:sz w:val="18"/>
          <w:szCs w:val="18"/>
          <w:color w:val="auto"/>
        </w:rPr>
        <w:t>208-8121 laurene.isip@integralife.com</w:t>
      </w:r>
    </w:p>
    <w:p>
      <w:pPr>
        <w:sectPr>
          <w:pgSz w:w="11900" w:h="16838" w:orient="portrait"/>
          <w:cols w:equalWidth="0" w:num="1">
            <w:col w:w="11180"/>
          </w:cols>
          <w:pgMar w:left="320" w:top="879" w:right="399" w:bottom="1440" w:gutter="0" w:footer="0" w:header="0"/>
        </w:sectPr>
      </w:pPr>
    </w:p>
    <w:bookmarkStart w:id="12" w:name="page13"/>
    <w:bookmarkEnd w:id="12"/>
    <w:p>
      <w:pPr>
        <w:jc w:val="center"/>
        <w:ind w:right="-1120"/>
        <w:spacing w:after="0"/>
        <w:rPr>
          <w:sz w:val="20"/>
          <w:szCs w:val="20"/>
          <w:color w:val="auto"/>
        </w:rPr>
      </w:pPr>
      <w:r>
        <w:rPr>
          <w:rFonts w:ascii="Arial" w:cs="Arial" w:eastAsia="Arial" w:hAnsi="Arial"/>
          <w:sz w:val="18"/>
          <w:szCs w:val="18"/>
          <w:color w:val="auto"/>
        </w:rPr>
        <w:t>INTEGRA LIFESCIENCES HOLDINGS CORPORATION</w:t>
      </w:r>
    </w:p>
    <w:p>
      <w:pPr>
        <w:spacing w:after="0" w:line="185" w:lineRule="exact"/>
        <w:rPr>
          <w:sz w:val="20"/>
          <w:szCs w:val="20"/>
          <w:color w:val="auto"/>
        </w:rPr>
      </w:pPr>
    </w:p>
    <w:p>
      <w:pPr>
        <w:jc w:val="center"/>
        <w:ind w:right="-1120"/>
        <w:spacing w:after="0"/>
        <w:rPr>
          <w:sz w:val="20"/>
          <w:szCs w:val="20"/>
          <w:color w:val="auto"/>
        </w:rPr>
      </w:pPr>
      <w:r>
        <w:rPr>
          <w:rFonts w:ascii="Arial" w:cs="Arial" w:eastAsia="Arial" w:hAnsi="Arial"/>
          <w:sz w:val="16"/>
          <w:szCs w:val="16"/>
          <w:color w:val="auto"/>
        </w:rPr>
        <w:t>CONDENSED CONSOLIDATED STATEMENTS OF OPERATIONS</w:t>
      </w:r>
    </w:p>
    <w:p>
      <w:pPr>
        <w:sectPr>
          <w:pgSz w:w="11900" w:h="16838" w:orient="portrait"/>
          <w:cols w:equalWidth="0" w:num="1">
            <w:col w:w="10139"/>
          </w:cols>
          <w:pgMar w:left="320" w:top="895" w:right="1440" w:bottom="1440" w:gutter="0" w:footer="0" w:header="0"/>
        </w:sectPr>
      </w:pPr>
    </w:p>
    <w:p>
      <w:pPr>
        <w:spacing w:after="0" w:line="2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(UNAUDITED)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Total revenues, net</w:t>
      </w:r>
    </w:p>
    <w:p>
      <w:pPr>
        <w:spacing w:after="0" w:line="131"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Costs and expenses:</w:t>
      </w:r>
    </w:p>
    <w:p>
      <w:pPr>
        <w:spacing w:after="0" w:line="23"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Cost of goods sold</w:t>
      </w:r>
    </w:p>
    <w:p>
      <w:pPr>
        <w:spacing w:after="0" w:line="35"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Research and development</w:t>
      </w:r>
    </w:p>
    <w:p>
      <w:pPr>
        <w:spacing w:after="0" w:line="23"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Selling, general and administrative</w:t>
      </w:r>
    </w:p>
    <w:p>
      <w:pPr>
        <w:spacing w:after="0" w:line="35"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Intangible asset amortization</w:t>
      </w:r>
    </w:p>
    <w:p>
      <w:pPr>
        <w:spacing w:after="0" w:line="36"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Total costs and expenses</w:t>
      </w:r>
    </w:p>
    <w:p>
      <w:pPr>
        <w:spacing w:after="0" w:line="293"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Operating income</w:t>
      </w:r>
    </w:p>
    <w:p>
      <w:pPr>
        <w:spacing w:after="0" w:line="27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Interest income</w:t>
      </w:r>
    </w:p>
    <w:p>
      <w:pPr>
        <w:spacing w:after="0" w:line="23"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Interest expense</w:t>
      </w:r>
    </w:p>
    <w:p>
      <w:pPr>
        <w:spacing w:after="0" w:line="23"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Gain from sale of business</w:t>
      </w:r>
    </w:p>
    <w:p>
      <w:pPr>
        <w:spacing w:after="0" w:line="35"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Other income, net</w:t>
      </w:r>
    </w:p>
    <w:p>
      <w:pPr>
        <w:spacing w:after="0" w:line="36"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Income before income taxes</w:t>
      </w:r>
    </w:p>
    <w:p>
      <w:pPr>
        <w:spacing w:after="0" w:line="23"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Income tax expense</w:t>
      </w:r>
    </w:p>
    <w:p>
      <w:pPr>
        <w:spacing w:after="0" w:line="4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Net income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Three Months Ended June 30,</w:t>
      </w:r>
    </w:p>
    <w:p>
      <w:pPr>
        <w:spacing w:after="0" w:line="50" w:lineRule="exact"/>
        <w:rPr>
          <w:sz w:val="20"/>
          <w:szCs w:val="20"/>
          <w:color w:val="auto"/>
        </w:rPr>
      </w:pPr>
    </w:p>
    <w:p>
      <w:pPr>
        <w:ind w:left="560"/>
        <w:spacing w:after="0"/>
        <w:tabs>
          <w:tab w:leader="none" w:pos="2400" w:val="left"/>
        </w:tabs>
        <w:rPr>
          <w:sz w:val="20"/>
          <w:szCs w:val="20"/>
          <w:color w:val="auto"/>
        </w:rPr>
      </w:pPr>
      <w:r>
        <w:rPr>
          <w:rFonts w:ascii="Arial" w:cs="Arial" w:eastAsia="Arial" w:hAnsi="Arial"/>
          <w:sz w:val="18"/>
          <w:szCs w:val="18"/>
          <w:color w:val="auto"/>
        </w:rPr>
        <w:t>2023</w:t>
      </w:r>
      <w:r>
        <w:rPr>
          <w:sz w:val="20"/>
          <w:szCs w:val="20"/>
          <w:color w:val="auto"/>
        </w:rPr>
        <w:tab/>
      </w:r>
      <w:r>
        <w:rPr>
          <w:rFonts w:ascii="Arial" w:cs="Arial" w:eastAsia="Arial" w:hAnsi="Arial"/>
          <w:sz w:val="18"/>
          <w:szCs w:val="18"/>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23495</wp:posOffset>
            </wp:positionV>
            <wp:extent cx="20834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083435" cy="8255"/>
                    </a:xfrm>
                    <a:prstGeom prst="rect">
                      <a:avLst/>
                    </a:prstGeom>
                    <a:noFill/>
                  </pic:spPr>
                </pic:pic>
              </a:graphicData>
            </a:graphic>
          </wp:anchor>
        </w:drawing>
      </w:r>
    </w:p>
    <w:p>
      <w:pPr>
        <w:spacing w:after="0" w:line="30" w:lineRule="exact"/>
        <w:rPr>
          <w:sz w:val="20"/>
          <w:szCs w:val="20"/>
          <w:color w:val="auto"/>
        </w:rPr>
      </w:pPr>
    </w:p>
    <w:p>
      <w:pPr>
        <w:ind w:left="820"/>
        <w:spacing w:after="0"/>
        <w:tabs>
          <w:tab w:leader="none" w:pos="1900" w:val="left"/>
          <w:tab w:leader="none" w:pos="2600" w:val="left"/>
        </w:tabs>
        <w:rPr>
          <w:sz w:val="20"/>
          <w:szCs w:val="20"/>
          <w:color w:val="auto"/>
        </w:rPr>
      </w:pPr>
      <w:r>
        <w:rPr>
          <w:rFonts w:ascii="Arial" w:cs="Arial" w:eastAsia="Arial" w:hAnsi="Arial"/>
          <w:sz w:val="18"/>
          <w:szCs w:val="18"/>
          <w:color w:val="auto"/>
        </w:rPr>
        <w:t>381,267</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397,815</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0" w:type="dxa"/>
            <w:vAlign w:val="bottom"/>
          </w:tcPr>
          <w:p>
            <w:pPr>
              <w:spacing w:after="0"/>
              <w:rPr>
                <w:sz w:val="20"/>
                <w:szCs w:val="20"/>
                <w:color w:val="auto"/>
              </w:rPr>
            </w:pPr>
          </w:p>
        </w:tc>
        <w:tc>
          <w:tcPr>
            <w:tcW w:w="1220" w:type="dxa"/>
            <w:vAlign w:val="bottom"/>
          </w:tcPr>
          <w:p>
            <w:pPr>
              <w:jc w:val="right"/>
              <w:ind w:right="190"/>
              <w:spacing w:after="0"/>
              <w:rPr>
                <w:sz w:val="20"/>
                <w:szCs w:val="20"/>
                <w:color w:val="auto"/>
              </w:rPr>
            </w:pPr>
            <w:r>
              <w:rPr>
                <w:rFonts w:ascii="Arial" w:cs="Arial" w:eastAsia="Arial" w:hAnsi="Arial"/>
                <w:sz w:val="18"/>
                <w:szCs w:val="18"/>
                <w:color w:val="auto"/>
              </w:rPr>
              <w:t>174,241</w:t>
            </w:r>
          </w:p>
        </w:tc>
        <w:tc>
          <w:tcPr>
            <w:tcW w:w="6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148,404</w:t>
            </w:r>
          </w:p>
        </w:tc>
      </w:tr>
      <w:tr>
        <w:trPr>
          <w:trHeight w:val="242"/>
        </w:trPr>
        <w:tc>
          <w:tcPr>
            <w:tcW w:w="460" w:type="dxa"/>
            <w:vAlign w:val="bottom"/>
          </w:tcPr>
          <w:p>
            <w:pPr>
              <w:spacing w:after="0"/>
              <w:rPr>
                <w:sz w:val="21"/>
                <w:szCs w:val="21"/>
                <w:color w:val="auto"/>
              </w:rPr>
            </w:pPr>
          </w:p>
        </w:tc>
        <w:tc>
          <w:tcPr>
            <w:tcW w:w="1220" w:type="dxa"/>
            <w:vAlign w:val="bottom"/>
          </w:tcPr>
          <w:p>
            <w:pPr>
              <w:jc w:val="right"/>
              <w:ind w:right="190"/>
              <w:spacing w:after="0"/>
              <w:rPr>
                <w:sz w:val="20"/>
                <w:szCs w:val="20"/>
                <w:color w:val="auto"/>
              </w:rPr>
            </w:pPr>
            <w:r>
              <w:rPr>
                <w:rFonts w:ascii="Arial" w:cs="Arial" w:eastAsia="Arial" w:hAnsi="Arial"/>
                <w:sz w:val="18"/>
                <w:szCs w:val="18"/>
                <w:color w:val="auto"/>
              </w:rPr>
              <w:t>26,588</w:t>
            </w:r>
          </w:p>
        </w:tc>
        <w:tc>
          <w:tcPr>
            <w:tcW w:w="6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25,589</w:t>
            </w:r>
          </w:p>
        </w:tc>
      </w:tr>
      <w:tr>
        <w:trPr>
          <w:trHeight w:val="229"/>
        </w:trPr>
        <w:tc>
          <w:tcPr>
            <w:tcW w:w="460" w:type="dxa"/>
            <w:vAlign w:val="bottom"/>
          </w:tcPr>
          <w:p>
            <w:pPr>
              <w:spacing w:after="0"/>
              <w:rPr>
                <w:sz w:val="19"/>
                <w:szCs w:val="19"/>
                <w:color w:val="auto"/>
              </w:rPr>
            </w:pPr>
          </w:p>
        </w:tc>
        <w:tc>
          <w:tcPr>
            <w:tcW w:w="1220" w:type="dxa"/>
            <w:vAlign w:val="bottom"/>
          </w:tcPr>
          <w:p>
            <w:pPr>
              <w:jc w:val="right"/>
              <w:ind w:right="190"/>
              <w:spacing w:after="0"/>
              <w:rPr>
                <w:sz w:val="20"/>
                <w:szCs w:val="20"/>
                <w:color w:val="auto"/>
              </w:rPr>
            </w:pPr>
            <w:r>
              <w:rPr>
                <w:rFonts w:ascii="Arial" w:cs="Arial" w:eastAsia="Arial" w:hAnsi="Arial"/>
                <w:sz w:val="18"/>
                <w:szCs w:val="18"/>
                <w:color w:val="auto"/>
              </w:rPr>
              <w:t>164,908</w:t>
            </w:r>
          </w:p>
        </w:tc>
        <w:tc>
          <w:tcPr>
            <w:tcW w:w="6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160,651</w:t>
            </w:r>
          </w:p>
        </w:tc>
      </w:tr>
      <w:tr>
        <w:trPr>
          <w:trHeight w:val="237"/>
        </w:trPr>
        <w:tc>
          <w:tcPr>
            <w:tcW w:w="4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3,026</w:t>
            </w:r>
          </w:p>
        </w:tc>
        <w:tc>
          <w:tcPr>
            <w:tcW w:w="6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3,304</w:t>
            </w:r>
          </w:p>
        </w:tc>
      </w:tr>
      <w:tr>
        <w:trPr>
          <w:trHeight w:val="229"/>
        </w:trPr>
        <w:tc>
          <w:tcPr>
            <w:tcW w:w="4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368,763</w:t>
            </w:r>
          </w:p>
        </w:tc>
        <w:tc>
          <w:tcPr>
            <w:tcW w:w="6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337,948</w:t>
            </w:r>
          </w:p>
        </w:tc>
      </w:tr>
      <w:tr>
        <w:trPr>
          <w:trHeight w:val="466"/>
        </w:trPr>
        <w:tc>
          <w:tcPr>
            <w:tcW w:w="4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12,504</w:t>
            </w:r>
          </w:p>
        </w:tc>
        <w:tc>
          <w:tcPr>
            <w:tcW w:w="6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59,867</w:t>
            </w:r>
          </w:p>
        </w:tc>
      </w:tr>
      <w:tr>
        <w:trPr>
          <w:trHeight w:val="479"/>
        </w:trPr>
        <w:tc>
          <w:tcPr>
            <w:tcW w:w="460" w:type="dxa"/>
            <w:vAlign w:val="bottom"/>
          </w:tcPr>
          <w:p>
            <w:pPr>
              <w:spacing w:after="0"/>
              <w:rPr>
                <w:sz w:val="24"/>
                <w:szCs w:val="24"/>
                <w:color w:val="auto"/>
              </w:rPr>
            </w:pPr>
          </w:p>
        </w:tc>
        <w:tc>
          <w:tcPr>
            <w:tcW w:w="1220" w:type="dxa"/>
            <w:vAlign w:val="bottom"/>
          </w:tcPr>
          <w:p>
            <w:pPr>
              <w:jc w:val="right"/>
              <w:ind w:right="190"/>
              <w:spacing w:after="0"/>
              <w:rPr>
                <w:sz w:val="20"/>
                <w:szCs w:val="20"/>
                <w:color w:val="auto"/>
              </w:rPr>
            </w:pPr>
            <w:r>
              <w:rPr>
                <w:rFonts w:ascii="Arial" w:cs="Arial" w:eastAsia="Arial" w:hAnsi="Arial"/>
                <w:sz w:val="18"/>
                <w:szCs w:val="18"/>
                <w:color w:val="auto"/>
              </w:rPr>
              <w:t>3,939</w:t>
            </w:r>
          </w:p>
        </w:tc>
        <w:tc>
          <w:tcPr>
            <w:tcW w:w="6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1,965</w:t>
            </w:r>
          </w:p>
        </w:tc>
      </w:tr>
      <w:tr>
        <w:trPr>
          <w:trHeight w:val="229"/>
        </w:trPr>
        <w:tc>
          <w:tcPr>
            <w:tcW w:w="460" w:type="dxa"/>
            <w:vAlign w:val="bottom"/>
          </w:tcPr>
          <w:p>
            <w:pPr>
              <w:spacing w:after="0"/>
              <w:rPr>
                <w:sz w:val="19"/>
                <w:szCs w:val="19"/>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(12,464)</w:t>
            </w:r>
          </w:p>
        </w:tc>
        <w:tc>
          <w:tcPr>
            <w:tcW w:w="6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(12,236)</w:t>
            </w:r>
          </w:p>
        </w:tc>
      </w:tr>
      <w:tr>
        <w:trPr>
          <w:trHeight w:val="230"/>
        </w:trPr>
        <w:tc>
          <w:tcPr>
            <w:tcW w:w="460" w:type="dxa"/>
            <w:vAlign w:val="bottom"/>
          </w:tcPr>
          <w:p>
            <w:pPr>
              <w:spacing w:after="0"/>
              <w:rPr>
                <w:sz w:val="20"/>
                <w:szCs w:val="20"/>
                <w:color w:val="auto"/>
              </w:rPr>
            </w:pPr>
          </w:p>
        </w:tc>
        <w:tc>
          <w:tcPr>
            <w:tcW w:w="12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(155)</w:t>
            </w:r>
          </w:p>
        </w:tc>
        <w:tc>
          <w:tcPr>
            <w:tcW w:w="6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1,979</w:t>
            </w:r>
          </w:p>
        </w:tc>
      </w:tr>
      <w:tr>
        <w:trPr>
          <w:trHeight w:val="222"/>
        </w:trPr>
        <w:tc>
          <w:tcPr>
            <w:tcW w:w="460" w:type="dxa"/>
            <w:vAlign w:val="bottom"/>
          </w:tcPr>
          <w:p>
            <w:pPr>
              <w:spacing w:after="0"/>
              <w:rPr>
                <w:sz w:val="19"/>
                <w:szCs w:val="19"/>
                <w:color w:val="auto"/>
              </w:rPr>
            </w:pPr>
          </w:p>
        </w:tc>
        <w:tc>
          <w:tcPr>
            <w:tcW w:w="1220" w:type="dxa"/>
            <w:vAlign w:val="bottom"/>
          </w:tcPr>
          <w:p>
            <w:pPr>
              <w:jc w:val="right"/>
              <w:ind w:right="190"/>
              <w:spacing w:after="0"/>
              <w:rPr>
                <w:sz w:val="20"/>
                <w:szCs w:val="20"/>
                <w:color w:val="auto"/>
              </w:rPr>
            </w:pPr>
            <w:r>
              <w:rPr>
                <w:rFonts w:ascii="Arial" w:cs="Arial" w:eastAsia="Arial" w:hAnsi="Arial"/>
                <w:sz w:val="18"/>
                <w:szCs w:val="18"/>
                <w:color w:val="auto"/>
              </w:rPr>
              <w:t>3,824</w:t>
            </w:r>
          </w:p>
        </w:tc>
        <w:tc>
          <w:tcPr>
            <w:tcW w:w="6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51,575</w:t>
            </w:r>
          </w:p>
        </w:tc>
      </w:tr>
      <w:tr>
        <w:trPr>
          <w:trHeight w:val="230"/>
        </w:trPr>
        <w:tc>
          <w:tcPr>
            <w:tcW w:w="4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(360)</w:t>
            </w:r>
          </w:p>
        </w:tc>
        <w:tc>
          <w:tcPr>
            <w:tcW w:w="6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6,787</w:t>
            </w:r>
          </w:p>
        </w:tc>
      </w:tr>
      <w:tr>
        <w:trPr>
          <w:trHeight w:val="223"/>
        </w:trPr>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4,184</w:t>
            </w:r>
          </w:p>
        </w:tc>
        <w:tc>
          <w:tcPr>
            <w:tcW w:w="6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44,788</w:t>
            </w:r>
          </w:p>
        </w:tc>
      </w:tr>
    </w:tbl>
    <w:p>
      <w:pPr>
        <w:spacing w:after="0" w:line="200" w:lineRule="exact"/>
        <w:rPr>
          <w:sz w:val="20"/>
          <w:szCs w:val="20"/>
          <w:color w:val="auto"/>
        </w:rPr>
      </w:pPr>
    </w:p>
    <w:p>
      <w:pPr>
        <w:sectPr>
          <w:pgSz w:w="11900" w:h="16838" w:orient="portrait"/>
          <w:cols w:equalWidth="0" w:num="2">
            <w:col w:w="6220" w:space="520"/>
            <w:col w:w="3399"/>
          </w:cols>
          <w:pgMar w:left="320" w:top="895" w:right="1440" w:bottom="1440" w:gutter="0" w:footer="0" w:header="0"/>
          <w:type w:val="continuous"/>
        </w:sectPr>
      </w:pPr>
    </w:p>
    <w:p>
      <w:pPr>
        <w:spacing w:after="0" w:line="56" w:lineRule="exact"/>
        <w:rPr>
          <w:sz w:val="20"/>
          <w:szCs w:val="20"/>
          <w:color w:val="auto"/>
        </w:rPr>
      </w:pPr>
    </w:p>
    <w:tbl>
      <w:tblPr>
        <w:tblLayout w:type="fixed"/>
        <w:tblInd w:w="1240" w:type="dxa"/>
        <w:tblCellMar>
          <w:top w:w="0" w:type="dxa"/>
          <w:left w:w="0" w:type="dxa"/>
          <w:bottom w:w="0" w:type="dxa"/>
          <w:right w:w="0" w:type="dxa"/>
        </w:tblCellMar>
      </w:tblPr>
      <w:tr>
        <w:trPr>
          <w:trHeight w:val="229"/>
        </w:trPr>
        <w:tc>
          <w:tcPr>
            <w:tcW w:w="5500" w:type="dxa"/>
            <w:vAlign w:val="bottom"/>
          </w:tcPr>
          <w:p>
            <w:pPr>
              <w:spacing w:after="0"/>
              <w:rPr>
                <w:sz w:val="20"/>
                <w:szCs w:val="20"/>
                <w:color w:val="auto"/>
              </w:rPr>
            </w:pPr>
            <w:r>
              <w:rPr>
                <w:rFonts w:ascii="Arial" w:cs="Arial" w:eastAsia="Arial" w:hAnsi="Arial"/>
                <w:sz w:val="18"/>
                <w:szCs w:val="18"/>
                <w:color w:val="auto"/>
              </w:rPr>
              <w:t>Net income per share:</w:t>
            </w:r>
          </w:p>
        </w:tc>
        <w:tc>
          <w:tcPr>
            <w:tcW w:w="20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Diluted net income per share</w:t>
            </w:r>
          </w:p>
        </w:tc>
        <w:tc>
          <w:tcPr>
            <w:tcW w:w="20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$0.05</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r>
        <w:trPr>
          <w:trHeight w:val="439"/>
        </w:trPr>
        <w:tc>
          <w:tcPr>
            <w:tcW w:w="5500" w:type="dxa"/>
            <w:vAlign w:val="bottom"/>
          </w:tcPr>
          <w:p>
            <w:pPr>
              <w:spacing w:after="0"/>
              <w:rPr>
                <w:sz w:val="20"/>
                <w:szCs w:val="20"/>
                <w:color w:val="auto"/>
              </w:rPr>
            </w:pPr>
            <w:r>
              <w:rPr>
                <w:rFonts w:ascii="Arial" w:cs="Arial" w:eastAsia="Arial" w:hAnsi="Arial"/>
                <w:sz w:val="18"/>
                <w:szCs w:val="18"/>
                <w:color w:val="auto"/>
                <w:w w:val="93"/>
              </w:rPr>
              <w:t>Weighted average common shares outstanding for diluted net income per</w:t>
            </w:r>
          </w:p>
        </w:tc>
        <w:tc>
          <w:tcPr>
            <w:tcW w:w="2080" w:type="dxa"/>
            <w:vAlign w:val="bottom"/>
            <w:vMerge w:val="restart"/>
          </w:tcPr>
          <w:p>
            <w:pPr>
              <w:jc w:val="right"/>
              <w:ind w:right="590"/>
              <w:spacing w:after="0"/>
              <w:rPr>
                <w:sz w:val="20"/>
                <w:szCs w:val="20"/>
                <w:color w:val="auto"/>
              </w:rPr>
            </w:pPr>
            <w:r>
              <w:rPr>
                <w:rFonts w:ascii="Arial" w:cs="Arial" w:eastAsia="Arial" w:hAnsi="Arial"/>
                <w:sz w:val="18"/>
                <w:szCs w:val="18"/>
                <w:color w:val="auto"/>
              </w:rPr>
              <w:t>81,151</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83,622</w:t>
            </w:r>
          </w:p>
        </w:tc>
        <w:tc>
          <w:tcPr>
            <w:tcW w:w="0" w:type="dxa"/>
            <w:vAlign w:val="bottom"/>
          </w:tcPr>
          <w:p>
            <w:pPr>
              <w:spacing w:after="0"/>
              <w:rPr>
                <w:sz w:val="1"/>
                <w:szCs w:val="1"/>
                <w:color w:val="auto"/>
              </w:rPr>
            </w:pP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share</w:t>
            </w:r>
          </w:p>
        </w:tc>
        <w:tc>
          <w:tcPr>
            <w:tcW w:w="2080" w:type="dxa"/>
            <w:vAlign w:val="bottom"/>
            <w:vMerge w:val="continue"/>
          </w:tcPr>
          <w:p>
            <w:pPr>
              <w:spacing w:after="0"/>
              <w:rPr>
                <w:sz w:val="20"/>
                <w:szCs w:val="20"/>
                <w:color w:val="auto"/>
              </w:rPr>
            </w:pPr>
          </w:p>
        </w:tc>
        <w:tc>
          <w:tcPr>
            <w:tcW w:w="12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0139"/>
          </w:cols>
          <w:pgMar w:left="320" w:top="895" w:right="1440"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6"/>
          <w:szCs w:val="16"/>
          <w:color w:val="auto"/>
        </w:rPr>
        <w:t>The following table presents revenues disaggregated by the major sources for the three months ended June 30, 2023 and 2022 (amounts in thousands):</w:t>
      </w:r>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0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80" w:type="dxa"/>
            <w:vAlign w:val="bottom"/>
            <w:gridSpan w:val="3"/>
          </w:tcPr>
          <w:p>
            <w:pPr>
              <w:jc w:val="right"/>
              <w:ind w:right="110"/>
              <w:spacing w:after="0"/>
              <w:rPr>
                <w:sz w:val="20"/>
                <w:szCs w:val="20"/>
                <w:color w:val="auto"/>
              </w:rPr>
            </w:pPr>
            <w:r>
              <w:rPr>
                <w:rFonts w:ascii="Arial" w:cs="Arial" w:eastAsia="Arial" w:hAnsi="Arial"/>
                <w:sz w:val="18"/>
                <w:szCs w:val="18"/>
                <w:color w:val="auto"/>
              </w:rPr>
              <w:t>Three Months Ended June 30,</w:t>
            </w: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80" w:type="dxa"/>
            <w:vAlign w:val="bottom"/>
            <w:vMerge w:val="restart"/>
          </w:tcPr>
          <w:p>
            <w:pPr>
              <w:spacing w:after="0"/>
              <w:rPr>
                <w:sz w:val="20"/>
                <w:szCs w:val="20"/>
                <w:color w:val="auto"/>
              </w:rPr>
            </w:pPr>
            <w:r>
              <w:rPr>
                <w:rFonts w:ascii="Arial" w:cs="Arial" w:eastAsia="Arial" w:hAnsi="Arial"/>
                <w:sz w:val="20"/>
                <w:szCs w:val="20"/>
                <w:color w:val="auto"/>
              </w:rPr>
              <w:t>Neurosurgery</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w:t>
            </w:r>
          </w:p>
        </w:tc>
        <w:tc>
          <w:tcPr>
            <w:tcW w:w="70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color w:val="auto"/>
              </w:rPr>
              <w:t>2022</w:t>
            </w:r>
          </w:p>
        </w:tc>
        <w:tc>
          <w:tcPr>
            <w:tcW w:w="12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33"/>
        </w:trPr>
        <w:tc>
          <w:tcPr>
            <w:tcW w:w="6080" w:type="dxa"/>
            <w:vAlign w:val="bottom"/>
            <w:vMerge w:val="continue"/>
          </w:tcPr>
          <w:p>
            <w:pPr>
              <w:spacing w:after="0"/>
              <w:rPr>
                <w:sz w:val="20"/>
                <w:szCs w:val="20"/>
                <w:color w:val="auto"/>
              </w:rPr>
            </w:pPr>
          </w:p>
        </w:tc>
        <w:tc>
          <w:tcPr>
            <w:tcW w:w="1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205,803</w:t>
            </w:r>
          </w:p>
        </w:tc>
        <w:tc>
          <w:tcPr>
            <w:tcW w:w="380" w:type="dxa"/>
            <w:vAlign w:val="bottom"/>
          </w:tcPr>
          <w:p>
            <w:pPr>
              <w:spacing w:after="0"/>
              <w:rPr>
                <w:sz w:val="20"/>
                <w:szCs w:val="20"/>
                <w:color w:val="auto"/>
              </w:rPr>
            </w:pPr>
          </w:p>
        </w:tc>
        <w:tc>
          <w:tcPr>
            <w:tcW w:w="1600" w:type="dxa"/>
            <w:vAlign w:val="bottom"/>
          </w:tcPr>
          <w:p>
            <w:pPr>
              <w:jc w:val="right"/>
              <w:ind w:right="290"/>
              <w:spacing w:after="0"/>
              <w:rPr>
                <w:sz w:val="20"/>
                <w:szCs w:val="20"/>
                <w:color w:val="auto"/>
              </w:rPr>
            </w:pPr>
            <w:r>
              <w:rPr>
                <w:rFonts w:ascii="Arial" w:cs="Arial" w:eastAsia="Arial" w:hAnsi="Arial"/>
                <w:sz w:val="18"/>
                <w:szCs w:val="18"/>
                <w:color w:val="auto"/>
              </w:rPr>
              <w:t>200,295</w:t>
            </w:r>
          </w:p>
        </w:tc>
        <w:tc>
          <w:tcPr>
            <w:tcW w:w="1280" w:type="dxa"/>
            <w:vAlign w:val="bottom"/>
          </w:tcPr>
          <w:p>
            <w:pPr>
              <w:jc w:val="center"/>
              <w:ind w:right="210"/>
              <w:spacing w:after="0"/>
              <w:rPr>
                <w:sz w:val="20"/>
                <w:szCs w:val="20"/>
                <w:color w:val="auto"/>
              </w:rPr>
            </w:pPr>
            <w:r>
              <w:rPr>
                <w:rFonts w:ascii="Arial" w:cs="Arial" w:eastAsia="Arial" w:hAnsi="Arial"/>
                <w:sz w:val="18"/>
                <w:szCs w:val="18"/>
                <w:color w:val="auto"/>
                <w:w w:val="92"/>
              </w:rPr>
              <w:t>2.7%</w:t>
            </w:r>
          </w:p>
        </w:tc>
        <w:tc>
          <w:tcPr>
            <w:tcW w:w="0" w:type="dxa"/>
            <w:vAlign w:val="bottom"/>
          </w:tcPr>
          <w:p>
            <w:pPr>
              <w:spacing w:after="0"/>
              <w:rPr>
                <w:sz w:val="1"/>
                <w:szCs w:val="1"/>
                <w:color w:val="auto"/>
              </w:rPr>
            </w:pPr>
          </w:p>
        </w:tc>
      </w:tr>
      <w:tr>
        <w:trPr>
          <w:trHeight w:val="246"/>
        </w:trPr>
        <w:tc>
          <w:tcPr>
            <w:tcW w:w="6080" w:type="dxa"/>
            <w:vAlign w:val="bottom"/>
          </w:tcPr>
          <w:p>
            <w:pPr>
              <w:spacing w:after="0"/>
              <w:rPr>
                <w:sz w:val="20"/>
                <w:szCs w:val="20"/>
                <w:color w:val="auto"/>
              </w:rPr>
            </w:pPr>
            <w:r>
              <w:rPr>
                <w:rFonts w:ascii="Arial" w:cs="Arial" w:eastAsia="Arial" w:hAnsi="Arial"/>
                <w:sz w:val="20"/>
                <w:szCs w:val="20"/>
                <w:color w:val="auto"/>
              </w:rPr>
              <w:t>Instruments</w:t>
            </w:r>
          </w:p>
        </w:tc>
        <w:tc>
          <w:tcPr>
            <w:tcW w:w="11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65,227</w:t>
            </w:r>
          </w:p>
        </w:tc>
        <w:tc>
          <w:tcPr>
            <w:tcW w:w="38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57,568</w:t>
            </w:r>
          </w:p>
        </w:tc>
        <w:tc>
          <w:tcPr>
            <w:tcW w:w="128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color w:val="auto"/>
                <w:w w:val="90"/>
              </w:rPr>
              <w:t>13.3%</w:t>
            </w:r>
          </w:p>
        </w:tc>
        <w:tc>
          <w:tcPr>
            <w:tcW w:w="0" w:type="dxa"/>
            <w:vAlign w:val="bottom"/>
          </w:tcPr>
          <w:p>
            <w:pPr>
              <w:spacing w:after="0"/>
              <w:rPr>
                <w:sz w:val="1"/>
                <w:szCs w:val="1"/>
                <w:color w:val="auto"/>
              </w:rPr>
            </w:pPr>
          </w:p>
        </w:tc>
      </w:tr>
      <w:tr>
        <w:trPr>
          <w:trHeight w:val="241"/>
        </w:trPr>
        <w:tc>
          <w:tcPr>
            <w:tcW w:w="6080" w:type="dxa"/>
            <w:vAlign w:val="bottom"/>
          </w:tcPr>
          <w:p>
            <w:pPr>
              <w:spacing w:after="0"/>
              <w:rPr>
                <w:sz w:val="20"/>
                <w:szCs w:val="20"/>
                <w:color w:val="auto"/>
              </w:rPr>
            </w:pPr>
            <w:r>
              <w:rPr>
                <w:rFonts w:ascii="Arial" w:cs="Arial" w:eastAsia="Arial" w:hAnsi="Arial"/>
                <w:sz w:val="20"/>
                <w:szCs w:val="20"/>
                <w:color w:val="auto"/>
              </w:rPr>
              <w:t>Total Codman Specialty Surgical</w:t>
            </w:r>
          </w:p>
        </w:tc>
        <w:tc>
          <w:tcPr>
            <w:tcW w:w="1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271,030</w:t>
            </w:r>
          </w:p>
        </w:tc>
        <w:tc>
          <w:tcPr>
            <w:tcW w:w="380" w:type="dxa"/>
            <w:vAlign w:val="bottom"/>
          </w:tcPr>
          <w:p>
            <w:pPr>
              <w:spacing w:after="0"/>
              <w:rPr>
                <w:sz w:val="20"/>
                <w:szCs w:val="20"/>
                <w:color w:val="auto"/>
              </w:rPr>
            </w:pPr>
          </w:p>
        </w:tc>
        <w:tc>
          <w:tcPr>
            <w:tcW w:w="1600" w:type="dxa"/>
            <w:vAlign w:val="bottom"/>
          </w:tcPr>
          <w:p>
            <w:pPr>
              <w:jc w:val="right"/>
              <w:ind w:right="290"/>
              <w:spacing w:after="0"/>
              <w:rPr>
                <w:sz w:val="20"/>
                <w:szCs w:val="20"/>
                <w:color w:val="auto"/>
              </w:rPr>
            </w:pPr>
            <w:r>
              <w:rPr>
                <w:rFonts w:ascii="Arial" w:cs="Arial" w:eastAsia="Arial" w:hAnsi="Arial"/>
                <w:sz w:val="18"/>
                <w:szCs w:val="18"/>
                <w:color w:val="auto"/>
              </w:rPr>
              <w:t>257,863</w:t>
            </w:r>
          </w:p>
        </w:tc>
        <w:tc>
          <w:tcPr>
            <w:tcW w:w="1280" w:type="dxa"/>
            <w:vAlign w:val="bottom"/>
          </w:tcPr>
          <w:p>
            <w:pPr>
              <w:jc w:val="center"/>
              <w:ind w:right="210"/>
              <w:spacing w:after="0"/>
              <w:rPr>
                <w:sz w:val="20"/>
                <w:szCs w:val="20"/>
                <w:color w:val="auto"/>
              </w:rPr>
            </w:pPr>
            <w:r>
              <w:rPr>
                <w:rFonts w:ascii="Arial" w:cs="Arial" w:eastAsia="Arial" w:hAnsi="Arial"/>
                <w:sz w:val="18"/>
                <w:szCs w:val="18"/>
                <w:color w:val="auto"/>
                <w:w w:val="92"/>
              </w:rPr>
              <w:t>5.1%</w:t>
            </w:r>
          </w:p>
        </w:tc>
        <w:tc>
          <w:tcPr>
            <w:tcW w:w="0" w:type="dxa"/>
            <w:vAlign w:val="bottom"/>
          </w:tcPr>
          <w:p>
            <w:pPr>
              <w:spacing w:after="0"/>
              <w:rPr>
                <w:sz w:val="1"/>
                <w:szCs w:val="1"/>
                <w:color w:val="auto"/>
              </w:rPr>
            </w:pPr>
          </w:p>
        </w:tc>
      </w:tr>
      <w:tr>
        <w:trPr>
          <w:trHeight w:val="411"/>
        </w:trPr>
        <w:tc>
          <w:tcPr>
            <w:tcW w:w="6080" w:type="dxa"/>
            <w:vAlign w:val="bottom"/>
          </w:tcPr>
          <w:p>
            <w:pPr>
              <w:spacing w:after="0"/>
              <w:rPr>
                <w:sz w:val="20"/>
                <w:szCs w:val="20"/>
                <w:color w:val="auto"/>
              </w:rPr>
            </w:pPr>
            <w:r>
              <w:rPr>
                <w:rFonts w:ascii="Arial" w:cs="Arial" w:eastAsia="Arial" w:hAnsi="Arial"/>
                <w:sz w:val="20"/>
                <w:szCs w:val="20"/>
                <w:color w:val="auto"/>
              </w:rPr>
              <w:t>Wound Reconstruction and Care</w:t>
            </w:r>
          </w:p>
        </w:tc>
        <w:tc>
          <w:tcPr>
            <w:tcW w:w="1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91,118</w:t>
            </w:r>
          </w:p>
        </w:tc>
        <w:tc>
          <w:tcPr>
            <w:tcW w:w="380" w:type="dxa"/>
            <w:vAlign w:val="bottom"/>
          </w:tcPr>
          <w:p>
            <w:pPr>
              <w:spacing w:after="0"/>
              <w:rPr>
                <w:sz w:val="24"/>
                <w:szCs w:val="24"/>
                <w:color w:val="auto"/>
              </w:rPr>
            </w:pPr>
          </w:p>
        </w:tc>
        <w:tc>
          <w:tcPr>
            <w:tcW w:w="1600" w:type="dxa"/>
            <w:vAlign w:val="bottom"/>
          </w:tcPr>
          <w:p>
            <w:pPr>
              <w:jc w:val="right"/>
              <w:ind w:right="290"/>
              <w:spacing w:after="0"/>
              <w:rPr>
                <w:sz w:val="20"/>
                <w:szCs w:val="20"/>
                <w:color w:val="auto"/>
              </w:rPr>
            </w:pPr>
            <w:r>
              <w:rPr>
                <w:rFonts w:ascii="Arial" w:cs="Arial" w:eastAsia="Arial" w:hAnsi="Arial"/>
                <w:sz w:val="18"/>
                <w:szCs w:val="18"/>
                <w:color w:val="auto"/>
              </w:rPr>
              <w:t>104,894</w:t>
            </w:r>
          </w:p>
        </w:tc>
        <w:tc>
          <w:tcPr>
            <w:tcW w:w="1280" w:type="dxa"/>
            <w:vAlign w:val="bottom"/>
          </w:tcPr>
          <w:p>
            <w:pPr>
              <w:jc w:val="center"/>
              <w:ind w:right="210"/>
              <w:spacing w:after="0"/>
              <w:rPr>
                <w:sz w:val="20"/>
                <w:szCs w:val="20"/>
                <w:color w:val="auto"/>
              </w:rPr>
            </w:pPr>
            <w:r>
              <w:rPr>
                <w:rFonts w:ascii="Arial" w:cs="Arial" w:eastAsia="Arial" w:hAnsi="Arial"/>
                <w:sz w:val="18"/>
                <w:szCs w:val="18"/>
                <w:color w:val="auto"/>
                <w:w w:val="91"/>
              </w:rPr>
              <w:t>(13.1)%</w:t>
            </w:r>
          </w:p>
        </w:tc>
        <w:tc>
          <w:tcPr>
            <w:tcW w:w="0" w:type="dxa"/>
            <w:vAlign w:val="bottom"/>
          </w:tcPr>
          <w:p>
            <w:pPr>
              <w:spacing w:after="0"/>
              <w:rPr>
                <w:sz w:val="1"/>
                <w:szCs w:val="1"/>
                <w:color w:val="auto"/>
              </w:rPr>
            </w:pPr>
          </w:p>
        </w:tc>
      </w:tr>
      <w:tr>
        <w:trPr>
          <w:trHeight w:val="246"/>
        </w:trPr>
        <w:tc>
          <w:tcPr>
            <w:tcW w:w="6080" w:type="dxa"/>
            <w:vAlign w:val="bottom"/>
          </w:tcPr>
          <w:p>
            <w:pPr>
              <w:spacing w:after="0"/>
              <w:rPr>
                <w:sz w:val="20"/>
                <w:szCs w:val="20"/>
                <w:color w:val="auto"/>
              </w:rPr>
            </w:pPr>
            <w:r>
              <w:rPr>
                <w:rFonts w:ascii="Arial" w:cs="Arial" w:eastAsia="Arial" w:hAnsi="Arial"/>
                <w:sz w:val="20"/>
                <w:szCs w:val="20"/>
                <w:color w:val="auto"/>
              </w:rPr>
              <w:t>Private Label</w:t>
            </w:r>
          </w:p>
        </w:tc>
        <w:tc>
          <w:tcPr>
            <w:tcW w:w="11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19,119</w:t>
            </w:r>
          </w:p>
        </w:tc>
        <w:tc>
          <w:tcPr>
            <w:tcW w:w="38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35,058</w:t>
            </w:r>
          </w:p>
        </w:tc>
        <w:tc>
          <w:tcPr>
            <w:tcW w:w="128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color w:val="auto"/>
                <w:w w:val="91"/>
              </w:rPr>
              <w:t>(45.5)%</w:t>
            </w:r>
          </w:p>
        </w:tc>
        <w:tc>
          <w:tcPr>
            <w:tcW w:w="0" w:type="dxa"/>
            <w:vAlign w:val="bottom"/>
          </w:tcPr>
          <w:p>
            <w:pPr>
              <w:spacing w:after="0"/>
              <w:rPr>
                <w:sz w:val="1"/>
                <w:szCs w:val="1"/>
                <w:color w:val="auto"/>
              </w:rPr>
            </w:pPr>
          </w:p>
        </w:tc>
      </w:tr>
      <w:tr>
        <w:trPr>
          <w:trHeight w:val="237"/>
        </w:trPr>
        <w:tc>
          <w:tcPr>
            <w:tcW w:w="6080" w:type="dxa"/>
            <w:vAlign w:val="bottom"/>
          </w:tcPr>
          <w:p>
            <w:pPr>
              <w:spacing w:after="0"/>
              <w:rPr>
                <w:sz w:val="20"/>
                <w:szCs w:val="20"/>
                <w:color w:val="auto"/>
              </w:rPr>
            </w:pPr>
            <w:r>
              <w:rPr>
                <w:rFonts w:ascii="Arial" w:cs="Arial" w:eastAsia="Arial" w:hAnsi="Arial"/>
                <w:sz w:val="20"/>
                <w:szCs w:val="20"/>
                <w:color w:val="auto"/>
              </w:rPr>
              <w:t>Total Tissue Technologies</w:t>
            </w:r>
          </w:p>
        </w:tc>
        <w:tc>
          <w:tcPr>
            <w:tcW w:w="1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110,237</w:t>
            </w:r>
          </w:p>
        </w:tc>
        <w:tc>
          <w:tcPr>
            <w:tcW w:w="3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139,952</w:t>
            </w:r>
          </w:p>
        </w:tc>
        <w:tc>
          <w:tcPr>
            <w:tcW w:w="128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color w:val="auto"/>
                <w:w w:val="91"/>
              </w:rPr>
              <w:t>(21.2)%</w:t>
            </w:r>
          </w:p>
        </w:tc>
        <w:tc>
          <w:tcPr>
            <w:tcW w:w="0" w:type="dxa"/>
            <w:vAlign w:val="bottom"/>
          </w:tcPr>
          <w:p>
            <w:pPr>
              <w:spacing w:after="0"/>
              <w:rPr>
                <w:sz w:val="1"/>
                <w:szCs w:val="1"/>
                <w:color w:val="auto"/>
              </w:rPr>
            </w:pPr>
          </w:p>
        </w:tc>
      </w:tr>
      <w:tr>
        <w:trPr>
          <w:trHeight w:val="223"/>
        </w:trPr>
        <w:tc>
          <w:tcPr>
            <w:tcW w:w="6080" w:type="dxa"/>
            <w:vAlign w:val="bottom"/>
          </w:tcPr>
          <w:p>
            <w:pPr>
              <w:spacing w:after="0" w:line="223" w:lineRule="exact"/>
              <w:rPr>
                <w:sz w:val="20"/>
                <w:szCs w:val="20"/>
                <w:color w:val="auto"/>
              </w:rPr>
            </w:pPr>
            <w:r>
              <w:rPr>
                <w:rFonts w:ascii="Arial" w:cs="Arial" w:eastAsia="Arial" w:hAnsi="Arial"/>
                <w:sz w:val="20"/>
                <w:szCs w:val="20"/>
                <w:color w:val="auto"/>
              </w:rPr>
              <w:t>Total reported revenues</w:t>
            </w:r>
          </w:p>
        </w:tc>
        <w:tc>
          <w:tcPr>
            <w:tcW w:w="1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381,267</w:t>
            </w:r>
          </w:p>
        </w:tc>
        <w:tc>
          <w:tcPr>
            <w:tcW w:w="3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397,815</w:t>
            </w:r>
          </w:p>
        </w:tc>
        <w:tc>
          <w:tcPr>
            <w:tcW w:w="128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color w:val="auto"/>
                <w:w w:val="94"/>
              </w:rPr>
              <w:t>(4.2)%</w:t>
            </w:r>
          </w:p>
        </w:tc>
        <w:tc>
          <w:tcPr>
            <w:tcW w:w="0" w:type="dxa"/>
            <w:vAlign w:val="bottom"/>
          </w:tcPr>
          <w:p>
            <w:pPr>
              <w:spacing w:after="0"/>
              <w:rPr>
                <w:sz w:val="1"/>
                <w:szCs w:val="1"/>
                <w:color w:val="auto"/>
              </w:rPr>
            </w:pPr>
          </w:p>
        </w:tc>
      </w:tr>
      <w:tr>
        <w:trPr>
          <w:trHeight w:val="21"/>
        </w:trPr>
        <w:tc>
          <w:tcPr>
            <w:tcW w:w="6080" w:type="dxa"/>
            <w:vAlign w:val="bottom"/>
            <w:vMerge w:val="restart"/>
          </w:tcPr>
          <w:p>
            <w:pPr>
              <w:spacing w:after="0"/>
              <w:rPr>
                <w:sz w:val="20"/>
                <w:szCs w:val="20"/>
                <w:color w:val="auto"/>
              </w:rPr>
            </w:pPr>
            <w:r>
              <w:rPr>
                <w:rFonts w:ascii="Arial" w:cs="Arial" w:eastAsia="Arial" w:hAnsi="Arial"/>
                <w:sz w:val="20"/>
                <w:szCs w:val="20"/>
                <w:color w:val="auto"/>
              </w:rPr>
              <w:t>Impact of changes in currency exchange rates</w:t>
            </w:r>
          </w:p>
        </w:tc>
        <w:tc>
          <w:tcPr>
            <w:tcW w:w="1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0"/>
        </w:trPr>
        <w:tc>
          <w:tcPr>
            <w:tcW w:w="608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1,704</w:t>
            </w:r>
          </w:p>
        </w:tc>
        <w:tc>
          <w:tcPr>
            <w:tcW w:w="380" w:type="dxa"/>
            <w:vAlign w:val="bottom"/>
          </w:tcPr>
          <w:p>
            <w:pPr>
              <w:spacing w:after="0"/>
              <w:rPr>
                <w:sz w:val="24"/>
                <w:szCs w:val="24"/>
                <w:color w:val="auto"/>
              </w:rPr>
            </w:pPr>
          </w:p>
        </w:tc>
        <w:tc>
          <w:tcPr>
            <w:tcW w:w="160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6080" w:type="dxa"/>
            <w:vAlign w:val="bottom"/>
          </w:tcPr>
          <w:p>
            <w:pPr>
              <w:spacing w:after="0"/>
              <w:rPr>
                <w:sz w:val="20"/>
                <w:szCs w:val="20"/>
                <w:color w:val="auto"/>
              </w:rPr>
            </w:pPr>
            <w:r>
              <w:rPr>
                <w:rFonts w:ascii="Arial" w:cs="Arial" w:eastAsia="Arial" w:hAnsi="Arial"/>
                <w:sz w:val="20"/>
                <w:szCs w:val="20"/>
                <w:color w:val="auto"/>
              </w:rPr>
              <w:t>Less contribution of revenues from acquisitions</w:t>
            </w:r>
          </w:p>
        </w:tc>
        <w:tc>
          <w:tcPr>
            <w:tcW w:w="1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(2,390)</w:t>
            </w:r>
          </w:p>
        </w:tc>
        <w:tc>
          <w:tcPr>
            <w:tcW w:w="380" w:type="dxa"/>
            <w:vAlign w:val="bottom"/>
          </w:tcPr>
          <w:p>
            <w:pPr>
              <w:spacing w:after="0"/>
              <w:rPr>
                <w:sz w:val="21"/>
                <w:szCs w:val="21"/>
                <w:color w:val="auto"/>
              </w:rPr>
            </w:pPr>
          </w:p>
        </w:tc>
        <w:tc>
          <w:tcPr>
            <w:tcW w:w="160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080" w:type="dxa"/>
            <w:vAlign w:val="bottom"/>
          </w:tcPr>
          <w:p>
            <w:pPr>
              <w:spacing w:after="0"/>
              <w:rPr>
                <w:sz w:val="20"/>
                <w:szCs w:val="20"/>
                <w:color w:val="auto"/>
              </w:rPr>
            </w:pPr>
            <w:r>
              <w:rPr>
                <w:rFonts w:ascii="Arial" w:cs="Arial" w:eastAsia="Arial" w:hAnsi="Arial"/>
                <w:sz w:val="20"/>
                <w:szCs w:val="20"/>
                <w:color w:val="auto"/>
              </w:rPr>
              <w:t>Less contribution of revenues from divested products</w:t>
            </w:r>
          </w:p>
        </w:tc>
        <w:tc>
          <w:tcPr>
            <w:tcW w:w="11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w:t>
            </w:r>
          </w:p>
        </w:tc>
        <w:tc>
          <w:tcPr>
            <w:tcW w:w="380" w:type="dxa"/>
            <w:vAlign w:val="bottom"/>
          </w:tcPr>
          <w:p>
            <w:pPr>
              <w:spacing w:after="0"/>
              <w:rPr>
                <w:sz w:val="22"/>
                <w:szCs w:val="22"/>
                <w:color w:val="auto"/>
              </w:rPr>
            </w:pPr>
          </w:p>
        </w:tc>
        <w:tc>
          <w:tcPr>
            <w:tcW w:w="1600" w:type="dxa"/>
            <w:vAlign w:val="bottom"/>
          </w:tcPr>
          <w:p>
            <w:pPr>
              <w:jc w:val="right"/>
              <w:ind w:right="250"/>
              <w:spacing w:after="0"/>
              <w:rPr>
                <w:sz w:val="20"/>
                <w:szCs w:val="20"/>
                <w:color w:val="auto"/>
              </w:rPr>
            </w:pPr>
            <w:r>
              <w:rPr>
                <w:rFonts w:ascii="Arial" w:cs="Arial" w:eastAsia="Arial" w:hAnsi="Arial"/>
                <w:sz w:val="18"/>
                <w:szCs w:val="18"/>
                <w:color w:val="auto"/>
              </w:rPr>
              <w:t>(6,371)</w:t>
            </w: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6"/>
        </w:trPr>
        <w:tc>
          <w:tcPr>
            <w:tcW w:w="6080" w:type="dxa"/>
            <w:vAlign w:val="bottom"/>
          </w:tcPr>
          <w:p>
            <w:pPr>
              <w:spacing w:after="0"/>
              <w:rPr>
                <w:sz w:val="20"/>
                <w:szCs w:val="20"/>
                <w:color w:val="auto"/>
              </w:rPr>
            </w:pPr>
            <w:r>
              <w:rPr>
                <w:rFonts w:ascii="Arial" w:cs="Arial" w:eastAsia="Arial" w:hAnsi="Arial"/>
                <w:sz w:val="20"/>
                <w:szCs w:val="20"/>
                <w:color w:val="auto"/>
              </w:rPr>
              <w:t>Less contribution of revenues from discontinued products</w:t>
            </w:r>
          </w:p>
        </w:tc>
        <w:tc>
          <w:tcPr>
            <w:tcW w:w="11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(1,622)</w:t>
            </w:r>
          </w:p>
        </w:tc>
        <w:tc>
          <w:tcPr>
            <w:tcW w:w="38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(2,047)</w:t>
            </w:r>
          </w:p>
        </w:tc>
        <w:tc>
          <w:tcPr>
            <w:tcW w:w="12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080" w:type="dxa"/>
            <w:vAlign w:val="bottom"/>
          </w:tcPr>
          <w:p>
            <w:pPr>
              <w:ind w:left="240"/>
              <w:spacing w:after="0" w:line="236" w:lineRule="exact"/>
              <w:rPr>
                <w:sz w:val="20"/>
                <w:szCs w:val="20"/>
                <w:color w:val="auto"/>
              </w:rPr>
            </w:pPr>
            <w:r>
              <w:rPr>
                <w:rFonts w:ascii="Arial" w:cs="Arial" w:eastAsia="Arial" w:hAnsi="Arial"/>
                <w:sz w:val="20"/>
                <w:szCs w:val="20"/>
                <w:color w:val="auto"/>
              </w:rPr>
              <w:t>Total organic revenues</w:t>
            </w:r>
            <w:r>
              <w:rPr>
                <w:rFonts w:ascii="Arial" w:cs="Arial" w:eastAsia="Arial" w:hAnsi="Arial"/>
                <w:sz w:val="25"/>
                <w:szCs w:val="25"/>
                <w:color w:val="auto"/>
                <w:vertAlign w:val="superscript"/>
              </w:rPr>
              <w:t>(1)</w:t>
            </w:r>
          </w:p>
        </w:tc>
        <w:tc>
          <w:tcPr>
            <w:tcW w:w="1140" w:type="dxa"/>
            <w:vAlign w:val="bottom"/>
            <w:tcBorders>
              <w:bottom w:val="single" w:sz="8" w:color="auto"/>
            </w:tcBorders>
          </w:tcPr>
          <w:p>
            <w:pPr>
              <w:jc w:val="right"/>
              <w:ind w:right="95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378,936</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389,397</w:t>
            </w:r>
          </w:p>
        </w:tc>
        <w:tc>
          <w:tcPr>
            <w:tcW w:w="128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color w:val="auto"/>
                <w:w w:val="94"/>
              </w:rPr>
              <w:t>(2.7)%</w:t>
            </w:r>
          </w:p>
        </w:tc>
        <w:tc>
          <w:tcPr>
            <w:tcW w:w="0" w:type="dxa"/>
            <w:vAlign w:val="bottom"/>
          </w:tcPr>
          <w:p>
            <w:pPr>
              <w:spacing w:after="0"/>
              <w:rPr>
                <w:sz w:val="1"/>
                <w:szCs w:val="1"/>
                <w:color w:val="auto"/>
              </w:rPr>
            </w:pPr>
          </w:p>
        </w:tc>
      </w:tr>
      <w:tr>
        <w:trPr>
          <w:trHeight w:val="425"/>
        </w:trPr>
        <w:tc>
          <w:tcPr>
            <w:tcW w:w="6080" w:type="dxa"/>
            <w:vAlign w:val="bottom"/>
          </w:tcPr>
          <w:p>
            <w:pPr>
              <w:spacing w:after="0"/>
              <w:rPr>
                <w:sz w:val="20"/>
                <w:szCs w:val="20"/>
                <w:color w:val="auto"/>
              </w:rPr>
            </w:pPr>
            <w:r>
              <w:rPr>
                <w:rFonts w:ascii="Arial" w:cs="Arial" w:eastAsia="Arial" w:hAnsi="Arial"/>
                <w:sz w:val="20"/>
                <w:szCs w:val="20"/>
                <w:color w:val="auto"/>
              </w:rPr>
              <w:t>Boston Revenue impact</w:t>
            </w:r>
          </w:p>
        </w:tc>
        <w:tc>
          <w:tcPr>
            <w:tcW w:w="1140" w:type="dxa"/>
            <w:vAlign w:val="bottom"/>
            <w:tcBorders>
              <w:bottom w:val="single" w:sz="8" w:color="auto"/>
            </w:tcBorders>
          </w:tcPr>
          <w:p>
            <w:pPr>
              <w:jc w:val="right"/>
              <w:ind w:right="95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7,374</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(23,281)</w:t>
            </w: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080" w:type="dxa"/>
            <w:vAlign w:val="bottom"/>
          </w:tcPr>
          <w:p>
            <w:pPr>
              <w:ind w:left="220"/>
              <w:spacing w:after="0" w:line="236" w:lineRule="exact"/>
              <w:rPr>
                <w:sz w:val="20"/>
                <w:szCs w:val="20"/>
                <w:color w:val="auto"/>
              </w:rPr>
            </w:pPr>
            <w:r>
              <w:rPr>
                <w:rFonts w:ascii="Arial" w:cs="Arial" w:eastAsia="Arial" w:hAnsi="Arial"/>
                <w:sz w:val="20"/>
                <w:szCs w:val="20"/>
                <w:color w:val="auto"/>
              </w:rPr>
              <w:t>Total organic revenues</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excl. Boston</w:t>
            </w:r>
          </w:p>
        </w:tc>
        <w:tc>
          <w:tcPr>
            <w:tcW w:w="1140" w:type="dxa"/>
            <w:vAlign w:val="bottom"/>
            <w:tcBorders>
              <w:bottom w:val="single" w:sz="8" w:color="auto"/>
            </w:tcBorders>
          </w:tcPr>
          <w:p>
            <w:pPr>
              <w:jc w:val="right"/>
              <w:ind w:right="95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386,310</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366,116</w:t>
            </w:r>
          </w:p>
        </w:tc>
        <w:tc>
          <w:tcPr>
            <w:tcW w:w="128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color w:val="auto"/>
                <w:w w:val="92"/>
              </w:rPr>
              <w:t>5.5%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color w:val="auto"/>
        </w:rPr>
        <w:t>(1) Organic revenues have been adjusted to exclude foreign currency (current period), acquisitions and to account for divested and discontinued products.</w:t>
      </w:r>
    </w:p>
    <w:p>
      <w:pPr>
        <w:sectPr>
          <w:pgSz w:w="11900" w:h="16838" w:orient="portrait"/>
          <w:cols w:equalWidth="0" w:num="1">
            <w:col w:w="11220"/>
          </w:cols>
          <w:pgMar w:left="320" w:top="895" w:right="35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Items included in GAAP net income and location where each item is recorded are as follows: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Three Months Ended June 30, 2023</w:t>
      </w:r>
    </w:p>
    <w:p>
      <w:pPr>
        <w:spacing w:after="0" w:line="206"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40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Item</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5"/>
              </w:rPr>
              <w:t>Total Amount</w:t>
            </w:r>
          </w:p>
        </w:tc>
        <w:tc>
          <w:tcPr>
            <w:tcW w:w="11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0"/>
              </w:rPr>
              <w:t>COGS(a)</w:t>
            </w: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SG&amp;A(b)</w:t>
            </w:r>
          </w:p>
        </w:tc>
        <w:tc>
          <w:tcPr>
            <w:tcW w:w="9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R&amp;D(c)</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Amort (d)</w:t>
            </w:r>
          </w:p>
        </w:tc>
        <w:tc>
          <w:tcPr>
            <w:tcW w:w="9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OI&amp;E(e)</w:t>
            </w:r>
          </w:p>
        </w:tc>
        <w:tc>
          <w:tcPr>
            <w:tcW w:w="10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Tax(f)</w:t>
            </w:r>
          </w:p>
        </w:tc>
        <w:tc>
          <w:tcPr>
            <w:tcW w:w="0" w:type="dxa"/>
            <w:vAlign w:val="bottom"/>
          </w:tcPr>
          <w:p>
            <w:pPr>
              <w:spacing w:after="0"/>
              <w:rPr>
                <w:sz w:val="1"/>
                <w:szCs w:val="1"/>
                <w:color w:val="auto"/>
              </w:rPr>
            </w:pPr>
          </w:p>
        </w:tc>
      </w:tr>
      <w:tr>
        <w:trPr>
          <w:trHeight w:val="224"/>
        </w:trPr>
        <w:tc>
          <w:tcPr>
            <w:tcW w:w="4040" w:type="dxa"/>
            <w:vAlign w:val="bottom"/>
          </w:tcPr>
          <w:p>
            <w:pPr>
              <w:ind w:left="20"/>
              <w:spacing w:after="0"/>
              <w:rPr>
                <w:sz w:val="20"/>
                <w:szCs w:val="20"/>
                <w:color w:val="auto"/>
              </w:rPr>
            </w:pPr>
            <w:r>
              <w:rPr>
                <w:rFonts w:ascii="Arial" w:cs="Arial" w:eastAsia="Arial" w:hAnsi="Arial"/>
                <w:sz w:val="18"/>
                <w:szCs w:val="18"/>
                <w:color w:val="auto"/>
                <w:w w:val="92"/>
              </w:rPr>
              <w:t>Acquisition, divestiture and integration-related charges</w:t>
            </w:r>
          </w:p>
        </w:tc>
        <w:tc>
          <w:tcPr>
            <w:tcW w:w="1140" w:type="dxa"/>
            <w:vAlign w:val="bottom"/>
          </w:tcPr>
          <w:p>
            <w:pPr>
              <w:jc w:val="right"/>
              <w:spacing w:after="0"/>
              <w:rPr>
                <w:sz w:val="20"/>
                <w:szCs w:val="20"/>
                <w:color w:val="auto"/>
              </w:rPr>
            </w:pPr>
            <w:r>
              <w:rPr>
                <w:rFonts w:ascii="Arial" w:cs="Arial" w:eastAsia="Arial" w:hAnsi="Arial"/>
                <w:sz w:val="18"/>
                <w:szCs w:val="18"/>
                <w:color w:val="auto"/>
              </w:rPr>
              <w:t>3,448</w:t>
            </w:r>
          </w:p>
        </w:tc>
        <w:tc>
          <w:tcPr>
            <w:tcW w:w="1140" w:type="dxa"/>
            <w:vAlign w:val="bottom"/>
          </w:tcPr>
          <w:p>
            <w:pPr>
              <w:jc w:val="right"/>
              <w:spacing w:after="0"/>
              <w:rPr>
                <w:sz w:val="20"/>
                <w:szCs w:val="20"/>
                <w:color w:val="auto"/>
              </w:rPr>
            </w:pPr>
            <w:r>
              <w:rPr>
                <w:rFonts w:ascii="Arial" w:cs="Arial" w:eastAsia="Arial" w:hAnsi="Arial"/>
                <w:sz w:val="18"/>
                <w:szCs w:val="18"/>
                <w:color w:val="auto"/>
              </w:rPr>
              <w:t>1,085</w:t>
            </w:r>
          </w:p>
        </w:tc>
        <w:tc>
          <w:tcPr>
            <w:tcW w:w="1120" w:type="dxa"/>
            <w:vAlign w:val="bottom"/>
          </w:tcPr>
          <w:p>
            <w:pPr>
              <w:jc w:val="right"/>
              <w:spacing w:after="0"/>
              <w:rPr>
                <w:sz w:val="20"/>
                <w:szCs w:val="20"/>
                <w:color w:val="auto"/>
              </w:rPr>
            </w:pPr>
            <w:r>
              <w:rPr>
                <w:rFonts w:ascii="Arial" w:cs="Arial" w:eastAsia="Arial" w:hAnsi="Arial"/>
                <w:sz w:val="18"/>
                <w:szCs w:val="18"/>
                <w:color w:val="auto"/>
              </w:rPr>
              <w:t>2,707</w:t>
            </w:r>
          </w:p>
        </w:tc>
        <w:tc>
          <w:tcPr>
            <w:tcW w:w="940" w:type="dxa"/>
            <w:vAlign w:val="bottom"/>
          </w:tcPr>
          <w:p>
            <w:pPr>
              <w:jc w:val="right"/>
              <w:spacing w:after="0"/>
              <w:rPr>
                <w:sz w:val="20"/>
                <w:szCs w:val="20"/>
                <w:color w:val="auto"/>
              </w:rPr>
            </w:pPr>
            <w:r>
              <w:rPr>
                <w:rFonts w:ascii="Arial" w:cs="Arial" w:eastAsia="Arial" w:hAnsi="Arial"/>
                <w:sz w:val="18"/>
                <w:szCs w:val="18"/>
                <w:color w:val="auto"/>
              </w:rPr>
              <w:t>(218)</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ind w:left="520"/>
              <w:spacing w:after="0"/>
              <w:rPr>
                <w:sz w:val="20"/>
                <w:szCs w:val="20"/>
                <w:color w:val="auto"/>
              </w:rPr>
            </w:pPr>
            <w:r>
              <w:rPr>
                <w:rFonts w:ascii="Arial" w:cs="Arial" w:eastAsia="Arial" w:hAnsi="Arial"/>
                <w:sz w:val="18"/>
                <w:szCs w:val="18"/>
                <w:color w:val="auto"/>
                <w:w w:val="90"/>
              </w:rPr>
              <w:t>(127)</w:t>
            </w:r>
          </w:p>
        </w:tc>
        <w:tc>
          <w:tcPr>
            <w:tcW w:w="1060" w:type="dxa"/>
            <w:vAlign w:val="bottom"/>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1"/>
        </w:trPr>
        <w:tc>
          <w:tcPr>
            <w:tcW w:w="4040" w:type="dxa"/>
            <w:vAlign w:val="bottom"/>
          </w:tcPr>
          <w:p>
            <w:pPr>
              <w:ind w:left="20"/>
              <w:spacing w:after="0"/>
              <w:rPr>
                <w:sz w:val="20"/>
                <w:szCs w:val="20"/>
                <w:color w:val="auto"/>
              </w:rPr>
            </w:pPr>
            <w:r>
              <w:rPr>
                <w:rFonts w:ascii="Arial" w:cs="Arial" w:eastAsia="Arial" w:hAnsi="Arial"/>
                <w:sz w:val="18"/>
                <w:szCs w:val="18"/>
                <w:color w:val="auto"/>
              </w:rPr>
              <w:t>Structural Optimization charges</w:t>
            </w:r>
          </w:p>
        </w:tc>
        <w:tc>
          <w:tcPr>
            <w:tcW w:w="1140" w:type="dxa"/>
            <w:vAlign w:val="bottom"/>
          </w:tcPr>
          <w:p>
            <w:pPr>
              <w:jc w:val="right"/>
              <w:spacing w:after="0"/>
              <w:rPr>
                <w:sz w:val="20"/>
                <w:szCs w:val="20"/>
                <w:color w:val="auto"/>
              </w:rPr>
            </w:pPr>
            <w:r>
              <w:rPr>
                <w:rFonts w:ascii="Arial" w:cs="Arial" w:eastAsia="Arial" w:hAnsi="Arial"/>
                <w:sz w:val="18"/>
                <w:szCs w:val="18"/>
                <w:color w:val="auto"/>
              </w:rPr>
              <w:t>4,794</w:t>
            </w:r>
          </w:p>
        </w:tc>
        <w:tc>
          <w:tcPr>
            <w:tcW w:w="1140" w:type="dxa"/>
            <w:vAlign w:val="bottom"/>
          </w:tcPr>
          <w:p>
            <w:pPr>
              <w:jc w:val="right"/>
              <w:spacing w:after="0"/>
              <w:rPr>
                <w:sz w:val="20"/>
                <w:szCs w:val="20"/>
                <w:color w:val="auto"/>
              </w:rPr>
            </w:pPr>
            <w:r>
              <w:rPr>
                <w:rFonts w:ascii="Arial" w:cs="Arial" w:eastAsia="Arial" w:hAnsi="Arial"/>
                <w:sz w:val="18"/>
                <w:szCs w:val="18"/>
                <w:color w:val="auto"/>
              </w:rPr>
              <w:t>3,152</w:t>
            </w:r>
          </w:p>
        </w:tc>
        <w:tc>
          <w:tcPr>
            <w:tcW w:w="1120" w:type="dxa"/>
            <w:vAlign w:val="bottom"/>
          </w:tcPr>
          <w:p>
            <w:pPr>
              <w:jc w:val="right"/>
              <w:spacing w:after="0"/>
              <w:rPr>
                <w:sz w:val="20"/>
                <w:szCs w:val="20"/>
                <w:color w:val="auto"/>
              </w:rPr>
            </w:pPr>
            <w:r>
              <w:rPr>
                <w:rFonts w:ascii="Arial" w:cs="Arial" w:eastAsia="Arial" w:hAnsi="Arial"/>
                <w:sz w:val="18"/>
                <w:szCs w:val="18"/>
                <w:color w:val="auto"/>
              </w:rPr>
              <w:t>1,675</w:t>
            </w:r>
          </w:p>
        </w:tc>
        <w:tc>
          <w:tcPr>
            <w:tcW w:w="940" w:type="dxa"/>
            <w:vAlign w:val="bottom"/>
          </w:tcPr>
          <w:p>
            <w:pPr>
              <w:jc w:val="right"/>
              <w:spacing w:after="0"/>
              <w:rPr>
                <w:sz w:val="20"/>
                <w:szCs w:val="20"/>
                <w:color w:val="auto"/>
              </w:rPr>
            </w:pPr>
            <w:r>
              <w:rPr>
                <w:rFonts w:ascii="Arial" w:cs="Arial" w:eastAsia="Arial" w:hAnsi="Arial"/>
                <w:sz w:val="18"/>
                <w:szCs w:val="18"/>
                <w:color w:val="auto"/>
              </w:rPr>
              <w:t>(33)</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ind w:left="680"/>
              <w:spacing w:after="0"/>
              <w:rPr>
                <w:sz w:val="20"/>
                <w:szCs w:val="20"/>
                <w:color w:val="auto"/>
              </w:rPr>
            </w:pPr>
            <w:r>
              <w:rPr>
                <w:rFonts w:ascii="Arial" w:cs="Arial" w:eastAsia="Arial" w:hAnsi="Arial"/>
                <w:sz w:val="18"/>
                <w:szCs w:val="18"/>
                <w:color w:val="auto"/>
              </w:rPr>
              <w:t>—</w:t>
            </w:r>
          </w:p>
        </w:tc>
        <w:tc>
          <w:tcPr>
            <w:tcW w:w="1060" w:type="dxa"/>
            <w:vAlign w:val="bottom"/>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40" w:type="dxa"/>
            <w:vAlign w:val="bottom"/>
          </w:tcPr>
          <w:p>
            <w:pPr>
              <w:ind w:left="20"/>
              <w:spacing w:after="0"/>
              <w:rPr>
                <w:sz w:val="20"/>
                <w:szCs w:val="20"/>
                <w:color w:val="auto"/>
              </w:rPr>
            </w:pPr>
            <w:r>
              <w:rPr>
                <w:rFonts w:ascii="Arial" w:cs="Arial" w:eastAsia="Arial" w:hAnsi="Arial"/>
                <w:sz w:val="18"/>
                <w:szCs w:val="18"/>
                <w:color w:val="auto"/>
              </w:rPr>
              <w:t>EU Medical Device Regulation charges</w:t>
            </w:r>
          </w:p>
        </w:tc>
        <w:tc>
          <w:tcPr>
            <w:tcW w:w="1140" w:type="dxa"/>
            <w:vAlign w:val="bottom"/>
          </w:tcPr>
          <w:p>
            <w:pPr>
              <w:jc w:val="right"/>
              <w:spacing w:after="0"/>
              <w:rPr>
                <w:sz w:val="20"/>
                <w:szCs w:val="20"/>
                <w:color w:val="auto"/>
              </w:rPr>
            </w:pPr>
            <w:r>
              <w:rPr>
                <w:rFonts w:ascii="Arial" w:cs="Arial" w:eastAsia="Arial" w:hAnsi="Arial"/>
                <w:sz w:val="18"/>
                <w:szCs w:val="18"/>
                <w:color w:val="auto"/>
              </w:rPr>
              <w:t>9,278</w:t>
            </w:r>
          </w:p>
        </w:tc>
        <w:tc>
          <w:tcPr>
            <w:tcW w:w="1140" w:type="dxa"/>
            <w:vAlign w:val="bottom"/>
          </w:tcPr>
          <w:p>
            <w:pPr>
              <w:jc w:val="right"/>
              <w:spacing w:after="0"/>
              <w:rPr>
                <w:sz w:val="20"/>
                <w:szCs w:val="20"/>
                <w:color w:val="auto"/>
              </w:rPr>
            </w:pPr>
            <w:r>
              <w:rPr>
                <w:rFonts w:ascii="Arial" w:cs="Arial" w:eastAsia="Arial" w:hAnsi="Arial"/>
                <w:sz w:val="18"/>
                <w:szCs w:val="18"/>
                <w:color w:val="auto"/>
              </w:rPr>
              <w:t>859</w:t>
            </w:r>
          </w:p>
        </w:tc>
        <w:tc>
          <w:tcPr>
            <w:tcW w:w="1120" w:type="dxa"/>
            <w:vAlign w:val="bottom"/>
          </w:tcPr>
          <w:p>
            <w:pPr>
              <w:jc w:val="right"/>
              <w:spacing w:after="0"/>
              <w:rPr>
                <w:sz w:val="20"/>
                <w:szCs w:val="20"/>
                <w:color w:val="auto"/>
              </w:rPr>
            </w:pPr>
            <w:r>
              <w:rPr>
                <w:rFonts w:ascii="Arial" w:cs="Arial" w:eastAsia="Arial" w:hAnsi="Arial"/>
                <w:sz w:val="18"/>
                <w:szCs w:val="18"/>
                <w:color w:val="auto"/>
              </w:rPr>
              <w:t>3,956</w:t>
            </w:r>
          </w:p>
        </w:tc>
        <w:tc>
          <w:tcPr>
            <w:tcW w:w="940" w:type="dxa"/>
            <w:vAlign w:val="bottom"/>
          </w:tcPr>
          <w:p>
            <w:pPr>
              <w:jc w:val="right"/>
              <w:spacing w:after="0"/>
              <w:rPr>
                <w:sz w:val="20"/>
                <w:szCs w:val="20"/>
                <w:color w:val="auto"/>
              </w:rPr>
            </w:pPr>
            <w:r>
              <w:rPr>
                <w:rFonts w:ascii="Arial" w:cs="Arial" w:eastAsia="Arial" w:hAnsi="Arial"/>
                <w:sz w:val="18"/>
                <w:szCs w:val="18"/>
                <w:color w:val="auto"/>
              </w:rPr>
              <w:t>4,463</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ind w:left="680"/>
              <w:spacing w:after="0"/>
              <w:rPr>
                <w:sz w:val="20"/>
                <w:szCs w:val="20"/>
                <w:color w:val="auto"/>
              </w:rPr>
            </w:pPr>
            <w:r>
              <w:rPr>
                <w:rFonts w:ascii="Arial" w:cs="Arial" w:eastAsia="Arial" w:hAnsi="Arial"/>
                <w:sz w:val="18"/>
                <w:szCs w:val="18"/>
                <w:color w:val="auto"/>
              </w:rPr>
              <w:t>—</w:t>
            </w:r>
          </w:p>
        </w:tc>
        <w:tc>
          <w:tcPr>
            <w:tcW w:w="1060" w:type="dxa"/>
            <w:vAlign w:val="bottom"/>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rPr>
              <w:t>Boston Recall</w:t>
            </w:r>
          </w:p>
        </w:tc>
        <w:tc>
          <w:tcPr>
            <w:tcW w:w="1140" w:type="dxa"/>
            <w:vAlign w:val="bottom"/>
          </w:tcPr>
          <w:p>
            <w:pPr>
              <w:jc w:val="right"/>
              <w:spacing w:after="0"/>
              <w:rPr>
                <w:sz w:val="20"/>
                <w:szCs w:val="20"/>
                <w:color w:val="auto"/>
              </w:rPr>
            </w:pPr>
            <w:r>
              <w:rPr>
                <w:rFonts w:ascii="Arial" w:cs="Arial" w:eastAsia="Arial" w:hAnsi="Arial"/>
                <w:sz w:val="18"/>
                <w:szCs w:val="18"/>
                <w:color w:val="auto"/>
              </w:rPr>
              <w:t>28,051</w:t>
            </w:r>
          </w:p>
        </w:tc>
        <w:tc>
          <w:tcPr>
            <w:tcW w:w="1140" w:type="dxa"/>
            <w:vAlign w:val="bottom"/>
          </w:tcPr>
          <w:p>
            <w:pPr>
              <w:jc w:val="right"/>
              <w:spacing w:after="0"/>
              <w:rPr>
                <w:sz w:val="20"/>
                <w:szCs w:val="20"/>
                <w:color w:val="auto"/>
              </w:rPr>
            </w:pPr>
            <w:r>
              <w:rPr>
                <w:rFonts w:ascii="Arial" w:cs="Arial" w:eastAsia="Arial" w:hAnsi="Arial"/>
                <w:sz w:val="18"/>
                <w:szCs w:val="18"/>
                <w:color w:val="auto"/>
              </w:rPr>
              <w:t>28,051</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ind w:left="680"/>
              <w:spacing w:after="0"/>
              <w:rPr>
                <w:sz w:val="20"/>
                <w:szCs w:val="20"/>
                <w:color w:val="auto"/>
              </w:rPr>
            </w:pPr>
            <w:r>
              <w:rPr>
                <w:rFonts w:ascii="Arial" w:cs="Arial" w:eastAsia="Arial" w:hAnsi="Arial"/>
                <w:sz w:val="18"/>
                <w:szCs w:val="18"/>
                <w:color w:val="auto"/>
              </w:rPr>
              <w:t>—</w:t>
            </w:r>
          </w:p>
        </w:tc>
        <w:tc>
          <w:tcPr>
            <w:tcW w:w="1060" w:type="dxa"/>
            <w:vAlign w:val="bottom"/>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4040" w:type="dxa"/>
            <w:vAlign w:val="bottom"/>
          </w:tcPr>
          <w:p>
            <w:pPr>
              <w:ind w:left="20"/>
              <w:spacing w:after="0"/>
              <w:rPr>
                <w:sz w:val="20"/>
                <w:szCs w:val="20"/>
                <w:color w:val="auto"/>
              </w:rPr>
            </w:pPr>
            <w:r>
              <w:rPr>
                <w:rFonts w:ascii="Arial" w:cs="Arial" w:eastAsia="Arial" w:hAnsi="Arial"/>
                <w:sz w:val="18"/>
                <w:szCs w:val="18"/>
                <w:color w:val="auto"/>
              </w:rPr>
              <w:t>Intangible asset amortization expense</w:t>
            </w:r>
          </w:p>
        </w:tc>
        <w:tc>
          <w:tcPr>
            <w:tcW w:w="1140" w:type="dxa"/>
            <w:vAlign w:val="bottom"/>
          </w:tcPr>
          <w:p>
            <w:pPr>
              <w:jc w:val="right"/>
              <w:spacing w:after="0"/>
              <w:rPr>
                <w:sz w:val="20"/>
                <w:szCs w:val="20"/>
                <w:color w:val="auto"/>
              </w:rPr>
            </w:pPr>
            <w:r>
              <w:rPr>
                <w:rFonts w:ascii="Arial" w:cs="Arial" w:eastAsia="Arial" w:hAnsi="Arial"/>
                <w:sz w:val="18"/>
                <w:szCs w:val="18"/>
                <w:color w:val="auto"/>
              </w:rPr>
              <w:t>20,636</w:t>
            </w:r>
          </w:p>
        </w:tc>
        <w:tc>
          <w:tcPr>
            <w:tcW w:w="1140" w:type="dxa"/>
            <w:vAlign w:val="bottom"/>
          </w:tcPr>
          <w:p>
            <w:pPr>
              <w:jc w:val="right"/>
              <w:spacing w:after="0"/>
              <w:rPr>
                <w:sz w:val="20"/>
                <w:szCs w:val="20"/>
                <w:color w:val="auto"/>
              </w:rPr>
            </w:pPr>
            <w:r>
              <w:rPr>
                <w:rFonts w:ascii="Arial" w:cs="Arial" w:eastAsia="Arial" w:hAnsi="Arial"/>
                <w:sz w:val="18"/>
                <w:szCs w:val="18"/>
                <w:color w:val="auto"/>
              </w:rPr>
              <w:t>17,610</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3,026</w:t>
            </w:r>
          </w:p>
        </w:tc>
        <w:tc>
          <w:tcPr>
            <w:tcW w:w="920" w:type="dxa"/>
            <w:vAlign w:val="bottom"/>
          </w:tcPr>
          <w:p>
            <w:pPr>
              <w:ind w:left="680"/>
              <w:spacing w:after="0"/>
              <w:rPr>
                <w:sz w:val="20"/>
                <w:szCs w:val="20"/>
                <w:color w:val="auto"/>
              </w:rPr>
            </w:pPr>
            <w:r>
              <w:rPr>
                <w:rFonts w:ascii="Arial" w:cs="Arial" w:eastAsia="Arial" w:hAnsi="Arial"/>
                <w:sz w:val="18"/>
                <w:szCs w:val="18"/>
                <w:color w:val="auto"/>
              </w:rPr>
              <w:t>—</w:t>
            </w:r>
          </w:p>
        </w:tc>
        <w:tc>
          <w:tcPr>
            <w:tcW w:w="1060" w:type="dxa"/>
            <w:vAlign w:val="bottom"/>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4040" w:type="dxa"/>
            <w:vAlign w:val="bottom"/>
          </w:tcPr>
          <w:p>
            <w:pPr>
              <w:ind w:left="20"/>
              <w:spacing w:after="0" w:line="176" w:lineRule="exact"/>
              <w:rPr>
                <w:sz w:val="20"/>
                <w:szCs w:val="20"/>
                <w:color w:val="auto"/>
              </w:rPr>
            </w:pPr>
            <w:r>
              <w:rPr>
                <w:rFonts w:ascii="Arial" w:cs="Arial" w:eastAsia="Arial" w:hAnsi="Arial"/>
                <w:sz w:val="18"/>
                <w:szCs w:val="18"/>
                <w:color w:val="auto"/>
                <w:w w:val="93"/>
              </w:rPr>
              <w:t>Estimated income tax impact from above adjustments</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(12,974)</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ind w:left="680"/>
              <w:spacing w:after="0"/>
              <w:rPr>
                <w:sz w:val="20"/>
                <w:szCs w:val="20"/>
                <w:color w:val="auto"/>
              </w:rPr>
            </w:pPr>
            <w:r>
              <w:rPr>
                <w:rFonts w:ascii="Arial" w:cs="Arial" w:eastAsia="Arial" w:hAnsi="Arial"/>
                <w:sz w:val="18"/>
                <w:szCs w:val="18"/>
                <w:color w:val="auto"/>
              </w:rPr>
              <w:t>—</w:t>
            </w:r>
          </w:p>
        </w:tc>
        <w:tc>
          <w:tcPr>
            <w:tcW w:w="1060" w:type="dxa"/>
            <w:vAlign w:val="bottom"/>
            <w:vMerge w:val="restart"/>
          </w:tcPr>
          <w:p>
            <w:pPr>
              <w:ind w:left="420"/>
              <w:spacing w:after="0"/>
              <w:rPr>
                <w:sz w:val="20"/>
                <w:szCs w:val="20"/>
                <w:color w:val="auto"/>
              </w:rPr>
            </w:pPr>
            <w:r>
              <w:rPr>
                <w:rFonts w:ascii="Arial" w:cs="Arial" w:eastAsia="Arial" w:hAnsi="Arial"/>
                <w:sz w:val="18"/>
                <w:szCs w:val="18"/>
                <w:color w:val="auto"/>
                <w:w w:val="92"/>
              </w:rPr>
              <w:t>(12,974)</w:t>
            </w: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rPr>
              <w:t>and other items</w:t>
            </w:r>
          </w:p>
        </w:tc>
        <w:tc>
          <w:tcPr>
            <w:tcW w:w="1140" w:type="dxa"/>
            <w:vAlign w:val="bottom"/>
            <w:vMerge w:val="continue"/>
          </w:tcPr>
          <w:p>
            <w:pPr>
              <w:spacing w:after="0"/>
              <w:rPr>
                <w:sz w:val="20"/>
                <w:szCs w:val="20"/>
                <w:color w:val="auto"/>
              </w:rPr>
            </w:pPr>
          </w:p>
        </w:tc>
        <w:tc>
          <w:tcPr>
            <w:tcW w:w="1140" w:type="dxa"/>
            <w:vAlign w:val="bottom"/>
            <w:vMerge w:val="continue"/>
          </w:tcPr>
          <w:p>
            <w:pPr>
              <w:spacing w:after="0"/>
              <w:rPr>
                <w:sz w:val="20"/>
                <w:szCs w:val="20"/>
                <w:color w:val="auto"/>
              </w:rPr>
            </w:pPr>
          </w:p>
        </w:tc>
        <w:tc>
          <w:tcPr>
            <w:tcW w:w="1120" w:type="dxa"/>
            <w:vAlign w:val="bottom"/>
            <w:vMerge w:val="continue"/>
          </w:tcPr>
          <w:p>
            <w:pPr>
              <w:spacing w:after="0"/>
              <w:rPr>
                <w:sz w:val="20"/>
                <w:szCs w:val="20"/>
                <w:color w:val="auto"/>
              </w:rPr>
            </w:pPr>
          </w:p>
        </w:tc>
        <w:tc>
          <w:tcPr>
            <w:tcW w:w="94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920" w:type="dxa"/>
            <w:vAlign w:val="bottom"/>
            <w:vMerge w:val="continue"/>
          </w:tcPr>
          <w:p>
            <w:pPr>
              <w:spacing w:after="0"/>
              <w:rPr>
                <w:sz w:val="20"/>
                <w:szCs w:val="20"/>
                <w:color w:val="auto"/>
              </w:rPr>
            </w:pPr>
          </w:p>
        </w:tc>
        <w:tc>
          <w:tcPr>
            <w:tcW w:w="10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4040" w:type="dxa"/>
            <w:vAlign w:val="bottom"/>
          </w:tcPr>
          <w:p>
            <w:pPr>
              <w:ind w:left="20"/>
              <w:spacing w:after="0"/>
              <w:rPr>
                <w:sz w:val="20"/>
                <w:szCs w:val="20"/>
                <w:color w:val="auto"/>
              </w:rPr>
            </w:pPr>
            <w:r>
              <w:rPr>
                <w:rFonts w:ascii="Arial" w:cs="Arial" w:eastAsia="Arial" w:hAnsi="Arial"/>
                <w:sz w:val="18"/>
                <w:szCs w:val="18"/>
                <w:color w:val="auto"/>
              </w:rPr>
              <w:t>Depreciation expense</w:t>
            </w:r>
          </w:p>
        </w:tc>
        <w:tc>
          <w:tcPr>
            <w:tcW w:w="1140" w:type="dxa"/>
            <w:vAlign w:val="bottom"/>
          </w:tcPr>
          <w:p>
            <w:pPr>
              <w:jc w:val="right"/>
              <w:spacing w:after="0"/>
              <w:rPr>
                <w:sz w:val="20"/>
                <w:szCs w:val="20"/>
                <w:color w:val="auto"/>
              </w:rPr>
            </w:pPr>
            <w:r>
              <w:rPr>
                <w:rFonts w:ascii="Arial" w:cs="Arial" w:eastAsia="Arial" w:hAnsi="Arial"/>
                <w:sz w:val="18"/>
                <w:szCs w:val="18"/>
                <w:color w:val="auto"/>
              </w:rPr>
              <w:t>9,977</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ind w:left="680"/>
              <w:spacing w:after="0"/>
              <w:rPr>
                <w:sz w:val="20"/>
                <w:szCs w:val="20"/>
                <w:color w:val="auto"/>
              </w:rPr>
            </w:pPr>
            <w:r>
              <w:rPr>
                <w:rFonts w:ascii="Arial" w:cs="Arial" w:eastAsia="Arial" w:hAnsi="Arial"/>
                <w:sz w:val="18"/>
                <w:szCs w:val="18"/>
                <w:color w:val="auto"/>
              </w:rPr>
              <w:t>—</w:t>
            </w:r>
          </w:p>
        </w:tc>
        <w:tc>
          <w:tcPr>
            <w:tcW w:w="1060" w:type="dxa"/>
            <w:vAlign w:val="bottom"/>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COGS - Cost of goods sold</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SG&amp;A - Selling, general and administrative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R&amp;D - Research &amp; development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Amort. - Intangible asset amortization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OI&amp;E - Other income &amp; expense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Tax - Income tax expense (benefit)</w:t>
      </w:r>
    </w:p>
    <w:p>
      <w:pPr>
        <w:sectPr>
          <w:pgSz w:w="11900" w:h="16838" w:orient="portrait"/>
          <w:cols w:equalWidth="0" w:num="1">
            <w:col w:w="11220"/>
          </w:cols>
          <w:pgMar w:left="320" w:top="895" w:right="35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Items included in GAAP net income and location where each item is recorded are as follows: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Three Months Ended June 30, 2022</w:t>
      </w:r>
    </w:p>
    <w:p>
      <w:pPr>
        <w:spacing w:after="0" w:line="206"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404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Item</w:t>
            </w:r>
          </w:p>
        </w:tc>
        <w:tc>
          <w:tcPr>
            <w:tcW w:w="1280" w:type="dxa"/>
            <w:vAlign w:val="bottom"/>
            <w:tcBorders>
              <w:top w:val="single" w:sz="8" w:color="auto"/>
            </w:tcBorders>
          </w:tcPr>
          <w:p>
            <w:pPr>
              <w:jc w:val="right"/>
              <w:ind w:right="353"/>
              <w:spacing w:after="0"/>
              <w:rPr>
                <w:sz w:val="20"/>
                <w:szCs w:val="20"/>
                <w:color w:val="auto"/>
              </w:rPr>
            </w:pPr>
            <w:r>
              <w:rPr>
                <w:rFonts w:ascii="Arial" w:cs="Arial" w:eastAsia="Arial" w:hAnsi="Arial"/>
                <w:sz w:val="14"/>
                <w:szCs w:val="14"/>
                <w:color w:val="auto"/>
                <w:w w:val="98"/>
              </w:rPr>
              <w:t>Total Amount</w:t>
            </w:r>
          </w:p>
        </w:tc>
        <w:tc>
          <w:tcPr>
            <w:tcW w:w="1160" w:type="dxa"/>
            <w:vAlign w:val="bottom"/>
            <w:tcBorders>
              <w:top w:val="single" w:sz="8" w:color="auto"/>
            </w:tcBorders>
          </w:tcPr>
          <w:p>
            <w:pPr>
              <w:jc w:val="right"/>
              <w:ind w:right="353"/>
              <w:spacing w:after="0"/>
              <w:rPr>
                <w:sz w:val="20"/>
                <w:szCs w:val="20"/>
                <w:color w:val="auto"/>
              </w:rPr>
            </w:pPr>
            <w:r>
              <w:rPr>
                <w:rFonts w:ascii="Arial" w:cs="Arial" w:eastAsia="Arial" w:hAnsi="Arial"/>
                <w:sz w:val="14"/>
                <w:szCs w:val="14"/>
                <w:color w:val="auto"/>
              </w:rPr>
              <w:t>COGS(a)</w:t>
            </w:r>
          </w:p>
        </w:tc>
        <w:tc>
          <w:tcPr>
            <w:tcW w:w="1100" w:type="dxa"/>
            <w:vAlign w:val="bottom"/>
            <w:tcBorders>
              <w:top w:val="single" w:sz="8" w:color="auto"/>
            </w:tcBorders>
          </w:tcPr>
          <w:p>
            <w:pPr>
              <w:jc w:val="right"/>
              <w:ind w:right="293"/>
              <w:spacing w:after="0"/>
              <w:rPr>
                <w:sz w:val="20"/>
                <w:szCs w:val="20"/>
                <w:color w:val="auto"/>
              </w:rPr>
            </w:pPr>
            <w:r>
              <w:rPr>
                <w:rFonts w:ascii="Arial" w:cs="Arial" w:eastAsia="Arial" w:hAnsi="Arial"/>
                <w:sz w:val="14"/>
                <w:szCs w:val="14"/>
                <w:color w:val="auto"/>
              </w:rPr>
              <w:t>SG&amp;A(b)</w:t>
            </w:r>
          </w:p>
        </w:tc>
        <w:tc>
          <w:tcPr>
            <w:tcW w:w="880" w:type="dxa"/>
            <w:vAlign w:val="bottom"/>
            <w:tcBorders>
              <w:top w:val="single" w:sz="8" w:color="auto"/>
            </w:tcBorders>
          </w:tcPr>
          <w:p>
            <w:pPr>
              <w:jc w:val="right"/>
              <w:ind w:right="193"/>
              <w:spacing w:after="0"/>
              <w:rPr>
                <w:sz w:val="20"/>
                <w:szCs w:val="20"/>
                <w:color w:val="auto"/>
              </w:rPr>
            </w:pPr>
            <w:r>
              <w:rPr>
                <w:rFonts w:ascii="Arial" w:cs="Arial" w:eastAsia="Arial" w:hAnsi="Arial"/>
                <w:sz w:val="14"/>
                <w:szCs w:val="14"/>
                <w:color w:val="auto"/>
              </w:rPr>
              <w:t>R&amp;D(c)</w:t>
            </w:r>
          </w:p>
        </w:tc>
        <w:tc>
          <w:tcPr>
            <w:tcW w:w="860" w:type="dxa"/>
            <w:vAlign w:val="bottom"/>
            <w:tcBorders>
              <w:top w:val="single" w:sz="8" w:color="auto"/>
            </w:tcBorders>
          </w:tcPr>
          <w:p>
            <w:pPr>
              <w:jc w:val="right"/>
              <w:ind w:right="113"/>
              <w:spacing w:after="0"/>
              <w:rPr>
                <w:sz w:val="20"/>
                <w:szCs w:val="20"/>
                <w:color w:val="auto"/>
              </w:rPr>
            </w:pPr>
            <w:r>
              <w:rPr>
                <w:rFonts w:ascii="Arial" w:cs="Arial" w:eastAsia="Arial" w:hAnsi="Arial"/>
                <w:sz w:val="14"/>
                <w:szCs w:val="14"/>
                <w:color w:val="auto"/>
              </w:rPr>
              <w:t>Amort.(d)</w:t>
            </w:r>
          </w:p>
        </w:tc>
        <w:tc>
          <w:tcPr>
            <w:tcW w:w="1000" w:type="dxa"/>
            <w:vAlign w:val="bottom"/>
            <w:tcBorders>
              <w:top w:val="single" w:sz="8" w:color="auto"/>
            </w:tcBorders>
          </w:tcPr>
          <w:p>
            <w:pPr>
              <w:ind w:left="120"/>
              <w:spacing w:after="0"/>
              <w:rPr>
                <w:sz w:val="20"/>
                <w:szCs w:val="20"/>
                <w:color w:val="auto"/>
              </w:rPr>
            </w:pPr>
            <w:r>
              <w:rPr>
                <w:rFonts w:ascii="Arial" w:cs="Arial" w:eastAsia="Arial" w:hAnsi="Arial"/>
                <w:sz w:val="14"/>
                <w:szCs w:val="14"/>
                <w:color w:val="auto"/>
              </w:rPr>
              <w:t>OI&amp;E(e)</w:t>
            </w:r>
          </w:p>
        </w:tc>
        <w:tc>
          <w:tcPr>
            <w:tcW w:w="880" w:type="dxa"/>
            <w:vAlign w:val="bottom"/>
            <w:tcBorders>
              <w:top w:val="single" w:sz="8" w:color="auto"/>
            </w:tcBorders>
          </w:tcPr>
          <w:p>
            <w:pPr>
              <w:ind w:left="180"/>
              <w:spacing w:after="0"/>
              <w:rPr>
                <w:sz w:val="20"/>
                <w:szCs w:val="20"/>
                <w:color w:val="auto"/>
              </w:rPr>
            </w:pPr>
            <w:r>
              <w:rPr>
                <w:rFonts w:ascii="Arial" w:cs="Arial" w:eastAsia="Arial" w:hAnsi="Arial"/>
                <w:sz w:val="14"/>
                <w:szCs w:val="14"/>
                <w:color w:val="auto"/>
              </w:rPr>
              <w:t>Tax(f)</w:t>
            </w:r>
          </w:p>
        </w:tc>
        <w:tc>
          <w:tcPr>
            <w:tcW w:w="0" w:type="dxa"/>
            <w:vAlign w:val="bottom"/>
          </w:tcPr>
          <w:p>
            <w:pPr>
              <w:spacing w:after="0"/>
              <w:rPr>
                <w:sz w:val="1"/>
                <w:szCs w:val="1"/>
                <w:color w:val="auto"/>
              </w:rPr>
            </w:pPr>
          </w:p>
        </w:tc>
      </w:tr>
      <w:tr>
        <w:trPr>
          <w:trHeight w:val="20"/>
        </w:trPr>
        <w:tc>
          <w:tcPr>
            <w:tcW w:w="40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2"/>
        </w:trPr>
        <w:tc>
          <w:tcPr>
            <w:tcW w:w="4040" w:type="dxa"/>
            <w:vAlign w:val="bottom"/>
          </w:tcPr>
          <w:p>
            <w:pPr>
              <w:ind w:left="20"/>
              <w:spacing w:after="0"/>
              <w:rPr>
                <w:sz w:val="20"/>
                <w:szCs w:val="20"/>
                <w:color w:val="auto"/>
              </w:rPr>
            </w:pPr>
            <w:r>
              <w:rPr>
                <w:rFonts w:ascii="Arial" w:cs="Arial" w:eastAsia="Arial" w:hAnsi="Arial"/>
                <w:sz w:val="18"/>
                <w:szCs w:val="18"/>
                <w:color w:val="auto"/>
                <w:w w:val="92"/>
              </w:rPr>
              <w:t>Acquisition, divestiture and integration-related charges</w:t>
            </w:r>
          </w:p>
        </w:tc>
        <w:tc>
          <w:tcPr>
            <w:tcW w:w="1280" w:type="dxa"/>
            <w:vAlign w:val="bottom"/>
          </w:tcPr>
          <w:p>
            <w:pPr>
              <w:jc w:val="right"/>
              <w:ind w:right="73"/>
              <w:spacing w:after="0"/>
              <w:rPr>
                <w:sz w:val="20"/>
                <w:szCs w:val="20"/>
                <w:color w:val="auto"/>
              </w:rPr>
            </w:pPr>
            <w:r>
              <w:rPr>
                <w:rFonts w:ascii="Arial" w:cs="Arial" w:eastAsia="Arial" w:hAnsi="Arial"/>
                <w:sz w:val="18"/>
                <w:szCs w:val="18"/>
                <w:color w:val="auto"/>
              </w:rPr>
              <w:t>(6,284)</w:t>
            </w: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(108)</w:t>
            </w:r>
          </w:p>
        </w:tc>
        <w:tc>
          <w:tcPr>
            <w:tcW w:w="1100" w:type="dxa"/>
            <w:vAlign w:val="bottom"/>
          </w:tcPr>
          <w:p>
            <w:pPr>
              <w:jc w:val="right"/>
              <w:ind w:right="53"/>
              <w:spacing w:after="0"/>
              <w:rPr>
                <w:sz w:val="20"/>
                <w:szCs w:val="20"/>
                <w:color w:val="auto"/>
              </w:rPr>
            </w:pPr>
            <w:r>
              <w:rPr>
                <w:rFonts w:ascii="Arial" w:cs="Arial" w:eastAsia="Arial" w:hAnsi="Arial"/>
                <w:sz w:val="18"/>
                <w:szCs w:val="18"/>
                <w:color w:val="auto"/>
              </w:rPr>
              <w:t>(3,925)</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(1,059)</w:t>
            </w:r>
          </w:p>
        </w:tc>
        <w:tc>
          <w:tcPr>
            <w:tcW w:w="86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1000" w:type="dxa"/>
            <w:vAlign w:val="bottom"/>
          </w:tcPr>
          <w:p>
            <w:pPr>
              <w:ind w:left="280"/>
              <w:spacing w:after="0"/>
              <w:rPr>
                <w:sz w:val="20"/>
                <w:szCs w:val="20"/>
                <w:color w:val="auto"/>
              </w:rPr>
            </w:pPr>
            <w:r>
              <w:rPr>
                <w:rFonts w:ascii="Arial" w:cs="Arial" w:eastAsia="Arial" w:hAnsi="Arial"/>
                <w:sz w:val="18"/>
                <w:szCs w:val="18"/>
                <w:color w:val="auto"/>
              </w:rPr>
              <w:t>(1,192)</w:t>
            </w:r>
          </w:p>
        </w:tc>
        <w:tc>
          <w:tcPr>
            <w:tcW w:w="880" w:type="dxa"/>
            <w:vAlign w:val="bottom"/>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40" w:type="dxa"/>
            <w:vAlign w:val="bottom"/>
          </w:tcPr>
          <w:p>
            <w:pPr>
              <w:ind w:left="20"/>
              <w:spacing w:after="0"/>
              <w:rPr>
                <w:sz w:val="20"/>
                <w:szCs w:val="20"/>
                <w:color w:val="auto"/>
              </w:rPr>
            </w:pPr>
            <w:r>
              <w:rPr>
                <w:rFonts w:ascii="Arial" w:cs="Arial" w:eastAsia="Arial" w:hAnsi="Arial"/>
                <w:sz w:val="18"/>
                <w:szCs w:val="18"/>
                <w:color w:val="auto"/>
              </w:rPr>
              <w:t>Structural Optimization charges</w:t>
            </w:r>
          </w:p>
        </w:tc>
        <w:tc>
          <w:tcPr>
            <w:tcW w:w="1280" w:type="dxa"/>
            <w:vAlign w:val="bottom"/>
          </w:tcPr>
          <w:p>
            <w:pPr>
              <w:jc w:val="right"/>
              <w:ind w:right="113"/>
              <w:spacing w:after="0"/>
              <w:rPr>
                <w:sz w:val="20"/>
                <w:szCs w:val="20"/>
                <w:color w:val="auto"/>
              </w:rPr>
            </w:pPr>
            <w:r>
              <w:rPr>
                <w:rFonts w:ascii="Arial" w:cs="Arial" w:eastAsia="Arial" w:hAnsi="Arial"/>
                <w:sz w:val="18"/>
                <w:szCs w:val="18"/>
                <w:color w:val="auto"/>
              </w:rPr>
              <w:t>8,173</w:t>
            </w:r>
          </w:p>
        </w:tc>
        <w:tc>
          <w:tcPr>
            <w:tcW w:w="1160" w:type="dxa"/>
            <w:vAlign w:val="bottom"/>
          </w:tcPr>
          <w:p>
            <w:pPr>
              <w:jc w:val="right"/>
              <w:ind w:right="113"/>
              <w:spacing w:after="0"/>
              <w:rPr>
                <w:sz w:val="20"/>
                <w:szCs w:val="20"/>
                <w:color w:val="auto"/>
              </w:rPr>
            </w:pPr>
            <w:r>
              <w:rPr>
                <w:rFonts w:ascii="Arial" w:cs="Arial" w:eastAsia="Arial" w:hAnsi="Arial"/>
                <w:sz w:val="18"/>
                <w:szCs w:val="18"/>
                <w:color w:val="auto"/>
              </w:rPr>
              <w:t>4,052</w:t>
            </w:r>
          </w:p>
        </w:tc>
        <w:tc>
          <w:tcPr>
            <w:tcW w:w="1100" w:type="dxa"/>
            <w:vAlign w:val="bottom"/>
          </w:tcPr>
          <w:p>
            <w:pPr>
              <w:jc w:val="right"/>
              <w:ind w:right="93"/>
              <w:spacing w:after="0"/>
              <w:rPr>
                <w:sz w:val="20"/>
                <w:szCs w:val="20"/>
                <w:color w:val="auto"/>
              </w:rPr>
            </w:pPr>
            <w:r>
              <w:rPr>
                <w:rFonts w:ascii="Arial" w:cs="Arial" w:eastAsia="Arial" w:hAnsi="Arial"/>
                <w:sz w:val="18"/>
                <w:szCs w:val="18"/>
                <w:color w:val="auto"/>
              </w:rPr>
              <w:t>4,048</w:t>
            </w:r>
          </w:p>
        </w:tc>
        <w:tc>
          <w:tcPr>
            <w:tcW w:w="880" w:type="dxa"/>
            <w:vAlign w:val="bottom"/>
          </w:tcPr>
          <w:p>
            <w:pPr>
              <w:jc w:val="right"/>
              <w:ind w:right="53"/>
              <w:spacing w:after="0"/>
              <w:rPr>
                <w:sz w:val="20"/>
                <w:szCs w:val="20"/>
                <w:color w:val="auto"/>
              </w:rPr>
            </w:pPr>
            <w:r>
              <w:rPr>
                <w:rFonts w:ascii="Arial" w:cs="Arial" w:eastAsia="Arial" w:hAnsi="Arial"/>
                <w:sz w:val="18"/>
                <w:szCs w:val="18"/>
                <w:color w:val="auto"/>
              </w:rPr>
              <w:t>72</w:t>
            </w:r>
          </w:p>
        </w:tc>
        <w:tc>
          <w:tcPr>
            <w:tcW w:w="86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1000" w:type="dxa"/>
            <w:vAlign w:val="bottom"/>
          </w:tcPr>
          <w:p>
            <w:pPr>
              <w:ind w:left="580"/>
              <w:spacing w:after="0"/>
              <w:rPr>
                <w:sz w:val="20"/>
                <w:szCs w:val="20"/>
                <w:color w:val="auto"/>
              </w:rPr>
            </w:pPr>
            <w:r>
              <w:rPr>
                <w:rFonts w:ascii="Arial" w:cs="Arial" w:eastAsia="Arial" w:hAnsi="Arial"/>
                <w:sz w:val="18"/>
                <w:szCs w:val="18"/>
                <w:color w:val="auto"/>
              </w:rPr>
              <w:t>—</w:t>
            </w:r>
          </w:p>
        </w:tc>
        <w:tc>
          <w:tcPr>
            <w:tcW w:w="880" w:type="dxa"/>
            <w:vAlign w:val="bottom"/>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rPr>
              <w:t>EU Medical Device Regulation charges</w:t>
            </w:r>
          </w:p>
        </w:tc>
        <w:tc>
          <w:tcPr>
            <w:tcW w:w="1280" w:type="dxa"/>
            <w:vAlign w:val="bottom"/>
          </w:tcPr>
          <w:p>
            <w:pPr>
              <w:jc w:val="right"/>
              <w:ind w:right="113"/>
              <w:spacing w:after="0"/>
              <w:rPr>
                <w:sz w:val="20"/>
                <w:szCs w:val="20"/>
                <w:color w:val="auto"/>
              </w:rPr>
            </w:pPr>
            <w:r>
              <w:rPr>
                <w:rFonts w:ascii="Arial" w:cs="Arial" w:eastAsia="Arial" w:hAnsi="Arial"/>
                <w:sz w:val="18"/>
                <w:szCs w:val="18"/>
                <w:color w:val="auto"/>
              </w:rPr>
              <w:t>10,249</w:t>
            </w:r>
          </w:p>
        </w:tc>
        <w:tc>
          <w:tcPr>
            <w:tcW w:w="1160" w:type="dxa"/>
            <w:vAlign w:val="bottom"/>
          </w:tcPr>
          <w:p>
            <w:pPr>
              <w:jc w:val="right"/>
              <w:ind w:right="113"/>
              <w:spacing w:after="0"/>
              <w:rPr>
                <w:sz w:val="20"/>
                <w:szCs w:val="20"/>
                <w:color w:val="auto"/>
              </w:rPr>
            </w:pPr>
            <w:r>
              <w:rPr>
                <w:rFonts w:ascii="Arial" w:cs="Arial" w:eastAsia="Arial" w:hAnsi="Arial"/>
                <w:sz w:val="18"/>
                <w:szCs w:val="18"/>
                <w:color w:val="auto"/>
              </w:rPr>
              <w:t>1,186</w:t>
            </w:r>
          </w:p>
        </w:tc>
        <w:tc>
          <w:tcPr>
            <w:tcW w:w="1100" w:type="dxa"/>
            <w:vAlign w:val="bottom"/>
          </w:tcPr>
          <w:p>
            <w:pPr>
              <w:jc w:val="right"/>
              <w:ind w:right="93"/>
              <w:spacing w:after="0"/>
              <w:rPr>
                <w:sz w:val="20"/>
                <w:szCs w:val="20"/>
                <w:color w:val="auto"/>
              </w:rPr>
            </w:pPr>
            <w:r>
              <w:rPr>
                <w:rFonts w:ascii="Arial" w:cs="Arial" w:eastAsia="Arial" w:hAnsi="Arial"/>
                <w:sz w:val="18"/>
                <w:szCs w:val="18"/>
                <w:color w:val="auto"/>
              </w:rPr>
              <w:t>2,538</w:t>
            </w:r>
          </w:p>
        </w:tc>
        <w:tc>
          <w:tcPr>
            <w:tcW w:w="880" w:type="dxa"/>
            <w:vAlign w:val="bottom"/>
          </w:tcPr>
          <w:p>
            <w:pPr>
              <w:jc w:val="right"/>
              <w:ind w:right="53"/>
              <w:spacing w:after="0"/>
              <w:rPr>
                <w:sz w:val="20"/>
                <w:szCs w:val="20"/>
                <w:color w:val="auto"/>
              </w:rPr>
            </w:pPr>
            <w:r>
              <w:rPr>
                <w:rFonts w:ascii="Arial" w:cs="Arial" w:eastAsia="Arial" w:hAnsi="Arial"/>
                <w:sz w:val="18"/>
                <w:szCs w:val="18"/>
                <w:color w:val="auto"/>
              </w:rPr>
              <w:t>6,525</w:t>
            </w:r>
          </w:p>
        </w:tc>
        <w:tc>
          <w:tcPr>
            <w:tcW w:w="86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1000" w:type="dxa"/>
            <w:vAlign w:val="bottom"/>
          </w:tcPr>
          <w:p>
            <w:pPr>
              <w:ind w:left="580"/>
              <w:spacing w:after="0"/>
              <w:rPr>
                <w:sz w:val="20"/>
                <w:szCs w:val="20"/>
                <w:color w:val="auto"/>
              </w:rPr>
            </w:pPr>
            <w:r>
              <w:rPr>
                <w:rFonts w:ascii="Arial" w:cs="Arial" w:eastAsia="Arial" w:hAnsi="Arial"/>
                <w:sz w:val="18"/>
                <w:szCs w:val="18"/>
                <w:color w:val="auto"/>
              </w:rPr>
              <w:t>—</w:t>
            </w:r>
          </w:p>
        </w:tc>
        <w:tc>
          <w:tcPr>
            <w:tcW w:w="880" w:type="dxa"/>
            <w:vAlign w:val="bottom"/>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4040" w:type="dxa"/>
            <w:vAlign w:val="bottom"/>
          </w:tcPr>
          <w:p>
            <w:pPr>
              <w:ind w:left="20"/>
              <w:spacing w:after="0"/>
              <w:rPr>
                <w:sz w:val="20"/>
                <w:szCs w:val="20"/>
                <w:color w:val="auto"/>
              </w:rPr>
            </w:pPr>
            <w:r>
              <w:rPr>
                <w:rFonts w:ascii="Arial" w:cs="Arial" w:eastAsia="Arial" w:hAnsi="Arial"/>
                <w:sz w:val="18"/>
                <w:szCs w:val="18"/>
                <w:color w:val="auto"/>
              </w:rPr>
              <w:t>Intangible asset amortization expense</w:t>
            </w:r>
          </w:p>
        </w:tc>
        <w:tc>
          <w:tcPr>
            <w:tcW w:w="1280" w:type="dxa"/>
            <w:vAlign w:val="bottom"/>
          </w:tcPr>
          <w:p>
            <w:pPr>
              <w:jc w:val="right"/>
              <w:ind w:right="113"/>
              <w:spacing w:after="0"/>
              <w:rPr>
                <w:sz w:val="20"/>
                <w:szCs w:val="20"/>
                <w:color w:val="auto"/>
              </w:rPr>
            </w:pPr>
            <w:r>
              <w:rPr>
                <w:rFonts w:ascii="Arial" w:cs="Arial" w:eastAsia="Arial" w:hAnsi="Arial"/>
                <w:sz w:val="18"/>
                <w:szCs w:val="18"/>
                <w:color w:val="auto"/>
              </w:rPr>
              <w:t>19,378</w:t>
            </w:r>
          </w:p>
        </w:tc>
        <w:tc>
          <w:tcPr>
            <w:tcW w:w="1160" w:type="dxa"/>
            <w:vAlign w:val="bottom"/>
          </w:tcPr>
          <w:p>
            <w:pPr>
              <w:jc w:val="right"/>
              <w:ind w:right="113"/>
              <w:spacing w:after="0"/>
              <w:rPr>
                <w:sz w:val="20"/>
                <w:szCs w:val="20"/>
                <w:color w:val="auto"/>
              </w:rPr>
            </w:pPr>
            <w:r>
              <w:rPr>
                <w:rFonts w:ascii="Arial" w:cs="Arial" w:eastAsia="Arial" w:hAnsi="Arial"/>
                <w:sz w:val="18"/>
                <w:szCs w:val="18"/>
                <w:color w:val="auto"/>
              </w:rPr>
              <w:t>16,074</w:t>
            </w:r>
          </w:p>
        </w:tc>
        <w:tc>
          <w:tcPr>
            <w:tcW w:w="110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3"/>
              <w:spacing w:after="0"/>
              <w:rPr>
                <w:sz w:val="20"/>
                <w:szCs w:val="20"/>
                <w:color w:val="auto"/>
              </w:rPr>
            </w:pPr>
            <w:r>
              <w:rPr>
                <w:rFonts w:ascii="Arial" w:cs="Arial" w:eastAsia="Arial" w:hAnsi="Arial"/>
                <w:sz w:val="18"/>
                <w:szCs w:val="18"/>
                <w:color w:val="auto"/>
              </w:rPr>
              <w:t>3,304</w:t>
            </w:r>
          </w:p>
        </w:tc>
        <w:tc>
          <w:tcPr>
            <w:tcW w:w="1000" w:type="dxa"/>
            <w:vAlign w:val="bottom"/>
          </w:tcPr>
          <w:p>
            <w:pPr>
              <w:ind w:left="580"/>
              <w:spacing w:after="0"/>
              <w:rPr>
                <w:sz w:val="20"/>
                <w:szCs w:val="20"/>
                <w:color w:val="auto"/>
              </w:rPr>
            </w:pPr>
            <w:r>
              <w:rPr>
                <w:rFonts w:ascii="Arial" w:cs="Arial" w:eastAsia="Arial" w:hAnsi="Arial"/>
                <w:sz w:val="18"/>
                <w:szCs w:val="18"/>
                <w:color w:val="auto"/>
              </w:rPr>
              <w:t>—</w:t>
            </w:r>
          </w:p>
        </w:tc>
        <w:tc>
          <w:tcPr>
            <w:tcW w:w="880" w:type="dxa"/>
            <w:vAlign w:val="bottom"/>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4040" w:type="dxa"/>
            <w:vAlign w:val="bottom"/>
          </w:tcPr>
          <w:p>
            <w:pPr>
              <w:ind w:left="20"/>
              <w:spacing w:after="0" w:line="176" w:lineRule="exact"/>
              <w:rPr>
                <w:sz w:val="20"/>
                <w:szCs w:val="20"/>
                <w:color w:val="auto"/>
              </w:rPr>
            </w:pPr>
            <w:r>
              <w:rPr>
                <w:rFonts w:ascii="Arial" w:cs="Arial" w:eastAsia="Arial" w:hAnsi="Arial"/>
                <w:sz w:val="18"/>
                <w:szCs w:val="18"/>
                <w:color w:val="auto"/>
                <w:w w:val="93"/>
              </w:rPr>
              <w:t>Estimated income tax impact from above adjustments</w:t>
            </w:r>
          </w:p>
        </w:tc>
        <w:tc>
          <w:tcPr>
            <w:tcW w:w="1280" w:type="dxa"/>
            <w:vAlign w:val="bottom"/>
            <w:vMerge w:val="restart"/>
          </w:tcPr>
          <w:p>
            <w:pPr>
              <w:jc w:val="right"/>
              <w:ind w:right="73"/>
              <w:spacing w:after="0"/>
              <w:rPr>
                <w:sz w:val="20"/>
                <w:szCs w:val="20"/>
                <w:color w:val="auto"/>
              </w:rPr>
            </w:pPr>
            <w:r>
              <w:rPr>
                <w:rFonts w:ascii="Arial" w:cs="Arial" w:eastAsia="Arial" w:hAnsi="Arial"/>
                <w:sz w:val="18"/>
                <w:szCs w:val="18"/>
                <w:color w:val="auto"/>
              </w:rPr>
              <w:t>(7,968)</w:t>
            </w:r>
          </w:p>
        </w:tc>
        <w:tc>
          <w:tcPr>
            <w:tcW w:w="1160" w:type="dxa"/>
            <w:vAlign w:val="bottom"/>
            <w:vMerge w:val="restart"/>
          </w:tcPr>
          <w:p>
            <w:pPr>
              <w:jc w:val="right"/>
              <w:ind w:right="113"/>
              <w:spacing w:after="0"/>
              <w:rPr>
                <w:sz w:val="20"/>
                <w:szCs w:val="20"/>
                <w:color w:val="auto"/>
              </w:rPr>
            </w:pPr>
            <w:r>
              <w:rPr>
                <w:rFonts w:ascii="Arial" w:cs="Arial" w:eastAsia="Arial" w:hAnsi="Arial"/>
                <w:sz w:val="18"/>
                <w:szCs w:val="18"/>
                <w:color w:val="auto"/>
              </w:rPr>
              <w:t>—</w:t>
            </w:r>
          </w:p>
        </w:tc>
        <w:tc>
          <w:tcPr>
            <w:tcW w:w="1100" w:type="dxa"/>
            <w:vAlign w:val="bottom"/>
            <w:vMerge w:val="restart"/>
          </w:tcPr>
          <w:p>
            <w:pPr>
              <w:jc w:val="right"/>
              <w:ind w:right="93"/>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ind w:right="53"/>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ind w:right="53"/>
              <w:spacing w:after="0"/>
              <w:rPr>
                <w:sz w:val="20"/>
                <w:szCs w:val="20"/>
                <w:color w:val="auto"/>
              </w:rPr>
            </w:pPr>
            <w:r>
              <w:rPr>
                <w:rFonts w:ascii="Arial" w:cs="Arial" w:eastAsia="Arial" w:hAnsi="Arial"/>
                <w:sz w:val="18"/>
                <w:szCs w:val="18"/>
                <w:color w:val="auto"/>
              </w:rPr>
              <w:t>—</w:t>
            </w:r>
          </w:p>
        </w:tc>
        <w:tc>
          <w:tcPr>
            <w:tcW w:w="1000" w:type="dxa"/>
            <w:vAlign w:val="bottom"/>
            <w:vMerge w:val="restart"/>
          </w:tcPr>
          <w:p>
            <w:pPr>
              <w:ind w:left="580"/>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ind w:left="320"/>
              <w:spacing w:after="0"/>
              <w:rPr>
                <w:sz w:val="20"/>
                <w:szCs w:val="20"/>
                <w:color w:val="auto"/>
              </w:rPr>
            </w:pPr>
            <w:r>
              <w:rPr>
                <w:rFonts w:ascii="Arial" w:cs="Arial" w:eastAsia="Arial" w:hAnsi="Arial"/>
                <w:sz w:val="18"/>
                <w:szCs w:val="18"/>
                <w:color w:val="auto"/>
                <w:w w:val="94"/>
              </w:rPr>
              <w:t>(7,968)</w:t>
            </w: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rPr>
              <w:t>and other items</w:t>
            </w:r>
          </w:p>
        </w:tc>
        <w:tc>
          <w:tcPr>
            <w:tcW w:w="1280" w:type="dxa"/>
            <w:vAlign w:val="bottom"/>
            <w:vMerge w:val="continue"/>
          </w:tcPr>
          <w:p>
            <w:pPr>
              <w:spacing w:after="0"/>
              <w:rPr>
                <w:sz w:val="20"/>
                <w:szCs w:val="20"/>
                <w:color w:val="auto"/>
              </w:rPr>
            </w:pPr>
          </w:p>
        </w:tc>
        <w:tc>
          <w:tcPr>
            <w:tcW w:w="1160" w:type="dxa"/>
            <w:vAlign w:val="bottom"/>
            <w:vMerge w:val="continue"/>
          </w:tcPr>
          <w:p>
            <w:pPr>
              <w:spacing w:after="0"/>
              <w:rPr>
                <w:sz w:val="20"/>
                <w:szCs w:val="20"/>
                <w:color w:val="auto"/>
              </w:rPr>
            </w:pPr>
          </w:p>
        </w:tc>
        <w:tc>
          <w:tcPr>
            <w:tcW w:w="1100" w:type="dxa"/>
            <w:vAlign w:val="bottom"/>
            <w:vMerge w:val="continue"/>
          </w:tcPr>
          <w:p>
            <w:pPr>
              <w:spacing w:after="0"/>
              <w:rPr>
                <w:sz w:val="20"/>
                <w:szCs w:val="20"/>
                <w:color w:val="auto"/>
              </w:rPr>
            </w:pPr>
          </w:p>
        </w:tc>
        <w:tc>
          <w:tcPr>
            <w:tcW w:w="880" w:type="dxa"/>
            <w:vAlign w:val="bottom"/>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1000" w:type="dxa"/>
            <w:vAlign w:val="bottom"/>
            <w:vMerge w:val="continue"/>
          </w:tcPr>
          <w:p>
            <w:pPr>
              <w:spacing w:after="0"/>
              <w:rPr>
                <w:sz w:val="20"/>
                <w:szCs w:val="20"/>
                <w:color w:val="auto"/>
              </w:rPr>
            </w:pPr>
          </w:p>
        </w:tc>
        <w:tc>
          <w:tcPr>
            <w:tcW w:w="8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4040" w:type="dxa"/>
            <w:vAlign w:val="bottom"/>
          </w:tcPr>
          <w:p>
            <w:pPr>
              <w:ind w:left="20"/>
              <w:spacing w:after="0"/>
              <w:rPr>
                <w:sz w:val="20"/>
                <w:szCs w:val="20"/>
                <w:color w:val="auto"/>
              </w:rPr>
            </w:pPr>
            <w:r>
              <w:rPr>
                <w:rFonts w:ascii="Arial" w:cs="Arial" w:eastAsia="Arial" w:hAnsi="Arial"/>
                <w:sz w:val="18"/>
                <w:szCs w:val="18"/>
                <w:color w:val="auto"/>
              </w:rPr>
              <w:t>Depreciation expense</w:t>
            </w:r>
          </w:p>
        </w:tc>
        <w:tc>
          <w:tcPr>
            <w:tcW w:w="1280" w:type="dxa"/>
            <w:vAlign w:val="bottom"/>
          </w:tcPr>
          <w:p>
            <w:pPr>
              <w:jc w:val="right"/>
              <w:ind w:right="113"/>
              <w:spacing w:after="0"/>
              <w:rPr>
                <w:sz w:val="20"/>
                <w:szCs w:val="20"/>
                <w:color w:val="auto"/>
              </w:rPr>
            </w:pPr>
            <w:r>
              <w:rPr>
                <w:rFonts w:ascii="Arial" w:cs="Arial" w:eastAsia="Arial" w:hAnsi="Arial"/>
                <w:sz w:val="18"/>
                <w:szCs w:val="18"/>
                <w:color w:val="auto"/>
              </w:rPr>
              <w:t>10,216</w:t>
            </w:r>
          </w:p>
        </w:tc>
        <w:tc>
          <w:tcPr>
            <w:tcW w:w="116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1000" w:type="dxa"/>
            <w:vAlign w:val="bottom"/>
          </w:tcPr>
          <w:p>
            <w:pPr>
              <w:ind w:left="580"/>
              <w:spacing w:after="0"/>
              <w:rPr>
                <w:sz w:val="20"/>
                <w:szCs w:val="20"/>
                <w:color w:val="auto"/>
              </w:rPr>
            </w:pPr>
            <w:r>
              <w:rPr>
                <w:rFonts w:ascii="Arial" w:cs="Arial" w:eastAsia="Arial" w:hAnsi="Arial"/>
                <w:sz w:val="18"/>
                <w:szCs w:val="18"/>
                <w:color w:val="auto"/>
              </w:rPr>
              <w:t>—</w:t>
            </w:r>
          </w:p>
        </w:tc>
        <w:tc>
          <w:tcPr>
            <w:tcW w:w="880" w:type="dxa"/>
            <w:vAlign w:val="bottom"/>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COGS - Cost of goods sold</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SG&amp;A - Selling, general and administrative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R&amp;D - Research &amp; development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Amort. - Intangible asset amortization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OI&amp;E - Other income &amp; expense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Tax - Income tax expense (benefit)</w:t>
      </w:r>
    </w:p>
    <w:p>
      <w:pPr>
        <w:sectPr>
          <w:pgSz w:w="11900" w:h="16838" w:orient="portrait"/>
          <w:cols w:equalWidth="0" w:num="1">
            <w:col w:w="11220"/>
          </w:cols>
          <w:pgMar w:left="320" w:top="895" w:right="359" w:bottom="1440" w:gutter="0" w:footer="0" w:header="0"/>
        </w:sectPr>
      </w:pPr>
    </w:p>
    <w:bookmarkStart w:id="16" w:name="page17"/>
    <w:bookmarkEnd w:id="16"/>
    <w:p>
      <w:pPr>
        <w:jc w:val="center"/>
        <w:ind w:right="-239"/>
        <w:spacing w:after="0"/>
        <w:rPr>
          <w:sz w:val="20"/>
          <w:szCs w:val="20"/>
          <w:color w:val="auto"/>
        </w:rPr>
      </w:pPr>
      <w:r>
        <w:rPr>
          <w:rFonts w:ascii="Arial" w:cs="Arial" w:eastAsia="Arial" w:hAnsi="Arial"/>
          <w:sz w:val="18"/>
          <w:szCs w:val="18"/>
          <w:color w:val="auto"/>
        </w:rPr>
        <w:t>RECONCILIATION OF NON-GAAP ADJUSTMENTS - GAAP NET INCOME TO ADJUSTED EBITDA</w:t>
      </w:r>
    </w:p>
    <w:p>
      <w:pPr>
        <w:spacing w:after="0" w:line="2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(In thousands)</w:t>
            </w:r>
          </w:p>
        </w:tc>
        <w:tc>
          <w:tcPr>
            <w:tcW w:w="3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37"/>
        </w:trPr>
        <w:tc>
          <w:tcPr>
            <w:tcW w:w="76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3"/>
          </w:tcPr>
          <w:p>
            <w:pPr>
              <w:jc w:val="right"/>
              <w:ind w:right="530"/>
              <w:spacing w:after="0"/>
              <w:rPr>
                <w:sz w:val="20"/>
                <w:szCs w:val="20"/>
                <w:color w:val="auto"/>
              </w:rPr>
            </w:pPr>
            <w:r>
              <w:rPr>
                <w:rFonts w:ascii="Arial" w:cs="Arial" w:eastAsia="Arial" w:hAnsi="Arial"/>
                <w:sz w:val="18"/>
                <w:szCs w:val="18"/>
                <w:color w:val="auto"/>
              </w:rPr>
              <w:t>Three Months Ended June 30,</w:t>
            </w:r>
          </w:p>
        </w:tc>
      </w:tr>
      <w:tr>
        <w:trPr>
          <w:trHeight w:val="223"/>
        </w:trPr>
        <w:tc>
          <w:tcPr>
            <w:tcW w:w="76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2023</w:t>
            </w:r>
          </w:p>
        </w:tc>
        <w:tc>
          <w:tcPr>
            <w:tcW w:w="5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2022</w:t>
            </w:r>
          </w:p>
        </w:tc>
      </w:tr>
      <w:tr>
        <w:trPr>
          <w:trHeight w:val="546"/>
        </w:trPr>
        <w:tc>
          <w:tcPr>
            <w:tcW w:w="7600" w:type="dxa"/>
            <w:vAlign w:val="bottom"/>
          </w:tcPr>
          <w:p>
            <w:pPr>
              <w:ind w:left="280"/>
              <w:spacing w:after="0"/>
              <w:rPr>
                <w:sz w:val="20"/>
                <w:szCs w:val="20"/>
                <w:color w:val="auto"/>
              </w:rPr>
            </w:pPr>
            <w:r>
              <w:rPr>
                <w:rFonts w:ascii="Arial" w:cs="Arial" w:eastAsia="Arial" w:hAnsi="Arial"/>
                <w:sz w:val="18"/>
                <w:szCs w:val="18"/>
                <w:color w:val="auto"/>
              </w:rPr>
              <w:t>GAAP net income</w:t>
            </w:r>
          </w:p>
        </w:tc>
        <w:tc>
          <w:tcPr>
            <w:tcW w:w="320" w:type="dxa"/>
            <w:vAlign w:val="bottom"/>
          </w:tcPr>
          <w:p>
            <w:pPr>
              <w:spacing w:after="0"/>
              <w:rPr>
                <w:sz w:val="24"/>
                <w:szCs w:val="24"/>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4,184</w:t>
            </w:r>
          </w:p>
        </w:tc>
        <w:tc>
          <w:tcPr>
            <w:tcW w:w="54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44,788</w:t>
            </w:r>
          </w:p>
        </w:tc>
      </w:tr>
      <w:tr>
        <w:trPr>
          <w:trHeight w:val="229"/>
        </w:trPr>
        <w:tc>
          <w:tcPr>
            <w:tcW w:w="7600" w:type="dxa"/>
            <w:vAlign w:val="bottom"/>
          </w:tcPr>
          <w:p>
            <w:pPr>
              <w:ind w:left="280"/>
              <w:spacing w:after="0"/>
              <w:rPr>
                <w:sz w:val="20"/>
                <w:szCs w:val="20"/>
                <w:color w:val="auto"/>
              </w:rPr>
            </w:pPr>
            <w:r>
              <w:rPr>
                <w:rFonts w:ascii="Arial" w:cs="Arial" w:eastAsia="Arial" w:hAnsi="Arial"/>
                <w:sz w:val="18"/>
                <w:szCs w:val="18"/>
                <w:color w:val="auto"/>
              </w:rPr>
              <w:t>Non-GAAP adjustments:</w:t>
            </w: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7600" w:type="dxa"/>
            <w:vAlign w:val="bottom"/>
          </w:tcPr>
          <w:p>
            <w:pPr>
              <w:ind w:left="280"/>
              <w:spacing w:after="0"/>
              <w:rPr>
                <w:sz w:val="20"/>
                <w:szCs w:val="20"/>
                <w:color w:val="auto"/>
              </w:rPr>
            </w:pPr>
            <w:r>
              <w:rPr>
                <w:rFonts w:ascii="Arial" w:cs="Arial" w:eastAsia="Arial" w:hAnsi="Arial"/>
                <w:sz w:val="18"/>
                <w:szCs w:val="18"/>
                <w:color w:val="auto"/>
              </w:rPr>
              <w:t>Depreciation and intangible asset amortization expense</w:t>
            </w:r>
          </w:p>
        </w:tc>
        <w:tc>
          <w:tcPr>
            <w:tcW w:w="320" w:type="dxa"/>
            <w:vAlign w:val="bottom"/>
          </w:tcPr>
          <w:p>
            <w:pPr>
              <w:spacing w:after="0"/>
              <w:rPr>
                <w:sz w:val="20"/>
                <w:szCs w:val="20"/>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30,612</w:t>
            </w:r>
          </w:p>
        </w:tc>
        <w:tc>
          <w:tcPr>
            <w:tcW w:w="5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29,594</w:t>
            </w:r>
          </w:p>
        </w:tc>
      </w:tr>
      <w:tr>
        <w:trPr>
          <w:trHeight w:val="242"/>
        </w:trPr>
        <w:tc>
          <w:tcPr>
            <w:tcW w:w="7600" w:type="dxa"/>
            <w:vAlign w:val="bottom"/>
          </w:tcPr>
          <w:p>
            <w:pPr>
              <w:ind w:left="280"/>
              <w:spacing w:after="0"/>
              <w:rPr>
                <w:sz w:val="20"/>
                <w:szCs w:val="20"/>
                <w:color w:val="auto"/>
              </w:rPr>
            </w:pPr>
            <w:r>
              <w:rPr>
                <w:rFonts w:ascii="Arial" w:cs="Arial" w:eastAsia="Arial" w:hAnsi="Arial"/>
                <w:sz w:val="18"/>
                <w:szCs w:val="18"/>
                <w:color w:val="auto"/>
              </w:rPr>
              <w:t>Other (income) expense, net</w:t>
            </w:r>
          </w:p>
        </w:tc>
        <w:tc>
          <w:tcPr>
            <w:tcW w:w="320" w:type="dxa"/>
            <w:vAlign w:val="bottom"/>
          </w:tcPr>
          <w:p>
            <w:pPr>
              <w:spacing w:after="0"/>
              <w:rPr>
                <w:sz w:val="21"/>
                <w:szCs w:val="21"/>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282</w:t>
            </w:r>
          </w:p>
        </w:tc>
        <w:tc>
          <w:tcPr>
            <w:tcW w:w="5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(787)</w:t>
            </w:r>
          </w:p>
        </w:tc>
      </w:tr>
      <w:tr>
        <w:trPr>
          <w:trHeight w:val="229"/>
        </w:trPr>
        <w:tc>
          <w:tcPr>
            <w:tcW w:w="7600" w:type="dxa"/>
            <w:vAlign w:val="bottom"/>
          </w:tcPr>
          <w:p>
            <w:pPr>
              <w:ind w:left="280"/>
              <w:spacing w:after="0"/>
              <w:rPr>
                <w:sz w:val="20"/>
                <w:szCs w:val="20"/>
                <w:color w:val="auto"/>
              </w:rPr>
            </w:pPr>
            <w:r>
              <w:rPr>
                <w:rFonts w:ascii="Arial" w:cs="Arial" w:eastAsia="Arial" w:hAnsi="Arial"/>
                <w:sz w:val="18"/>
                <w:szCs w:val="18"/>
                <w:color w:val="auto"/>
              </w:rPr>
              <w:t>Interest expense, net</w:t>
            </w:r>
          </w:p>
        </w:tc>
        <w:tc>
          <w:tcPr>
            <w:tcW w:w="32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8,525</w:t>
            </w:r>
          </w:p>
        </w:tc>
        <w:tc>
          <w:tcPr>
            <w:tcW w:w="5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10,271</w:t>
            </w:r>
          </w:p>
        </w:tc>
      </w:tr>
      <w:tr>
        <w:trPr>
          <w:trHeight w:val="230"/>
        </w:trPr>
        <w:tc>
          <w:tcPr>
            <w:tcW w:w="7600" w:type="dxa"/>
            <w:vAlign w:val="bottom"/>
          </w:tcPr>
          <w:p>
            <w:pPr>
              <w:ind w:left="280"/>
              <w:spacing w:after="0"/>
              <w:rPr>
                <w:sz w:val="20"/>
                <w:szCs w:val="20"/>
                <w:color w:val="auto"/>
              </w:rPr>
            </w:pPr>
            <w:r>
              <w:rPr>
                <w:rFonts w:ascii="Arial" w:cs="Arial" w:eastAsia="Arial" w:hAnsi="Arial"/>
                <w:sz w:val="18"/>
                <w:szCs w:val="18"/>
                <w:color w:val="auto"/>
              </w:rPr>
              <w:t>Income tax expense (benefit)</w:t>
            </w:r>
          </w:p>
        </w:tc>
        <w:tc>
          <w:tcPr>
            <w:tcW w:w="320" w:type="dxa"/>
            <w:vAlign w:val="bottom"/>
          </w:tcPr>
          <w:p>
            <w:pPr>
              <w:spacing w:after="0"/>
              <w:rPr>
                <w:sz w:val="20"/>
                <w:szCs w:val="20"/>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(360)</w:t>
            </w:r>
          </w:p>
        </w:tc>
        <w:tc>
          <w:tcPr>
            <w:tcW w:w="5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6,787</w:t>
            </w:r>
          </w:p>
        </w:tc>
      </w:tr>
      <w:tr>
        <w:trPr>
          <w:trHeight w:val="242"/>
        </w:trPr>
        <w:tc>
          <w:tcPr>
            <w:tcW w:w="7600" w:type="dxa"/>
            <w:vAlign w:val="bottom"/>
          </w:tcPr>
          <w:p>
            <w:pPr>
              <w:ind w:left="280"/>
              <w:spacing w:after="0"/>
              <w:rPr>
                <w:sz w:val="20"/>
                <w:szCs w:val="20"/>
                <w:color w:val="auto"/>
              </w:rPr>
            </w:pPr>
            <w:r>
              <w:rPr>
                <w:rFonts w:ascii="Arial" w:cs="Arial" w:eastAsia="Arial" w:hAnsi="Arial"/>
                <w:sz w:val="18"/>
                <w:szCs w:val="18"/>
                <w:color w:val="auto"/>
              </w:rPr>
              <w:t>Structural optimization charges</w:t>
            </w:r>
          </w:p>
        </w:tc>
        <w:tc>
          <w:tcPr>
            <w:tcW w:w="320" w:type="dxa"/>
            <w:vAlign w:val="bottom"/>
          </w:tcPr>
          <w:p>
            <w:pPr>
              <w:spacing w:after="0"/>
              <w:rPr>
                <w:sz w:val="21"/>
                <w:szCs w:val="21"/>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4,794</w:t>
            </w:r>
          </w:p>
        </w:tc>
        <w:tc>
          <w:tcPr>
            <w:tcW w:w="5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8,173</w:t>
            </w:r>
          </w:p>
        </w:tc>
      </w:tr>
      <w:tr>
        <w:trPr>
          <w:trHeight w:val="230"/>
        </w:trPr>
        <w:tc>
          <w:tcPr>
            <w:tcW w:w="7600" w:type="dxa"/>
            <w:vAlign w:val="bottom"/>
          </w:tcPr>
          <w:p>
            <w:pPr>
              <w:ind w:left="280"/>
              <w:spacing w:after="0"/>
              <w:rPr>
                <w:sz w:val="20"/>
                <w:szCs w:val="20"/>
                <w:color w:val="auto"/>
              </w:rPr>
            </w:pPr>
            <w:r>
              <w:rPr>
                <w:rFonts w:ascii="Arial" w:cs="Arial" w:eastAsia="Arial" w:hAnsi="Arial"/>
                <w:sz w:val="18"/>
                <w:szCs w:val="18"/>
                <w:color w:val="auto"/>
              </w:rPr>
              <w:t>EU Medical Device Regulation charges</w:t>
            </w:r>
          </w:p>
        </w:tc>
        <w:tc>
          <w:tcPr>
            <w:tcW w:w="32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9,278</w:t>
            </w:r>
          </w:p>
        </w:tc>
        <w:tc>
          <w:tcPr>
            <w:tcW w:w="5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10,249</w:t>
            </w:r>
          </w:p>
        </w:tc>
      </w:tr>
      <w:tr>
        <w:trPr>
          <w:trHeight w:val="230"/>
        </w:trPr>
        <w:tc>
          <w:tcPr>
            <w:tcW w:w="7600" w:type="dxa"/>
            <w:vAlign w:val="bottom"/>
          </w:tcPr>
          <w:p>
            <w:pPr>
              <w:ind w:left="280"/>
              <w:spacing w:after="0"/>
              <w:rPr>
                <w:sz w:val="20"/>
                <w:szCs w:val="20"/>
                <w:color w:val="auto"/>
              </w:rPr>
            </w:pPr>
            <w:r>
              <w:rPr>
                <w:rFonts w:ascii="Arial" w:cs="Arial" w:eastAsia="Arial" w:hAnsi="Arial"/>
                <w:sz w:val="18"/>
                <w:szCs w:val="18"/>
                <w:color w:val="auto"/>
              </w:rPr>
              <w:t>Acquisition, divestiture and integration-related charges</w:t>
            </w:r>
          </w:p>
        </w:tc>
        <w:tc>
          <w:tcPr>
            <w:tcW w:w="320" w:type="dxa"/>
            <w:vAlign w:val="bottom"/>
          </w:tcPr>
          <w:p>
            <w:pPr>
              <w:spacing w:after="0"/>
              <w:rPr>
                <w:sz w:val="20"/>
                <w:szCs w:val="20"/>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3,448</w:t>
            </w:r>
          </w:p>
        </w:tc>
        <w:tc>
          <w:tcPr>
            <w:tcW w:w="5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(6,284)</w:t>
            </w:r>
          </w:p>
        </w:tc>
      </w:tr>
      <w:tr>
        <w:trPr>
          <w:trHeight w:val="242"/>
        </w:trPr>
        <w:tc>
          <w:tcPr>
            <w:tcW w:w="7600" w:type="dxa"/>
            <w:vAlign w:val="bottom"/>
          </w:tcPr>
          <w:p>
            <w:pPr>
              <w:ind w:left="280"/>
              <w:spacing w:after="0"/>
              <w:rPr>
                <w:sz w:val="20"/>
                <w:szCs w:val="20"/>
                <w:color w:val="auto"/>
              </w:rPr>
            </w:pPr>
            <w:r>
              <w:rPr>
                <w:rFonts w:ascii="Arial" w:cs="Arial" w:eastAsia="Arial" w:hAnsi="Arial"/>
                <w:sz w:val="18"/>
                <w:szCs w:val="18"/>
                <w:color w:val="auto"/>
              </w:rPr>
              <w:t>Boston Recall</w:t>
            </w:r>
          </w:p>
        </w:tc>
        <w:tc>
          <w:tcPr>
            <w:tcW w:w="320" w:type="dxa"/>
            <w:vAlign w:val="bottom"/>
          </w:tcPr>
          <w:p>
            <w:pPr>
              <w:spacing w:after="0"/>
              <w:rPr>
                <w:sz w:val="21"/>
                <w:szCs w:val="21"/>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28,051</w:t>
            </w:r>
          </w:p>
        </w:tc>
        <w:tc>
          <w:tcPr>
            <w:tcW w:w="5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600" w:type="dxa"/>
            <w:vAlign w:val="bottom"/>
          </w:tcPr>
          <w:p>
            <w:pPr>
              <w:ind w:left="280"/>
              <w:spacing w:after="0"/>
              <w:rPr>
                <w:sz w:val="20"/>
                <w:szCs w:val="20"/>
                <w:color w:val="auto"/>
              </w:rPr>
            </w:pPr>
            <w:r>
              <w:rPr>
                <w:rFonts w:ascii="Arial" w:cs="Arial" w:eastAsia="Arial" w:hAnsi="Arial"/>
                <w:sz w:val="18"/>
                <w:szCs w:val="18"/>
                <w:color w:val="auto"/>
              </w:rPr>
              <w:t>Total of non-GAAP adjustments</w:t>
            </w:r>
          </w:p>
        </w:tc>
        <w:tc>
          <w:tcPr>
            <w:tcW w:w="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84,630</w:t>
            </w:r>
          </w:p>
        </w:tc>
        <w:tc>
          <w:tcPr>
            <w:tcW w:w="5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58,003</w:t>
            </w:r>
          </w:p>
        </w:tc>
      </w:tr>
      <w:tr>
        <w:trPr>
          <w:trHeight w:val="224"/>
        </w:trPr>
        <w:tc>
          <w:tcPr>
            <w:tcW w:w="7600" w:type="dxa"/>
            <w:vAlign w:val="bottom"/>
          </w:tcPr>
          <w:p>
            <w:pPr>
              <w:ind w:left="280"/>
              <w:spacing w:after="0"/>
              <w:rPr>
                <w:sz w:val="20"/>
                <w:szCs w:val="20"/>
                <w:color w:val="auto"/>
              </w:rPr>
            </w:pPr>
            <w:r>
              <w:rPr>
                <w:rFonts w:ascii="Arial" w:cs="Arial" w:eastAsia="Arial" w:hAnsi="Arial"/>
                <w:sz w:val="18"/>
                <w:szCs w:val="18"/>
                <w:color w:val="auto"/>
              </w:rPr>
              <w:t>Adjusted EBITDA</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88,814</w:t>
            </w:r>
          </w:p>
        </w:tc>
        <w:tc>
          <w:tcPr>
            <w:tcW w:w="5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102,791</w:t>
            </w:r>
          </w:p>
        </w:tc>
      </w:tr>
    </w:tbl>
    <w:p>
      <w:pPr>
        <w:sectPr>
          <w:pgSz w:w="11900" w:h="16838" w:orient="portrait"/>
          <w:cols w:equalWidth="0" w:num="1">
            <w:col w:w="11000"/>
          </w:cols>
          <w:pgMar w:left="320" w:top="895" w:right="57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7"/>
          <w:szCs w:val="17"/>
          <w:color w:val="auto"/>
        </w:rPr>
        <w:t>RECONCILIATION OF NON-GAAP ADJUSTMENTS - GAAP NET INCOME TO MEASURES OF ADJUSTED NET INCOME AND ADJUSTED</w:t>
      </w:r>
    </w:p>
    <w:p>
      <w:pPr>
        <w:spacing w:after="0" w:line="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EARNINGS PER SHARE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thousands, except per share amounts)</w:t>
      </w:r>
    </w:p>
    <w:p>
      <w:pPr>
        <w:spacing w:after="0" w:line="130"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8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3"/>
          </w:tcPr>
          <w:p>
            <w:pPr>
              <w:jc w:val="right"/>
              <w:ind w:right="510"/>
              <w:spacing w:after="0"/>
              <w:rPr>
                <w:sz w:val="20"/>
                <w:szCs w:val="20"/>
                <w:color w:val="auto"/>
              </w:rPr>
            </w:pPr>
            <w:r>
              <w:rPr>
                <w:rFonts w:ascii="Arial" w:cs="Arial" w:eastAsia="Arial" w:hAnsi="Arial"/>
                <w:sz w:val="18"/>
                <w:szCs w:val="18"/>
                <w:color w:val="auto"/>
              </w:rPr>
              <w:t>Three Months Ended June 30,</w:t>
            </w:r>
          </w:p>
        </w:tc>
      </w:tr>
      <w:tr>
        <w:trPr>
          <w:trHeight w:val="223"/>
        </w:trPr>
        <w:tc>
          <w:tcPr>
            <w:tcW w:w="78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rPr>
              <w:t>2023</w:t>
            </w:r>
          </w:p>
        </w:tc>
        <w:tc>
          <w:tcPr>
            <w:tcW w:w="6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2022</w:t>
            </w:r>
          </w:p>
        </w:tc>
      </w:tr>
      <w:tr>
        <w:trPr>
          <w:trHeight w:val="708"/>
        </w:trPr>
        <w:tc>
          <w:tcPr>
            <w:tcW w:w="7820" w:type="dxa"/>
            <w:vAlign w:val="bottom"/>
          </w:tcPr>
          <w:p>
            <w:pPr>
              <w:spacing w:after="0"/>
              <w:rPr>
                <w:sz w:val="20"/>
                <w:szCs w:val="20"/>
                <w:color w:val="auto"/>
              </w:rPr>
            </w:pPr>
            <w:r>
              <w:rPr>
                <w:rFonts w:ascii="Arial" w:cs="Arial" w:eastAsia="Arial" w:hAnsi="Arial"/>
                <w:sz w:val="18"/>
                <w:szCs w:val="18"/>
                <w:color w:val="auto"/>
              </w:rPr>
              <w:t>GAAP net income</w:t>
            </w:r>
          </w:p>
        </w:tc>
        <w:tc>
          <w:tcPr>
            <w:tcW w:w="280" w:type="dxa"/>
            <w:vAlign w:val="bottom"/>
          </w:tcPr>
          <w:p>
            <w:pPr>
              <w:spacing w:after="0"/>
              <w:rPr>
                <w:sz w:val="24"/>
                <w:szCs w:val="24"/>
                <w:color w:val="auto"/>
              </w:rPr>
            </w:pPr>
          </w:p>
        </w:tc>
        <w:tc>
          <w:tcPr>
            <w:tcW w:w="1300" w:type="dxa"/>
            <w:vAlign w:val="bottom"/>
          </w:tcPr>
          <w:p>
            <w:pPr>
              <w:jc w:val="right"/>
              <w:ind w:right="250"/>
              <w:spacing w:after="0"/>
              <w:rPr>
                <w:sz w:val="20"/>
                <w:szCs w:val="20"/>
                <w:color w:val="auto"/>
              </w:rPr>
            </w:pPr>
            <w:r>
              <w:rPr>
                <w:rFonts w:ascii="Arial" w:cs="Arial" w:eastAsia="Arial" w:hAnsi="Arial"/>
                <w:sz w:val="18"/>
                <w:szCs w:val="18"/>
                <w:color w:val="auto"/>
              </w:rPr>
              <w:t>4,184</w:t>
            </w:r>
          </w:p>
        </w:tc>
        <w:tc>
          <w:tcPr>
            <w:tcW w:w="6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44,788</w:t>
            </w:r>
          </w:p>
        </w:tc>
      </w:tr>
      <w:tr>
        <w:trPr>
          <w:trHeight w:val="229"/>
        </w:trPr>
        <w:tc>
          <w:tcPr>
            <w:tcW w:w="7820" w:type="dxa"/>
            <w:vAlign w:val="bottom"/>
          </w:tcPr>
          <w:p>
            <w:pPr>
              <w:spacing w:after="0"/>
              <w:rPr>
                <w:sz w:val="20"/>
                <w:szCs w:val="20"/>
                <w:color w:val="auto"/>
              </w:rPr>
            </w:pPr>
            <w:r>
              <w:rPr>
                <w:rFonts w:ascii="Arial" w:cs="Arial" w:eastAsia="Arial" w:hAnsi="Arial"/>
                <w:sz w:val="18"/>
                <w:szCs w:val="18"/>
                <w:color w:val="auto"/>
              </w:rPr>
              <w:t>Non-GAAP adjustments:</w:t>
            </w: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7820" w:type="dxa"/>
            <w:vAlign w:val="bottom"/>
          </w:tcPr>
          <w:p>
            <w:pPr>
              <w:spacing w:after="0"/>
              <w:rPr>
                <w:sz w:val="20"/>
                <w:szCs w:val="20"/>
                <w:color w:val="auto"/>
              </w:rPr>
            </w:pPr>
            <w:r>
              <w:rPr>
                <w:rFonts w:ascii="Arial" w:cs="Arial" w:eastAsia="Arial" w:hAnsi="Arial"/>
                <w:sz w:val="18"/>
                <w:szCs w:val="18"/>
                <w:color w:val="auto"/>
              </w:rPr>
              <w:t>Structural optimization charges</w:t>
            </w:r>
          </w:p>
        </w:tc>
        <w:tc>
          <w:tcPr>
            <w:tcW w:w="280" w:type="dxa"/>
            <w:vAlign w:val="bottom"/>
          </w:tcPr>
          <w:p>
            <w:pPr>
              <w:spacing w:after="0"/>
              <w:rPr>
                <w:sz w:val="20"/>
                <w:szCs w:val="20"/>
                <w:color w:val="auto"/>
              </w:rPr>
            </w:pPr>
          </w:p>
        </w:tc>
        <w:tc>
          <w:tcPr>
            <w:tcW w:w="1300" w:type="dxa"/>
            <w:vAlign w:val="bottom"/>
          </w:tcPr>
          <w:p>
            <w:pPr>
              <w:jc w:val="right"/>
              <w:ind w:right="250"/>
              <w:spacing w:after="0"/>
              <w:rPr>
                <w:sz w:val="20"/>
                <w:szCs w:val="20"/>
                <w:color w:val="auto"/>
              </w:rPr>
            </w:pPr>
            <w:r>
              <w:rPr>
                <w:rFonts w:ascii="Arial" w:cs="Arial" w:eastAsia="Arial" w:hAnsi="Arial"/>
                <w:sz w:val="18"/>
                <w:szCs w:val="18"/>
                <w:color w:val="auto"/>
              </w:rPr>
              <w:t>4,794</w:t>
            </w:r>
          </w:p>
        </w:tc>
        <w:tc>
          <w:tcPr>
            <w:tcW w:w="6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8,173</w:t>
            </w:r>
          </w:p>
        </w:tc>
      </w:tr>
      <w:tr>
        <w:trPr>
          <w:trHeight w:val="242"/>
        </w:trPr>
        <w:tc>
          <w:tcPr>
            <w:tcW w:w="7820" w:type="dxa"/>
            <w:vAlign w:val="bottom"/>
          </w:tcPr>
          <w:p>
            <w:pPr>
              <w:spacing w:after="0"/>
              <w:rPr>
                <w:sz w:val="20"/>
                <w:szCs w:val="20"/>
                <w:color w:val="auto"/>
              </w:rPr>
            </w:pPr>
            <w:r>
              <w:rPr>
                <w:rFonts w:ascii="Arial" w:cs="Arial" w:eastAsia="Arial" w:hAnsi="Arial"/>
                <w:sz w:val="18"/>
                <w:szCs w:val="18"/>
                <w:color w:val="auto"/>
              </w:rPr>
              <w:t>Acquisition, divestiture and integration-related charges</w:t>
            </w:r>
          </w:p>
        </w:tc>
        <w:tc>
          <w:tcPr>
            <w:tcW w:w="280" w:type="dxa"/>
            <w:vAlign w:val="bottom"/>
          </w:tcPr>
          <w:p>
            <w:pPr>
              <w:spacing w:after="0"/>
              <w:rPr>
                <w:sz w:val="21"/>
                <w:szCs w:val="21"/>
                <w:color w:val="auto"/>
              </w:rPr>
            </w:pPr>
          </w:p>
        </w:tc>
        <w:tc>
          <w:tcPr>
            <w:tcW w:w="1300" w:type="dxa"/>
            <w:vAlign w:val="bottom"/>
          </w:tcPr>
          <w:p>
            <w:pPr>
              <w:jc w:val="right"/>
              <w:ind w:right="250"/>
              <w:spacing w:after="0"/>
              <w:rPr>
                <w:sz w:val="20"/>
                <w:szCs w:val="20"/>
                <w:color w:val="auto"/>
              </w:rPr>
            </w:pPr>
            <w:r>
              <w:rPr>
                <w:rFonts w:ascii="Arial" w:cs="Arial" w:eastAsia="Arial" w:hAnsi="Arial"/>
                <w:sz w:val="18"/>
                <w:szCs w:val="18"/>
                <w:color w:val="auto"/>
              </w:rPr>
              <w:t>3,448</w:t>
            </w:r>
          </w:p>
        </w:tc>
        <w:tc>
          <w:tcPr>
            <w:tcW w:w="6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(6,284)</w:t>
            </w:r>
          </w:p>
        </w:tc>
      </w:tr>
      <w:tr>
        <w:trPr>
          <w:trHeight w:val="229"/>
        </w:trPr>
        <w:tc>
          <w:tcPr>
            <w:tcW w:w="7820" w:type="dxa"/>
            <w:vAlign w:val="bottom"/>
          </w:tcPr>
          <w:p>
            <w:pPr>
              <w:spacing w:after="0"/>
              <w:rPr>
                <w:sz w:val="20"/>
                <w:szCs w:val="20"/>
                <w:color w:val="auto"/>
              </w:rPr>
            </w:pPr>
            <w:r>
              <w:rPr>
                <w:rFonts w:ascii="Arial" w:cs="Arial" w:eastAsia="Arial" w:hAnsi="Arial"/>
                <w:sz w:val="18"/>
                <w:szCs w:val="18"/>
                <w:color w:val="auto"/>
              </w:rPr>
              <w:t>EU Medical Device Regulation charges</w:t>
            </w:r>
          </w:p>
        </w:tc>
        <w:tc>
          <w:tcPr>
            <w:tcW w:w="280" w:type="dxa"/>
            <w:vAlign w:val="bottom"/>
          </w:tcPr>
          <w:p>
            <w:pPr>
              <w:spacing w:after="0"/>
              <w:rPr>
                <w:sz w:val="19"/>
                <w:szCs w:val="19"/>
                <w:color w:val="auto"/>
              </w:rPr>
            </w:pPr>
          </w:p>
        </w:tc>
        <w:tc>
          <w:tcPr>
            <w:tcW w:w="1300" w:type="dxa"/>
            <w:vAlign w:val="bottom"/>
          </w:tcPr>
          <w:p>
            <w:pPr>
              <w:jc w:val="right"/>
              <w:ind w:right="250"/>
              <w:spacing w:after="0"/>
              <w:rPr>
                <w:sz w:val="20"/>
                <w:szCs w:val="20"/>
                <w:color w:val="auto"/>
              </w:rPr>
            </w:pPr>
            <w:r>
              <w:rPr>
                <w:rFonts w:ascii="Arial" w:cs="Arial" w:eastAsia="Arial" w:hAnsi="Arial"/>
                <w:sz w:val="18"/>
                <w:szCs w:val="18"/>
                <w:color w:val="auto"/>
              </w:rPr>
              <w:t>9,278</w:t>
            </w: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10,249</w:t>
            </w:r>
          </w:p>
        </w:tc>
      </w:tr>
      <w:tr>
        <w:trPr>
          <w:trHeight w:val="230"/>
        </w:trPr>
        <w:tc>
          <w:tcPr>
            <w:tcW w:w="7820" w:type="dxa"/>
            <w:vAlign w:val="bottom"/>
          </w:tcPr>
          <w:p>
            <w:pPr>
              <w:spacing w:after="0"/>
              <w:rPr>
                <w:sz w:val="20"/>
                <w:szCs w:val="20"/>
                <w:color w:val="auto"/>
              </w:rPr>
            </w:pPr>
            <w:r>
              <w:rPr>
                <w:rFonts w:ascii="Arial" w:cs="Arial" w:eastAsia="Arial" w:hAnsi="Arial"/>
                <w:sz w:val="18"/>
                <w:szCs w:val="18"/>
                <w:color w:val="auto"/>
              </w:rPr>
              <w:t>Boston Recall</w:t>
            </w:r>
          </w:p>
        </w:tc>
        <w:tc>
          <w:tcPr>
            <w:tcW w:w="280" w:type="dxa"/>
            <w:vAlign w:val="bottom"/>
          </w:tcPr>
          <w:p>
            <w:pPr>
              <w:spacing w:after="0"/>
              <w:rPr>
                <w:sz w:val="20"/>
                <w:szCs w:val="20"/>
                <w:color w:val="auto"/>
              </w:rPr>
            </w:pPr>
          </w:p>
        </w:tc>
        <w:tc>
          <w:tcPr>
            <w:tcW w:w="1300" w:type="dxa"/>
            <w:vAlign w:val="bottom"/>
          </w:tcPr>
          <w:p>
            <w:pPr>
              <w:jc w:val="right"/>
              <w:ind w:right="250"/>
              <w:spacing w:after="0"/>
              <w:rPr>
                <w:sz w:val="20"/>
                <w:szCs w:val="20"/>
                <w:color w:val="auto"/>
              </w:rPr>
            </w:pPr>
            <w:r>
              <w:rPr>
                <w:rFonts w:ascii="Arial" w:cs="Arial" w:eastAsia="Arial" w:hAnsi="Arial"/>
                <w:sz w:val="18"/>
                <w:szCs w:val="18"/>
                <w:color w:val="auto"/>
              </w:rPr>
              <w:t>28,051</w:t>
            </w:r>
          </w:p>
        </w:tc>
        <w:tc>
          <w:tcPr>
            <w:tcW w:w="6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2"/>
        </w:trPr>
        <w:tc>
          <w:tcPr>
            <w:tcW w:w="7820" w:type="dxa"/>
            <w:vAlign w:val="bottom"/>
          </w:tcPr>
          <w:p>
            <w:pPr>
              <w:spacing w:after="0"/>
              <w:rPr>
                <w:sz w:val="20"/>
                <w:szCs w:val="20"/>
                <w:color w:val="auto"/>
              </w:rPr>
            </w:pPr>
            <w:r>
              <w:rPr>
                <w:rFonts w:ascii="Arial" w:cs="Arial" w:eastAsia="Arial" w:hAnsi="Arial"/>
                <w:sz w:val="18"/>
                <w:szCs w:val="18"/>
                <w:color w:val="auto"/>
              </w:rPr>
              <w:t>Intangible asset amortization expense</w:t>
            </w:r>
          </w:p>
        </w:tc>
        <w:tc>
          <w:tcPr>
            <w:tcW w:w="280" w:type="dxa"/>
            <w:vAlign w:val="bottom"/>
          </w:tcPr>
          <w:p>
            <w:pPr>
              <w:spacing w:after="0"/>
              <w:rPr>
                <w:sz w:val="21"/>
                <w:szCs w:val="21"/>
                <w:color w:val="auto"/>
              </w:rPr>
            </w:pPr>
          </w:p>
        </w:tc>
        <w:tc>
          <w:tcPr>
            <w:tcW w:w="1300" w:type="dxa"/>
            <w:vAlign w:val="bottom"/>
          </w:tcPr>
          <w:p>
            <w:pPr>
              <w:jc w:val="right"/>
              <w:ind w:right="250"/>
              <w:spacing w:after="0"/>
              <w:rPr>
                <w:sz w:val="20"/>
                <w:szCs w:val="20"/>
                <w:color w:val="auto"/>
              </w:rPr>
            </w:pPr>
            <w:r>
              <w:rPr>
                <w:rFonts w:ascii="Arial" w:cs="Arial" w:eastAsia="Arial" w:hAnsi="Arial"/>
                <w:sz w:val="18"/>
                <w:szCs w:val="18"/>
                <w:color w:val="auto"/>
              </w:rPr>
              <w:t>20,636</w:t>
            </w:r>
          </w:p>
        </w:tc>
        <w:tc>
          <w:tcPr>
            <w:tcW w:w="6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19,378</w:t>
            </w:r>
          </w:p>
        </w:tc>
      </w:tr>
      <w:tr>
        <w:trPr>
          <w:trHeight w:val="230"/>
        </w:trPr>
        <w:tc>
          <w:tcPr>
            <w:tcW w:w="7820" w:type="dxa"/>
            <w:vAlign w:val="bottom"/>
          </w:tcPr>
          <w:p>
            <w:pPr>
              <w:spacing w:after="0"/>
              <w:rPr>
                <w:sz w:val="20"/>
                <w:szCs w:val="20"/>
                <w:color w:val="auto"/>
              </w:rPr>
            </w:pPr>
            <w:r>
              <w:rPr>
                <w:rFonts w:ascii="Arial" w:cs="Arial" w:eastAsia="Arial" w:hAnsi="Arial"/>
                <w:sz w:val="18"/>
                <w:szCs w:val="18"/>
                <w:color w:val="auto"/>
              </w:rPr>
              <w:t>Estimated income tax impact from adjustments and other items</w:t>
            </w:r>
          </w:p>
        </w:tc>
        <w:tc>
          <w:tcPr>
            <w:tcW w:w="280" w:type="dxa"/>
            <w:vAlign w:val="bottom"/>
          </w:tcPr>
          <w:p>
            <w:pPr>
              <w:spacing w:after="0"/>
              <w:rPr>
                <w:sz w:val="19"/>
                <w:szCs w:val="19"/>
                <w:color w:val="auto"/>
              </w:rPr>
            </w:pPr>
          </w:p>
        </w:tc>
        <w:tc>
          <w:tcPr>
            <w:tcW w:w="1300" w:type="dxa"/>
            <w:vAlign w:val="bottom"/>
          </w:tcPr>
          <w:p>
            <w:pPr>
              <w:jc w:val="right"/>
              <w:ind w:right="210"/>
              <w:spacing w:after="0"/>
              <w:rPr>
                <w:sz w:val="20"/>
                <w:szCs w:val="20"/>
                <w:color w:val="auto"/>
              </w:rPr>
            </w:pPr>
            <w:r>
              <w:rPr>
                <w:rFonts w:ascii="Arial" w:cs="Arial" w:eastAsia="Arial" w:hAnsi="Arial"/>
                <w:sz w:val="18"/>
                <w:szCs w:val="18"/>
                <w:color w:val="auto"/>
              </w:rPr>
              <w:t>(12,974)</w:t>
            </w: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(7,968)</w:t>
            </w:r>
          </w:p>
        </w:tc>
      </w:tr>
      <w:tr>
        <w:trPr>
          <w:trHeight w:val="244"/>
        </w:trPr>
        <w:tc>
          <w:tcPr>
            <w:tcW w:w="7820" w:type="dxa"/>
            <w:vAlign w:val="bottom"/>
          </w:tcPr>
          <w:p>
            <w:pPr>
              <w:spacing w:after="0"/>
              <w:rPr>
                <w:sz w:val="20"/>
                <w:szCs w:val="20"/>
                <w:color w:val="auto"/>
              </w:rPr>
            </w:pPr>
            <w:r>
              <w:rPr>
                <w:rFonts w:ascii="Arial" w:cs="Arial" w:eastAsia="Arial" w:hAnsi="Arial"/>
                <w:sz w:val="18"/>
                <w:szCs w:val="18"/>
                <w:color w:val="auto"/>
              </w:rPr>
              <w:t>Total of non-GAAP adjustments</w:t>
            </w:r>
          </w:p>
        </w:tc>
        <w:tc>
          <w:tcPr>
            <w:tcW w:w="2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53,233</w:t>
            </w:r>
          </w:p>
        </w:tc>
        <w:tc>
          <w:tcPr>
            <w:tcW w:w="6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23,548</w:t>
            </w:r>
          </w:p>
        </w:tc>
      </w:tr>
      <w:tr>
        <w:trPr>
          <w:trHeight w:val="223"/>
        </w:trPr>
        <w:tc>
          <w:tcPr>
            <w:tcW w:w="7820" w:type="dxa"/>
            <w:vAlign w:val="bottom"/>
          </w:tcPr>
          <w:p>
            <w:pPr>
              <w:spacing w:after="0"/>
              <w:rPr>
                <w:sz w:val="20"/>
                <w:szCs w:val="20"/>
                <w:color w:val="auto"/>
              </w:rPr>
            </w:pPr>
            <w:r>
              <w:rPr>
                <w:rFonts w:ascii="Arial" w:cs="Arial" w:eastAsia="Arial" w:hAnsi="Arial"/>
                <w:sz w:val="18"/>
                <w:szCs w:val="18"/>
                <w:color w:val="auto"/>
              </w:rPr>
              <w:t>Adjusted net income</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57,417</w:t>
            </w:r>
          </w:p>
        </w:tc>
        <w:tc>
          <w:tcPr>
            <w:tcW w:w="6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68,336</w:t>
            </w:r>
          </w:p>
        </w:tc>
      </w:tr>
      <w:tr>
        <w:trPr>
          <w:trHeight w:val="466"/>
        </w:trPr>
        <w:tc>
          <w:tcPr>
            <w:tcW w:w="7820" w:type="dxa"/>
            <w:vAlign w:val="bottom"/>
          </w:tcPr>
          <w:p>
            <w:pPr>
              <w:spacing w:after="0"/>
              <w:rPr>
                <w:sz w:val="20"/>
                <w:szCs w:val="20"/>
                <w:color w:val="auto"/>
              </w:rPr>
            </w:pPr>
            <w:r>
              <w:rPr>
                <w:rFonts w:ascii="Arial" w:cs="Arial" w:eastAsia="Arial" w:hAnsi="Arial"/>
                <w:sz w:val="18"/>
                <w:szCs w:val="18"/>
                <w:color w:val="auto"/>
              </w:rPr>
              <w:t>Adjusted diluted net income per share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250"/>
              <w:spacing w:after="0"/>
              <w:rPr>
                <w:sz w:val="20"/>
                <w:szCs w:val="20"/>
                <w:color w:val="auto"/>
              </w:rPr>
            </w:pPr>
            <w:r>
              <w:rPr>
                <w:rFonts w:ascii="Arial" w:cs="Arial" w:eastAsia="Arial" w:hAnsi="Arial"/>
                <w:sz w:val="18"/>
                <w:szCs w:val="18"/>
                <w:color w:val="auto"/>
              </w:rPr>
              <w:t>0.71</w:t>
            </w:r>
          </w:p>
        </w:tc>
        <w:tc>
          <w:tcPr>
            <w:tcW w:w="6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0.82</w:t>
            </w:r>
          </w:p>
        </w:tc>
      </w:tr>
      <w:tr>
        <w:trPr>
          <w:trHeight w:val="243"/>
        </w:trPr>
        <w:tc>
          <w:tcPr>
            <w:tcW w:w="7820" w:type="dxa"/>
            <w:vAlign w:val="bottom"/>
          </w:tcPr>
          <w:p>
            <w:pPr>
              <w:spacing w:after="0"/>
              <w:rPr>
                <w:sz w:val="20"/>
                <w:szCs w:val="20"/>
                <w:color w:val="auto"/>
              </w:rPr>
            </w:pPr>
            <w:r>
              <w:rPr>
                <w:rFonts w:ascii="Arial" w:cs="Arial" w:eastAsia="Arial" w:hAnsi="Arial"/>
                <w:sz w:val="18"/>
                <w:szCs w:val="18"/>
                <w:color w:val="auto"/>
              </w:rPr>
              <w:t>Weighted average common shares outstanding for diluted net income per share</w:t>
            </w:r>
          </w:p>
        </w:tc>
        <w:tc>
          <w:tcPr>
            <w:tcW w:w="280" w:type="dxa"/>
            <w:vAlign w:val="bottom"/>
          </w:tcPr>
          <w:p>
            <w:pPr>
              <w:spacing w:after="0"/>
              <w:rPr>
                <w:sz w:val="21"/>
                <w:szCs w:val="21"/>
                <w:color w:val="auto"/>
              </w:rPr>
            </w:pPr>
          </w:p>
        </w:tc>
        <w:tc>
          <w:tcPr>
            <w:tcW w:w="1300" w:type="dxa"/>
            <w:vAlign w:val="bottom"/>
          </w:tcPr>
          <w:p>
            <w:pPr>
              <w:jc w:val="right"/>
              <w:ind w:right="250"/>
              <w:spacing w:after="0"/>
              <w:rPr>
                <w:sz w:val="20"/>
                <w:szCs w:val="20"/>
                <w:color w:val="auto"/>
              </w:rPr>
            </w:pPr>
            <w:r>
              <w:rPr>
                <w:rFonts w:ascii="Arial" w:cs="Arial" w:eastAsia="Arial" w:hAnsi="Arial"/>
                <w:sz w:val="18"/>
                <w:szCs w:val="18"/>
                <w:color w:val="auto"/>
              </w:rPr>
              <w:t>81,151</w:t>
            </w:r>
          </w:p>
        </w:tc>
        <w:tc>
          <w:tcPr>
            <w:tcW w:w="6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83,622</w:t>
            </w:r>
          </w:p>
        </w:tc>
      </w:tr>
    </w:tbl>
    <w:p>
      <w:pPr>
        <w:sectPr>
          <w:pgSz w:w="11900" w:h="16838" w:orient="portrait"/>
          <w:cols w:equalWidth="0" w:num="1">
            <w:col w:w="11220"/>
          </w:cols>
          <w:pgMar w:left="320" w:top="1138" w:right="35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color w:val="auto"/>
        </w:rPr>
        <w:t>CONDENSED BALANCE SHEET DATA</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40" w:type="dxa"/>
            <w:vAlign w:val="bottom"/>
          </w:tcPr>
          <w:p>
            <w:pPr>
              <w:spacing w:after="0"/>
              <w:rPr>
                <w:sz w:val="20"/>
                <w:szCs w:val="20"/>
                <w:color w:val="auto"/>
              </w:rPr>
            </w:pPr>
            <w:r>
              <w:rPr>
                <w:rFonts w:ascii="Arial" w:cs="Arial" w:eastAsia="Arial" w:hAnsi="Arial"/>
                <w:sz w:val="18"/>
                <w:szCs w:val="18"/>
                <w:color w:val="auto"/>
              </w:rPr>
              <w:t>(In thousands)</w:t>
            </w:r>
          </w:p>
        </w:tc>
        <w:tc>
          <w:tcPr>
            <w:tcW w:w="3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97"/>
        </w:trPr>
        <w:tc>
          <w:tcPr>
            <w:tcW w:w="7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00" w:type="dxa"/>
            <w:vAlign w:val="bottom"/>
          </w:tcPr>
          <w:p>
            <w:pPr>
              <w:jc w:val="right"/>
              <w:ind w:right="790"/>
              <w:spacing w:after="0"/>
              <w:rPr>
                <w:sz w:val="20"/>
                <w:szCs w:val="20"/>
                <w:color w:val="auto"/>
              </w:rPr>
            </w:pPr>
            <w:r>
              <w:rPr>
                <w:rFonts w:ascii="Arial" w:cs="Arial" w:eastAsia="Arial" w:hAnsi="Arial"/>
                <w:sz w:val="18"/>
                <w:szCs w:val="18"/>
                <w:color w:val="auto"/>
              </w:rPr>
              <w:t>June 30,</w:t>
            </w:r>
          </w:p>
        </w:tc>
        <w:tc>
          <w:tcPr>
            <w:tcW w:w="620" w:type="dxa"/>
            <w:vAlign w:val="bottom"/>
          </w:tcPr>
          <w:p>
            <w:pPr>
              <w:spacing w:after="0"/>
              <w:rPr>
                <w:sz w:val="24"/>
                <w:szCs w:val="24"/>
                <w:color w:val="auto"/>
              </w:rPr>
            </w:pPr>
          </w:p>
        </w:tc>
        <w:tc>
          <w:tcPr>
            <w:tcW w:w="1540" w:type="dxa"/>
            <w:vAlign w:val="bottom"/>
          </w:tcPr>
          <w:p>
            <w:pPr>
              <w:jc w:val="right"/>
              <w:ind w:right="310"/>
              <w:spacing w:after="0"/>
              <w:rPr>
                <w:sz w:val="20"/>
                <w:szCs w:val="20"/>
                <w:color w:val="auto"/>
              </w:rPr>
            </w:pPr>
            <w:r>
              <w:rPr>
                <w:rFonts w:ascii="Arial" w:cs="Arial" w:eastAsia="Arial" w:hAnsi="Arial"/>
                <w:sz w:val="18"/>
                <w:szCs w:val="18"/>
                <w:color w:val="auto"/>
                <w:w w:val="99"/>
              </w:rPr>
              <w:t>December 31,</w:t>
            </w:r>
          </w:p>
        </w:tc>
      </w:tr>
      <w:tr>
        <w:trPr>
          <w:trHeight w:val="229"/>
        </w:trPr>
        <w:tc>
          <w:tcPr>
            <w:tcW w:w="70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color w:val="auto"/>
              </w:rPr>
              <w:t>2023</w:t>
            </w:r>
          </w:p>
        </w:tc>
        <w:tc>
          <w:tcPr>
            <w:tcW w:w="6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2022</w:t>
            </w:r>
          </w:p>
        </w:tc>
      </w:tr>
      <w:tr>
        <w:trPr>
          <w:trHeight w:val="438"/>
        </w:trPr>
        <w:tc>
          <w:tcPr>
            <w:tcW w:w="704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700" w:type="dxa"/>
            <w:vAlign w:val="bottom"/>
          </w:tcPr>
          <w:p>
            <w:pPr>
              <w:jc w:val="right"/>
              <w:ind w:right="310"/>
              <w:spacing w:after="0"/>
              <w:rPr>
                <w:sz w:val="20"/>
                <w:szCs w:val="20"/>
                <w:color w:val="auto"/>
              </w:rPr>
            </w:pPr>
            <w:r>
              <w:rPr>
                <w:rFonts w:ascii="Arial" w:cs="Arial" w:eastAsia="Arial" w:hAnsi="Arial"/>
                <w:sz w:val="18"/>
                <w:szCs w:val="18"/>
                <w:color w:val="auto"/>
              </w:rPr>
              <w:t>309,192</w:t>
            </w: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456,661</w:t>
            </w:r>
          </w:p>
        </w:tc>
      </w:tr>
      <w:tr>
        <w:trPr>
          <w:trHeight w:val="230"/>
        </w:trPr>
        <w:tc>
          <w:tcPr>
            <w:tcW w:w="7040" w:type="dxa"/>
            <w:vAlign w:val="bottom"/>
          </w:tcPr>
          <w:p>
            <w:pPr>
              <w:ind w:left="40"/>
              <w:spacing w:after="0"/>
              <w:rPr>
                <w:sz w:val="20"/>
                <w:szCs w:val="20"/>
                <w:color w:val="auto"/>
              </w:rPr>
            </w:pPr>
            <w:r>
              <w:rPr>
                <w:rFonts w:ascii="Arial" w:cs="Arial" w:eastAsia="Arial" w:hAnsi="Arial"/>
                <w:sz w:val="18"/>
                <w:szCs w:val="18"/>
                <w:color w:val="auto"/>
              </w:rPr>
              <w:t>Trade accounts receivable, net</w:t>
            </w:r>
          </w:p>
        </w:tc>
        <w:tc>
          <w:tcPr>
            <w:tcW w:w="320" w:type="dxa"/>
            <w:vAlign w:val="bottom"/>
          </w:tcPr>
          <w:p>
            <w:pPr>
              <w:spacing w:after="0"/>
              <w:rPr>
                <w:sz w:val="19"/>
                <w:szCs w:val="19"/>
                <w:color w:val="auto"/>
              </w:rPr>
            </w:pPr>
          </w:p>
        </w:tc>
        <w:tc>
          <w:tcPr>
            <w:tcW w:w="1700" w:type="dxa"/>
            <w:vAlign w:val="bottom"/>
          </w:tcPr>
          <w:p>
            <w:pPr>
              <w:jc w:val="right"/>
              <w:ind w:right="310"/>
              <w:spacing w:after="0"/>
              <w:rPr>
                <w:sz w:val="20"/>
                <w:szCs w:val="20"/>
                <w:color w:val="auto"/>
              </w:rPr>
            </w:pPr>
            <w:r>
              <w:rPr>
                <w:rFonts w:ascii="Arial" w:cs="Arial" w:eastAsia="Arial" w:hAnsi="Arial"/>
                <w:sz w:val="18"/>
                <w:szCs w:val="18"/>
                <w:color w:val="auto"/>
              </w:rPr>
              <w:t>258,663</w:t>
            </w:r>
          </w:p>
        </w:tc>
        <w:tc>
          <w:tcPr>
            <w:tcW w:w="6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263,465</w:t>
            </w:r>
          </w:p>
        </w:tc>
      </w:tr>
      <w:tr>
        <w:trPr>
          <w:trHeight w:val="230"/>
        </w:trPr>
        <w:tc>
          <w:tcPr>
            <w:tcW w:w="7040" w:type="dxa"/>
            <w:vAlign w:val="bottom"/>
          </w:tcPr>
          <w:p>
            <w:pPr>
              <w:ind w:left="40"/>
              <w:spacing w:after="0"/>
              <w:rPr>
                <w:sz w:val="20"/>
                <w:szCs w:val="20"/>
                <w:color w:val="auto"/>
              </w:rPr>
            </w:pPr>
            <w:r>
              <w:rPr>
                <w:rFonts w:ascii="Arial" w:cs="Arial" w:eastAsia="Arial" w:hAnsi="Arial"/>
                <w:sz w:val="18"/>
                <w:szCs w:val="18"/>
                <w:color w:val="auto"/>
              </w:rPr>
              <w:t>Inventories, net</w:t>
            </w:r>
          </w:p>
        </w:tc>
        <w:tc>
          <w:tcPr>
            <w:tcW w:w="320" w:type="dxa"/>
            <w:vAlign w:val="bottom"/>
          </w:tcPr>
          <w:p>
            <w:pPr>
              <w:spacing w:after="0"/>
              <w:rPr>
                <w:sz w:val="20"/>
                <w:szCs w:val="20"/>
                <w:color w:val="auto"/>
              </w:rPr>
            </w:pPr>
          </w:p>
        </w:tc>
        <w:tc>
          <w:tcPr>
            <w:tcW w:w="1700" w:type="dxa"/>
            <w:vAlign w:val="bottom"/>
          </w:tcPr>
          <w:p>
            <w:pPr>
              <w:jc w:val="right"/>
              <w:ind w:right="310"/>
              <w:spacing w:after="0"/>
              <w:rPr>
                <w:sz w:val="20"/>
                <w:szCs w:val="20"/>
                <w:color w:val="auto"/>
              </w:rPr>
            </w:pPr>
            <w:r>
              <w:rPr>
                <w:rFonts w:ascii="Arial" w:cs="Arial" w:eastAsia="Arial" w:hAnsi="Arial"/>
                <w:sz w:val="18"/>
                <w:szCs w:val="18"/>
                <w:color w:val="auto"/>
              </w:rPr>
              <w:t>354,293</w:t>
            </w:r>
          </w:p>
        </w:tc>
        <w:tc>
          <w:tcPr>
            <w:tcW w:w="6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324,583</w:t>
            </w:r>
          </w:p>
        </w:tc>
      </w:tr>
      <w:tr>
        <w:trPr>
          <w:trHeight w:val="458"/>
        </w:trPr>
        <w:tc>
          <w:tcPr>
            <w:tcW w:w="7040" w:type="dxa"/>
            <w:vAlign w:val="bottom"/>
          </w:tcPr>
          <w:p>
            <w:pPr>
              <w:ind w:left="40"/>
              <w:spacing w:after="0"/>
              <w:rPr>
                <w:sz w:val="20"/>
                <w:szCs w:val="20"/>
                <w:color w:val="auto"/>
              </w:rPr>
            </w:pPr>
            <w:r>
              <w:rPr>
                <w:rFonts w:ascii="Arial" w:cs="Arial" w:eastAsia="Arial" w:hAnsi="Arial"/>
                <w:sz w:val="18"/>
                <w:szCs w:val="18"/>
                <w:color w:val="auto"/>
              </w:rPr>
              <w:t>Current and long-term borrowing under senior credit facility</w:t>
            </w:r>
          </w:p>
        </w:tc>
        <w:tc>
          <w:tcPr>
            <w:tcW w:w="320" w:type="dxa"/>
            <w:vAlign w:val="bottom"/>
          </w:tcPr>
          <w:p>
            <w:pPr>
              <w:spacing w:after="0"/>
              <w:rPr>
                <w:sz w:val="24"/>
                <w:szCs w:val="24"/>
                <w:color w:val="auto"/>
              </w:rPr>
            </w:pPr>
          </w:p>
        </w:tc>
        <w:tc>
          <w:tcPr>
            <w:tcW w:w="1700" w:type="dxa"/>
            <w:vAlign w:val="bottom"/>
          </w:tcPr>
          <w:p>
            <w:pPr>
              <w:jc w:val="right"/>
              <w:ind w:right="310"/>
              <w:spacing w:after="0"/>
              <w:rPr>
                <w:sz w:val="20"/>
                <w:szCs w:val="20"/>
                <w:color w:val="auto"/>
              </w:rPr>
            </w:pPr>
            <w:r>
              <w:rPr>
                <w:rFonts w:ascii="Arial" w:cs="Arial" w:eastAsia="Arial" w:hAnsi="Arial"/>
                <w:sz w:val="18"/>
                <w:szCs w:val="18"/>
                <w:color w:val="auto"/>
              </w:rPr>
              <w:t>769,460</w:t>
            </w:r>
          </w:p>
        </w:tc>
        <w:tc>
          <w:tcPr>
            <w:tcW w:w="62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771,274</w:t>
            </w:r>
          </w:p>
        </w:tc>
      </w:tr>
      <w:tr>
        <w:trPr>
          <w:trHeight w:val="229"/>
        </w:trPr>
        <w:tc>
          <w:tcPr>
            <w:tcW w:w="7040" w:type="dxa"/>
            <w:vAlign w:val="bottom"/>
          </w:tcPr>
          <w:p>
            <w:pPr>
              <w:ind w:left="40"/>
              <w:spacing w:after="0"/>
              <w:rPr>
                <w:sz w:val="20"/>
                <w:szCs w:val="20"/>
                <w:color w:val="auto"/>
              </w:rPr>
            </w:pPr>
            <w:r>
              <w:rPr>
                <w:rFonts w:ascii="Arial" w:cs="Arial" w:eastAsia="Arial" w:hAnsi="Arial"/>
                <w:sz w:val="18"/>
                <w:szCs w:val="18"/>
                <w:color w:val="auto"/>
              </w:rPr>
              <w:t>Borrowings under securitization facility</w:t>
            </w:r>
          </w:p>
        </w:tc>
        <w:tc>
          <w:tcPr>
            <w:tcW w:w="320" w:type="dxa"/>
            <w:vAlign w:val="bottom"/>
          </w:tcPr>
          <w:p>
            <w:pPr>
              <w:spacing w:after="0"/>
              <w:rPr>
                <w:sz w:val="19"/>
                <w:szCs w:val="19"/>
                <w:color w:val="auto"/>
              </w:rPr>
            </w:pPr>
          </w:p>
        </w:tc>
        <w:tc>
          <w:tcPr>
            <w:tcW w:w="1700" w:type="dxa"/>
            <w:vAlign w:val="bottom"/>
          </w:tcPr>
          <w:p>
            <w:pPr>
              <w:jc w:val="right"/>
              <w:ind w:right="310"/>
              <w:spacing w:after="0"/>
              <w:rPr>
                <w:sz w:val="20"/>
                <w:szCs w:val="20"/>
                <w:color w:val="auto"/>
              </w:rPr>
            </w:pPr>
            <w:r>
              <w:rPr>
                <w:rFonts w:ascii="Arial" w:cs="Arial" w:eastAsia="Arial" w:hAnsi="Arial"/>
                <w:sz w:val="18"/>
                <w:szCs w:val="18"/>
                <w:color w:val="auto"/>
              </w:rPr>
              <w:t>90,800</w:t>
            </w:r>
          </w:p>
        </w:tc>
        <w:tc>
          <w:tcPr>
            <w:tcW w:w="6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104,700</w:t>
            </w:r>
          </w:p>
        </w:tc>
      </w:tr>
      <w:tr>
        <w:trPr>
          <w:trHeight w:val="230"/>
        </w:trPr>
        <w:tc>
          <w:tcPr>
            <w:tcW w:w="7040" w:type="dxa"/>
            <w:vAlign w:val="bottom"/>
          </w:tcPr>
          <w:p>
            <w:pPr>
              <w:ind w:left="40"/>
              <w:spacing w:after="0"/>
              <w:rPr>
                <w:sz w:val="20"/>
                <w:szCs w:val="20"/>
                <w:color w:val="auto"/>
              </w:rPr>
            </w:pPr>
            <w:r>
              <w:rPr>
                <w:rFonts w:ascii="Arial" w:cs="Arial" w:eastAsia="Arial" w:hAnsi="Arial"/>
                <w:sz w:val="18"/>
                <w:szCs w:val="18"/>
                <w:color w:val="auto"/>
              </w:rPr>
              <w:t>Long-term convertible securities</w:t>
            </w:r>
          </w:p>
        </w:tc>
        <w:tc>
          <w:tcPr>
            <w:tcW w:w="320" w:type="dxa"/>
            <w:vAlign w:val="bottom"/>
          </w:tcPr>
          <w:p>
            <w:pPr>
              <w:spacing w:after="0"/>
              <w:rPr>
                <w:sz w:val="20"/>
                <w:szCs w:val="20"/>
                <w:color w:val="auto"/>
              </w:rPr>
            </w:pPr>
          </w:p>
        </w:tc>
        <w:tc>
          <w:tcPr>
            <w:tcW w:w="1700" w:type="dxa"/>
            <w:vAlign w:val="bottom"/>
          </w:tcPr>
          <w:p>
            <w:pPr>
              <w:jc w:val="right"/>
              <w:ind w:right="310"/>
              <w:spacing w:after="0"/>
              <w:rPr>
                <w:sz w:val="20"/>
                <w:szCs w:val="20"/>
                <w:color w:val="auto"/>
              </w:rPr>
            </w:pPr>
            <w:r>
              <w:rPr>
                <w:rFonts w:ascii="Arial" w:cs="Arial" w:eastAsia="Arial" w:hAnsi="Arial"/>
                <w:sz w:val="18"/>
                <w:szCs w:val="18"/>
                <w:color w:val="auto"/>
              </w:rPr>
              <w:t>568,798</w:t>
            </w:r>
          </w:p>
        </w:tc>
        <w:tc>
          <w:tcPr>
            <w:tcW w:w="6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567,341</w:t>
            </w:r>
          </w:p>
        </w:tc>
      </w:tr>
      <w:tr>
        <w:trPr>
          <w:trHeight w:val="432"/>
        </w:trPr>
        <w:tc>
          <w:tcPr>
            <w:tcW w:w="70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r>
      <w:tr>
        <w:trPr>
          <w:trHeight w:val="237"/>
        </w:trPr>
        <w:tc>
          <w:tcPr>
            <w:tcW w:w="704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1,683,160</w:t>
            </w:r>
          </w:p>
        </w:tc>
        <w:tc>
          <w:tcPr>
            <w:tcW w:w="6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1,804,403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CONDENSED STATEMENT OF CASH FLOWS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374"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69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700" w:type="dxa"/>
            <w:vAlign w:val="bottom"/>
            <w:gridSpan w:val="2"/>
          </w:tcPr>
          <w:p>
            <w:pPr>
              <w:jc w:val="right"/>
              <w:spacing w:after="0"/>
              <w:rPr>
                <w:sz w:val="20"/>
                <w:szCs w:val="20"/>
                <w:color w:val="auto"/>
              </w:rPr>
            </w:pPr>
            <w:r>
              <w:rPr>
                <w:rFonts w:ascii="Arial" w:cs="Arial" w:eastAsia="Arial" w:hAnsi="Arial"/>
                <w:sz w:val="18"/>
                <w:szCs w:val="18"/>
                <w:color w:val="auto"/>
              </w:rPr>
              <w:t>Six Months Ended June 30,</w:t>
            </w:r>
          </w:p>
        </w:tc>
        <w:tc>
          <w:tcPr>
            <w:tcW w:w="1100" w:type="dxa"/>
            <w:vAlign w:val="bottom"/>
          </w:tcPr>
          <w:p>
            <w:pPr>
              <w:spacing w:after="0"/>
              <w:rPr>
                <w:sz w:val="20"/>
                <w:szCs w:val="20"/>
                <w:color w:val="auto"/>
              </w:rPr>
            </w:pPr>
          </w:p>
        </w:tc>
      </w:tr>
      <w:tr>
        <w:trPr>
          <w:trHeight w:val="243"/>
        </w:trPr>
        <w:tc>
          <w:tcPr>
            <w:tcW w:w="696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color w:val="auto"/>
              </w:rPr>
              <w:t>2023</w:t>
            </w:r>
          </w:p>
        </w:tc>
        <w:tc>
          <w:tcPr>
            <w:tcW w:w="10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w w:val="84"/>
              </w:rPr>
              <w:t>2022</w:t>
            </w:r>
          </w:p>
        </w:tc>
      </w:tr>
      <w:tr>
        <w:trPr>
          <w:trHeight w:val="438"/>
        </w:trPr>
        <w:tc>
          <w:tcPr>
            <w:tcW w:w="696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310"/>
              <w:spacing w:after="0"/>
              <w:rPr>
                <w:sz w:val="20"/>
                <w:szCs w:val="20"/>
                <w:color w:val="auto"/>
              </w:rPr>
            </w:pPr>
            <w:r>
              <w:rPr>
                <w:rFonts w:ascii="Arial" w:cs="Arial" w:eastAsia="Arial" w:hAnsi="Arial"/>
                <w:sz w:val="18"/>
                <w:szCs w:val="18"/>
                <w:color w:val="auto"/>
              </w:rPr>
              <w:t>54,435</w:t>
            </w:r>
          </w:p>
        </w:tc>
        <w:tc>
          <w:tcPr>
            <w:tcW w:w="106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110,822</w:t>
            </w:r>
          </w:p>
        </w:tc>
      </w:tr>
      <w:tr>
        <w:trPr>
          <w:trHeight w:val="230"/>
        </w:trPr>
        <w:tc>
          <w:tcPr>
            <w:tcW w:w="69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400" w:type="dxa"/>
            <w:vAlign w:val="bottom"/>
          </w:tcPr>
          <w:p>
            <w:pPr>
              <w:spacing w:after="0"/>
              <w:rPr>
                <w:sz w:val="19"/>
                <w:szCs w:val="19"/>
                <w:color w:val="auto"/>
              </w:rPr>
            </w:pPr>
          </w:p>
        </w:tc>
        <w:tc>
          <w:tcPr>
            <w:tcW w:w="1640" w:type="dxa"/>
            <w:vAlign w:val="bottom"/>
          </w:tcPr>
          <w:p>
            <w:pPr>
              <w:jc w:val="right"/>
              <w:ind w:right="270"/>
              <w:spacing w:after="0"/>
              <w:rPr>
                <w:sz w:val="20"/>
                <w:szCs w:val="20"/>
                <w:color w:val="auto"/>
              </w:rPr>
            </w:pPr>
            <w:r>
              <w:rPr>
                <w:rFonts w:ascii="Arial" w:cs="Arial" w:eastAsia="Arial" w:hAnsi="Arial"/>
                <w:sz w:val="18"/>
                <w:szCs w:val="18"/>
                <w:color w:val="auto"/>
              </w:rPr>
              <w:t>(29,252)</w:t>
            </w:r>
          </w:p>
        </w:tc>
        <w:tc>
          <w:tcPr>
            <w:tcW w:w="10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(18,565)</w:t>
            </w:r>
          </w:p>
        </w:tc>
      </w:tr>
      <w:tr>
        <w:trPr>
          <w:trHeight w:val="230"/>
        </w:trPr>
        <w:tc>
          <w:tcPr>
            <w:tcW w:w="6960" w:type="dxa"/>
            <w:vAlign w:val="bottom"/>
          </w:tcPr>
          <w:p>
            <w:pPr>
              <w:spacing w:after="0"/>
              <w:rPr>
                <w:sz w:val="20"/>
                <w:szCs w:val="20"/>
                <w:color w:val="auto"/>
              </w:rPr>
            </w:pPr>
            <w:r>
              <w:rPr>
                <w:rFonts w:ascii="Arial" w:cs="Arial" w:eastAsia="Arial" w:hAnsi="Arial"/>
                <w:sz w:val="18"/>
                <w:szCs w:val="18"/>
                <w:color w:val="auto"/>
              </w:rPr>
              <w:t>Net cash used by financing activities</w:t>
            </w:r>
          </w:p>
        </w:tc>
        <w:tc>
          <w:tcPr>
            <w:tcW w:w="400" w:type="dxa"/>
            <w:vAlign w:val="bottom"/>
          </w:tcPr>
          <w:p>
            <w:pPr>
              <w:spacing w:after="0"/>
              <w:rPr>
                <w:sz w:val="20"/>
                <w:szCs w:val="20"/>
                <w:color w:val="auto"/>
              </w:rPr>
            </w:pPr>
          </w:p>
        </w:tc>
        <w:tc>
          <w:tcPr>
            <w:tcW w:w="1640" w:type="dxa"/>
            <w:vAlign w:val="bottom"/>
          </w:tcPr>
          <w:p>
            <w:pPr>
              <w:jc w:val="right"/>
              <w:ind w:right="270"/>
              <w:spacing w:after="0"/>
              <w:rPr>
                <w:sz w:val="20"/>
                <w:szCs w:val="20"/>
                <w:color w:val="auto"/>
              </w:rPr>
            </w:pPr>
            <w:r>
              <w:rPr>
                <w:rFonts w:ascii="Arial" w:cs="Arial" w:eastAsia="Arial" w:hAnsi="Arial"/>
                <w:sz w:val="18"/>
                <w:szCs w:val="18"/>
                <w:color w:val="auto"/>
              </w:rPr>
              <w:t>(173,376)</w:t>
            </w:r>
          </w:p>
        </w:tc>
        <w:tc>
          <w:tcPr>
            <w:tcW w:w="10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(146,612)</w:t>
            </w:r>
          </w:p>
        </w:tc>
      </w:tr>
      <w:tr>
        <w:trPr>
          <w:trHeight w:val="243"/>
        </w:trPr>
        <w:tc>
          <w:tcPr>
            <w:tcW w:w="6960" w:type="dxa"/>
            <w:vAlign w:val="bottom"/>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40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724</w:t>
            </w:r>
          </w:p>
        </w:tc>
        <w:tc>
          <w:tcPr>
            <w:tcW w:w="10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(11,941)</w:t>
            </w:r>
          </w:p>
        </w:tc>
      </w:tr>
      <w:tr>
        <w:trPr>
          <w:trHeight w:val="331"/>
        </w:trPr>
        <w:tc>
          <w:tcPr>
            <w:tcW w:w="6960" w:type="dxa"/>
            <w:vAlign w:val="bottom"/>
          </w:tcPr>
          <w:p>
            <w:pPr>
              <w:spacing w:after="0"/>
              <w:rPr>
                <w:sz w:val="20"/>
                <w:szCs w:val="20"/>
                <w:color w:val="auto"/>
              </w:rPr>
            </w:pPr>
            <w:r>
              <w:rPr>
                <w:rFonts w:ascii="Arial" w:cs="Arial" w:eastAsia="Arial" w:hAnsi="Arial"/>
                <w:sz w:val="18"/>
                <w:szCs w:val="18"/>
                <w:color w:val="auto"/>
              </w:rPr>
              <w:t>Net decrease in cash and cash equivalents</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(147,469)</w:t>
            </w:r>
          </w:p>
        </w:tc>
        <w:tc>
          <w:tcPr>
            <w:tcW w:w="10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(66,296)</w:t>
            </w:r>
          </w:p>
        </w:tc>
      </w:tr>
    </w:tbl>
    <w:p>
      <w:pPr>
        <w:sectPr>
          <w:pgSz w:w="11900" w:h="16838" w:orient="portrait"/>
          <w:cols w:equalWidth="0" w:num="1">
            <w:col w:w="11220"/>
          </w:cols>
          <w:pgMar w:left="320" w:top="895" w:right="359" w:bottom="1440" w:gutter="0" w:footer="0" w:header="0"/>
        </w:sectPr>
      </w:pPr>
    </w:p>
    <w:bookmarkStart w:id="19" w:name="page20"/>
    <w:bookmarkEnd w:id="19"/>
    <w:p>
      <w:pPr>
        <w:jc w:val="center"/>
        <w:ind w:left="420" w:right="1980"/>
        <w:spacing w:after="0" w:line="255" w:lineRule="auto"/>
        <w:rPr>
          <w:sz w:val="20"/>
          <w:szCs w:val="20"/>
          <w:color w:val="auto"/>
        </w:rPr>
      </w:pPr>
      <w:r>
        <w:rPr>
          <w:rFonts w:ascii="Arial" w:cs="Arial" w:eastAsia="Arial" w:hAnsi="Arial"/>
          <w:sz w:val="18"/>
          <w:szCs w:val="18"/>
          <w:color w:val="auto"/>
        </w:rPr>
        <w:t>RECONCILIATION OF NON-GAAP ADJUSTMENTS - GAAP OPERATING CASH FLOW TO MEASURES OF FREE CASH FLOW AND ADJUSTED FREE CASH FLOW CONVERSION (UNAUDITED)</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60" w:type="dxa"/>
            <w:vAlign w:val="bottom"/>
          </w:tcPr>
          <w:p>
            <w:pPr>
              <w:spacing w:after="0"/>
              <w:rPr>
                <w:sz w:val="20"/>
                <w:szCs w:val="20"/>
                <w:color w:val="auto"/>
              </w:rPr>
            </w:pPr>
            <w:r>
              <w:rPr>
                <w:rFonts w:ascii="Arial" w:cs="Arial" w:eastAsia="Arial" w:hAnsi="Arial"/>
                <w:sz w:val="18"/>
                <w:szCs w:val="18"/>
                <w:color w:val="auto"/>
              </w:rPr>
              <w:t>(In thousands)</w:t>
            </w: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6"/>
        </w:trPr>
        <w:tc>
          <w:tcPr>
            <w:tcW w:w="7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0" w:type="dxa"/>
            <w:vAlign w:val="bottom"/>
            <w:gridSpan w:val="3"/>
          </w:tcPr>
          <w:p>
            <w:pPr>
              <w:jc w:val="right"/>
              <w:ind w:right="730"/>
              <w:spacing w:after="0"/>
              <w:rPr>
                <w:sz w:val="20"/>
                <w:szCs w:val="20"/>
                <w:color w:val="auto"/>
              </w:rPr>
            </w:pPr>
            <w:r>
              <w:rPr>
                <w:rFonts w:ascii="Arial" w:cs="Arial" w:eastAsia="Arial" w:hAnsi="Arial"/>
                <w:sz w:val="18"/>
                <w:szCs w:val="18"/>
                <w:color w:val="auto"/>
              </w:rPr>
              <w:t>Three Months Ended June 30,</w:t>
            </w:r>
          </w:p>
        </w:tc>
        <w:tc>
          <w:tcPr>
            <w:tcW w:w="0" w:type="dxa"/>
            <w:vAlign w:val="bottom"/>
          </w:tcPr>
          <w:p>
            <w:pPr>
              <w:spacing w:after="0"/>
              <w:rPr>
                <w:sz w:val="1"/>
                <w:szCs w:val="1"/>
                <w:color w:val="auto"/>
              </w:rPr>
            </w:pPr>
          </w:p>
        </w:tc>
      </w:tr>
      <w:tr>
        <w:trPr>
          <w:trHeight w:val="230"/>
        </w:trPr>
        <w:tc>
          <w:tcPr>
            <w:tcW w:w="73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2023</w:t>
            </w:r>
          </w:p>
        </w:tc>
        <w:tc>
          <w:tcPr>
            <w:tcW w:w="4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37"/>
        </w:trPr>
        <w:tc>
          <w:tcPr>
            <w:tcW w:w="7360" w:type="dxa"/>
            <w:vAlign w:val="bottom"/>
          </w:tcPr>
          <w:p>
            <w:pPr>
              <w:ind w:left="140"/>
              <w:spacing w:after="0"/>
              <w:rPr>
                <w:sz w:val="20"/>
                <w:szCs w:val="20"/>
                <w:color w:val="auto"/>
              </w:rPr>
            </w:pPr>
            <w:r>
              <w:rPr>
                <w:rFonts w:ascii="Arial" w:cs="Arial" w:eastAsia="Arial" w:hAnsi="Arial"/>
                <w:sz w:val="18"/>
                <w:szCs w:val="18"/>
                <w:color w:val="auto"/>
              </w:rPr>
              <w:t>Net cash provided by operating activities</w:t>
            </w: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28,278</w:t>
            </w: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66,484</w:t>
            </w:r>
          </w:p>
        </w:tc>
        <w:tc>
          <w:tcPr>
            <w:tcW w:w="0" w:type="dxa"/>
            <w:vAlign w:val="bottom"/>
          </w:tcPr>
          <w:p>
            <w:pPr>
              <w:spacing w:after="0"/>
              <w:rPr>
                <w:sz w:val="1"/>
                <w:szCs w:val="1"/>
                <w:color w:val="auto"/>
              </w:rPr>
            </w:pPr>
          </w:p>
        </w:tc>
      </w:tr>
      <w:tr>
        <w:trPr>
          <w:trHeight w:val="520"/>
        </w:trPr>
        <w:tc>
          <w:tcPr>
            <w:tcW w:w="7360" w:type="dxa"/>
            <w:vAlign w:val="bottom"/>
            <w:vMerge w:val="restart"/>
          </w:tcPr>
          <w:p>
            <w:pPr>
              <w:ind w:left="140"/>
              <w:spacing w:after="0"/>
              <w:rPr>
                <w:sz w:val="20"/>
                <w:szCs w:val="20"/>
                <w:color w:val="auto"/>
              </w:rPr>
            </w:pPr>
            <w:r>
              <w:rPr>
                <w:rFonts w:ascii="Arial" w:cs="Arial" w:eastAsia="Arial" w:hAnsi="Arial"/>
                <w:sz w:val="18"/>
                <w:szCs w:val="18"/>
                <w:color w:val="auto"/>
              </w:rPr>
              <w:t>Purchases of property and equipment</w:t>
            </w:r>
          </w:p>
        </w:tc>
        <w:tc>
          <w:tcPr>
            <w:tcW w:w="3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360" w:type="dxa"/>
            <w:vAlign w:val="bottom"/>
            <w:vMerge w:val="continue"/>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(15,646)</w:t>
            </w: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(9,405)</w:t>
            </w:r>
          </w:p>
        </w:tc>
        <w:tc>
          <w:tcPr>
            <w:tcW w:w="0" w:type="dxa"/>
            <w:vAlign w:val="bottom"/>
          </w:tcPr>
          <w:p>
            <w:pPr>
              <w:spacing w:after="0"/>
              <w:rPr>
                <w:sz w:val="1"/>
                <w:szCs w:val="1"/>
                <w:color w:val="auto"/>
              </w:rPr>
            </w:pPr>
          </w:p>
        </w:tc>
      </w:tr>
      <w:tr>
        <w:trPr>
          <w:trHeight w:val="224"/>
        </w:trPr>
        <w:tc>
          <w:tcPr>
            <w:tcW w:w="7360" w:type="dxa"/>
            <w:vAlign w:val="bottom"/>
          </w:tcPr>
          <w:p>
            <w:pPr>
              <w:ind w:left="140"/>
              <w:spacing w:after="0"/>
              <w:rPr>
                <w:sz w:val="20"/>
                <w:szCs w:val="20"/>
                <w:color w:val="auto"/>
              </w:rPr>
            </w:pPr>
            <w:r>
              <w:rPr>
                <w:rFonts w:ascii="Arial" w:cs="Arial" w:eastAsia="Arial" w:hAnsi="Arial"/>
                <w:sz w:val="18"/>
                <w:szCs w:val="18"/>
                <w:color w:val="auto"/>
              </w:rPr>
              <w:t>Free cash flow</w:t>
            </w:r>
          </w:p>
        </w:tc>
        <w:tc>
          <w:tcPr>
            <w:tcW w:w="380" w:type="dxa"/>
            <w:vAlign w:val="bottom"/>
          </w:tcPr>
          <w:p>
            <w:pPr>
              <w:spacing w:after="0"/>
              <w:rPr>
                <w:sz w:val="19"/>
                <w:szCs w:val="19"/>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12,632</w:t>
            </w:r>
          </w:p>
        </w:tc>
        <w:tc>
          <w:tcPr>
            <w:tcW w:w="480" w:type="dxa"/>
            <w:vAlign w:val="bottom"/>
          </w:tcPr>
          <w:p>
            <w:pPr>
              <w:spacing w:after="0"/>
              <w:rPr>
                <w:sz w:val="19"/>
                <w:szCs w:val="19"/>
                <w:color w:val="auto"/>
              </w:rPr>
            </w:pPr>
          </w:p>
        </w:tc>
        <w:tc>
          <w:tcPr>
            <w:tcW w:w="1600" w:type="dxa"/>
            <w:vAlign w:val="bottom"/>
          </w:tcPr>
          <w:p>
            <w:pPr>
              <w:jc w:val="right"/>
              <w:ind w:right="130"/>
              <w:spacing w:after="0"/>
              <w:rPr>
                <w:sz w:val="20"/>
                <w:szCs w:val="20"/>
                <w:color w:val="auto"/>
              </w:rPr>
            </w:pPr>
            <w:r>
              <w:rPr>
                <w:rFonts w:ascii="Arial" w:cs="Arial" w:eastAsia="Arial" w:hAnsi="Arial"/>
                <w:sz w:val="18"/>
                <w:szCs w:val="18"/>
                <w:color w:val="auto"/>
              </w:rPr>
              <w:t>57,079</w:t>
            </w:r>
          </w:p>
        </w:tc>
        <w:tc>
          <w:tcPr>
            <w:tcW w:w="0" w:type="dxa"/>
            <w:vAlign w:val="bottom"/>
          </w:tcPr>
          <w:p>
            <w:pPr>
              <w:spacing w:after="0"/>
              <w:rPr>
                <w:sz w:val="1"/>
                <w:szCs w:val="1"/>
                <w:color w:val="auto"/>
              </w:rPr>
            </w:pPr>
          </w:p>
        </w:tc>
      </w:tr>
      <w:tr>
        <w:trPr>
          <w:trHeight w:val="269"/>
        </w:trPr>
        <w:tc>
          <w:tcPr>
            <w:tcW w:w="7360" w:type="dxa"/>
            <w:vAlign w:val="bottom"/>
            <w:vMerge w:val="restart"/>
          </w:tcPr>
          <w:p>
            <w:pPr>
              <w:ind w:left="140"/>
              <w:spacing w:after="0"/>
              <w:rPr>
                <w:sz w:val="20"/>
                <w:szCs w:val="20"/>
                <w:color w:val="auto"/>
              </w:rPr>
            </w:pPr>
            <w:r>
              <w:rPr>
                <w:rFonts w:ascii="Arial" w:cs="Arial" w:eastAsia="Arial" w:hAnsi="Arial"/>
                <w:sz w:val="18"/>
                <w:szCs w:val="18"/>
                <w:color w:val="auto"/>
              </w:rPr>
              <w:t>Adjusted net income</w:t>
            </w:r>
            <w:r>
              <w:rPr>
                <w:rFonts w:ascii="Arial" w:cs="Arial" w:eastAsia="Arial" w:hAnsi="Arial"/>
                <w:sz w:val="23"/>
                <w:szCs w:val="23"/>
                <w:color w:val="auto"/>
                <w:vertAlign w:val="superscript"/>
              </w:rPr>
              <w:t>(1)</w:t>
            </w:r>
          </w:p>
        </w:tc>
        <w:tc>
          <w:tcPr>
            <w:tcW w:w="38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7360" w:type="dxa"/>
            <w:vAlign w:val="bottom"/>
            <w:vMerge w:val="continue"/>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57,417</w:t>
            </w: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68,335</w:t>
            </w:r>
          </w:p>
        </w:tc>
        <w:tc>
          <w:tcPr>
            <w:tcW w:w="0" w:type="dxa"/>
            <w:vAlign w:val="bottom"/>
          </w:tcPr>
          <w:p>
            <w:pPr>
              <w:spacing w:after="0"/>
              <w:rPr>
                <w:sz w:val="1"/>
                <w:szCs w:val="1"/>
                <w:color w:val="auto"/>
              </w:rPr>
            </w:pPr>
          </w:p>
        </w:tc>
      </w:tr>
      <w:tr>
        <w:trPr>
          <w:trHeight w:val="224"/>
        </w:trPr>
        <w:tc>
          <w:tcPr>
            <w:tcW w:w="7360" w:type="dxa"/>
            <w:vAlign w:val="bottom"/>
          </w:tcPr>
          <w:p>
            <w:pPr>
              <w:ind w:left="140"/>
              <w:spacing w:after="0"/>
              <w:rPr>
                <w:sz w:val="20"/>
                <w:szCs w:val="20"/>
                <w:color w:val="auto"/>
              </w:rPr>
            </w:pPr>
            <w:r>
              <w:rPr>
                <w:rFonts w:ascii="Arial" w:cs="Arial" w:eastAsia="Arial" w:hAnsi="Arial"/>
                <w:sz w:val="18"/>
                <w:szCs w:val="18"/>
                <w:color w:val="auto"/>
              </w:rPr>
              <w:t>Adjusted free cash flow conversion</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22.0 %</w:t>
            </w:r>
          </w:p>
        </w:tc>
        <w:tc>
          <w:tcPr>
            <w:tcW w:w="4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83.5 %</w:t>
            </w:r>
          </w:p>
        </w:tc>
        <w:tc>
          <w:tcPr>
            <w:tcW w:w="0" w:type="dxa"/>
            <w:vAlign w:val="bottom"/>
          </w:tcPr>
          <w:p>
            <w:pPr>
              <w:spacing w:after="0"/>
              <w:rPr>
                <w:sz w:val="1"/>
                <w:szCs w:val="1"/>
                <w:color w:val="auto"/>
              </w:rPr>
            </w:pPr>
          </w:p>
        </w:tc>
      </w:tr>
      <w:tr>
        <w:trPr>
          <w:trHeight w:val="1039"/>
        </w:trPr>
        <w:tc>
          <w:tcPr>
            <w:tcW w:w="7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0" w:type="dxa"/>
            <w:vAlign w:val="bottom"/>
            <w:gridSpan w:val="3"/>
          </w:tcPr>
          <w:p>
            <w:pPr>
              <w:jc w:val="right"/>
              <w:ind w:right="670"/>
              <w:spacing w:after="0"/>
              <w:rPr>
                <w:sz w:val="20"/>
                <w:szCs w:val="20"/>
                <w:color w:val="auto"/>
              </w:rPr>
            </w:pPr>
            <w:r>
              <w:rPr>
                <w:rFonts w:ascii="Arial" w:cs="Arial" w:eastAsia="Arial" w:hAnsi="Arial"/>
                <w:sz w:val="18"/>
                <w:szCs w:val="18"/>
                <w:color w:val="auto"/>
              </w:rPr>
              <w:t>Twelve Months Ended June 30,</w:t>
            </w:r>
          </w:p>
        </w:tc>
        <w:tc>
          <w:tcPr>
            <w:tcW w:w="0" w:type="dxa"/>
            <w:vAlign w:val="bottom"/>
          </w:tcPr>
          <w:p>
            <w:pPr>
              <w:spacing w:after="0"/>
              <w:rPr>
                <w:sz w:val="1"/>
                <w:szCs w:val="1"/>
                <w:color w:val="auto"/>
              </w:rPr>
            </w:pPr>
          </w:p>
        </w:tc>
      </w:tr>
      <w:tr>
        <w:trPr>
          <w:trHeight w:val="243"/>
        </w:trPr>
        <w:tc>
          <w:tcPr>
            <w:tcW w:w="736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2023</w:t>
            </w:r>
          </w:p>
        </w:tc>
        <w:tc>
          <w:tcPr>
            <w:tcW w:w="48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23"/>
        </w:trPr>
        <w:tc>
          <w:tcPr>
            <w:tcW w:w="7360" w:type="dxa"/>
            <w:vAlign w:val="bottom"/>
          </w:tcPr>
          <w:p>
            <w:pPr>
              <w:ind w:left="140"/>
              <w:spacing w:after="0"/>
              <w:rPr>
                <w:sz w:val="20"/>
                <w:szCs w:val="20"/>
                <w:color w:val="auto"/>
              </w:rPr>
            </w:pPr>
            <w:r>
              <w:rPr>
                <w:rFonts w:ascii="Arial" w:cs="Arial" w:eastAsia="Arial" w:hAnsi="Arial"/>
                <w:sz w:val="18"/>
                <w:szCs w:val="18"/>
                <w:color w:val="auto"/>
              </w:rPr>
              <w:t>Net cash provided by operating activities</w:t>
            </w: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208,079</w:t>
            </w: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262,887</w:t>
            </w:r>
          </w:p>
        </w:tc>
        <w:tc>
          <w:tcPr>
            <w:tcW w:w="0" w:type="dxa"/>
            <w:vAlign w:val="bottom"/>
          </w:tcPr>
          <w:p>
            <w:pPr>
              <w:spacing w:after="0"/>
              <w:rPr>
                <w:sz w:val="1"/>
                <w:szCs w:val="1"/>
                <w:color w:val="auto"/>
              </w:rPr>
            </w:pPr>
          </w:p>
        </w:tc>
      </w:tr>
      <w:tr>
        <w:trPr>
          <w:trHeight w:val="493"/>
        </w:trPr>
        <w:tc>
          <w:tcPr>
            <w:tcW w:w="7360" w:type="dxa"/>
            <w:vAlign w:val="bottom"/>
          </w:tcPr>
          <w:p>
            <w:pPr>
              <w:ind w:left="140"/>
              <w:spacing w:after="0"/>
              <w:rPr>
                <w:sz w:val="20"/>
                <w:szCs w:val="20"/>
                <w:color w:val="auto"/>
              </w:rPr>
            </w:pPr>
            <w:r>
              <w:rPr>
                <w:rFonts w:ascii="Arial" w:cs="Arial" w:eastAsia="Arial" w:hAnsi="Arial"/>
                <w:sz w:val="18"/>
                <w:szCs w:val="18"/>
                <w:color w:val="auto"/>
              </w:rPr>
              <w:t>Purchases of property and equipment</w:t>
            </w:r>
          </w:p>
        </w:tc>
        <w:tc>
          <w:tcPr>
            <w:tcW w:w="3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(52,963)</w:t>
            </w:r>
          </w:p>
        </w:tc>
        <w:tc>
          <w:tcPr>
            <w:tcW w:w="4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(53,444)</w:t>
            </w:r>
          </w:p>
        </w:tc>
        <w:tc>
          <w:tcPr>
            <w:tcW w:w="0" w:type="dxa"/>
            <w:vAlign w:val="bottom"/>
          </w:tcPr>
          <w:p>
            <w:pPr>
              <w:spacing w:after="0"/>
              <w:rPr>
                <w:sz w:val="1"/>
                <w:szCs w:val="1"/>
                <w:color w:val="auto"/>
              </w:rPr>
            </w:pPr>
          </w:p>
        </w:tc>
      </w:tr>
      <w:tr>
        <w:trPr>
          <w:trHeight w:val="224"/>
        </w:trPr>
        <w:tc>
          <w:tcPr>
            <w:tcW w:w="7360" w:type="dxa"/>
            <w:vAlign w:val="bottom"/>
          </w:tcPr>
          <w:p>
            <w:pPr>
              <w:ind w:left="140"/>
              <w:spacing w:after="0"/>
              <w:rPr>
                <w:sz w:val="20"/>
                <w:szCs w:val="20"/>
                <w:color w:val="auto"/>
              </w:rPr>
            </w:pPr>
            <w:r>
              <w:rPr>
                <w:rFonts w:ascii="Arial" w:cs="Arial" w:eastAsia="Arial" w:hAnsi="Arial"/>
                <w:sz w:val="18"/>
                <w:szCs w:val="18"/>
                <w:color w:val="auto"/>
              </w:rPr>
              <w:t>Free cash flow</w:t>
            </w:r>
          </w:p>
        </w:tc>
        <w:tc>
          <w:tcPr>
            <w:tcW w:w="380" w:type="dxa"/>
            <w:vAlign w:val="bottom"/>
          </w:tcPr>
          <w:p>
            <w:pPr>
              <w:spacing w:after="0"/>
              <w:rPr>
                <w:sz w:val="19"/>
                <w:szCs w:val="19"/>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155,116</w:t>
            </w:r>
          </w:p>
        </w:tc>
        <w:tc>
          <w:tcPr>
            <w:tcW w:w="480" w:type="dxa"/>
            <w:vAlign w:val="bottom"/>
          </w:tcPr>
          <w:p>
            <w:pPr>
              <w:spacing w:after="0"/>
              <w:rPr>
                <w:sz w:val="19"/>
                <w:szCs w:val="19"/>
                <w:color w:val="auto"/>
              </w:rPr>
            </w:pPr>
          </w:p>
        </w:tc>
        <w:tc>
          <w:tcPr>
            <w:tcW w:w="1600" w:type="dxa"/>
            <w:vAlign w:val="bottom"/>
          </w:tcPr>
          <w:p>
            <w:pPr>
              <w:jc w:val="right"/>
              <w:ind w:right="130"/>
              <w:spacing w:after="0"/>
              <w:rPr>
                <w:sz w:val="20"/>
                <w:szCs w:val="20"/>
                <w:color w:val="auto"/>
              </w:rPr>
            </w:pPr>
            <w:r>
              <w:rPr>
                <w:rFonts w:ascii="Arial" w:cs="Arial" w:eastAsia="Arial" w:hAnsi="Arial"/>
                <w:sz w:val="18"/>
                <w:szCs w:val="18"/>
                <w:color w:val="auto"/>
              </w:rPr>
              <w:t>209,443</w:t>
            </w:r>
          </w:p>
        </w:tc>
        <w:tc>
          <w:tcPr>
            <w:tcW w:w="0" w:type="dxa"/>
            <w:vAlign w:val="bottom"/>
          </w:tcPr>
          <w:p>
            <w:pPr>
              <w:spacing w:after="0"/>
              <w:rPr>
                <w:sz w:val="1"/>
                <w:szCs w:val="1"/>
                <w:color w:val="auto"/>
              </w:rPr>
            </w:pPr>
          </w:p>
        </w:tc>
      </w:tr>
      <w:tr>
        <w:trPr>
          <w:trHeight w:val="499"/>
        </w:trPr>
        <w:tc>
          <w:tcPr>
            <w:tcW w:w="7360" w:type="dxa"/>
            <w:vAlign w:val="bottom"/>
          </w:tcPr>
          <w:p>
            <w:pPr>
              <w:ind w:left="140"/>
              <w:spacing w:after="0"/>
              <w:rPr>
                <w:sz w:val="20"/>
                <w:szCs w:val="20"/>
                <w:color w:val="auto"/>
              </w:rPr>
            </w:pPr>
            <w:r>
              <w:rPr>
                <w:rFonts w:ascii="Arial" w:cs="Arial" w:eastAsia="Arial" w:hAnsi="Arial"/>
                <w:sz w:val="18"/>
                <w:szCs w:val="18"/>
                <w:color w:val="auto"/>
              </w:rPr>
              <w:t>Adjusted net income</w:t>
            </w:r>
            <w:r>
              <w:rPr>
                <w:rFonts w:ascii="Arial" w:cs="Arial" w:eastAsia="Arial" w:hAnsi="Arial"/>
                <w:sz w:val="23"/>
                <w:szCs w:val="23"/>
                <w:color w:val="auto"/>
                <w:vertAlign w:val="superscript"/>
              </w:rPr>
              <w:t>(1)</w:t>
            </w:r>
          </w:p>
        </w:tc>
        <w:tc>
          <w:tcPr>
            <w:tcW w:w="3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268,667</w:t>
            </w: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275,548</w:t>
            </w:r>
          </w:p>
        </w:tc>
        <w:tc>
          <w:tcPr>
            <w:tcW w:w="0" w:type="dxa"/>
            <w:vAlign w:val="bottom"/>
          </w:tcPr>
          <w:p>
            <w:pPr>
              <w:spacing w:after="0"/>
              <w:rPr>
                <w:sz w:val="1"/>
                <w:szCs w:val="1"/>
                <w:color w:val="auto"/>
              </w:rPr>
            </w:pPr>
          </w:p>
        </w:tc>
      </w:tr>
      <w:tr>
        <w:trPr>
          <w:trHeight w:val="224"/>
        </w:trPr>
        <w:tc>
          <w:tcPr>
            <w:tcW w:w="7360" w:type="dxa"/>
            <w:vAlign w:val="bottom"/>
          </w:tcPr>
          <w:p>
            <w:pPr>
              <w:ind w:left="140"/>
              <w:spacing w:after="0"/>
              <w:rPr>
                <w:sz w:val="20"/>
                <w:szCs w:val="20"/>
                <w:color w:val="auto"/>
              </w:rPr>
            </w:pPr>
            <w:r>
              <w:rPr>
                <w:rFonts w:ascii="Arial" w:cs="Arial" w:eastAsia="Arial" w:hAnsi="Arial"/>
                <w:sz w:val="18"/>
                <w:szCs w:val="18"/>
                <w:color w:val="auto"/>
              </w:rPr>
              <w:t>Adjusted free cash flow conversion</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57.7 %</w:t>
            </w:r>
          </w:p>
        </w:tc>
        <w:tc>
          <w:tcPr>
            <w:tcW w:w="4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76.0 %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2" w:lineRule="exact"/>
        <w:rPr>
          <w:sz w:val="20"/>
          <w:szCs w:val="20"/>
          <w:color w:val="auto"/>
        </w:rPr>
      </w:pPr>
    </w:p>
    <w:p>
      <w:pPr>
        <w:ind w:firstLine="8"/>
        <w:spacing w:after="0" w:line="263" w:lineRule="auto"/>
        <w:tabs>
          <w:tab w:leader="none" w:pos="24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Adjusted net income for quarters ended June 30, 2023 and 2022 are reconciled above. Adjusted net income for remaining quarters in the trailing twelve months calculation have been previously reconciled and are publicly available in the Quarterly Earnings Call Presentations on our website at investor.integralife.com under Events &amp; Presentations.</w:t>
      </w:r>
    </w:p>
    <w:p>
      <w:pPr>
        <w:spacing w:after="0" w:line="200" w:lineRule="exact"/>
        <w:rPr>
          <w:sz w:val="20"/>
          <w:szCs w:val="20"/>
          <w:color w:val="auto"/>
        </w:rPr>
      </w:pPr>
    </w:p>
    <w:p>
      <w:pPr>
        <w:spacing w:after="0" w:line="25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Company calculates adjusted free cash flow conversion by dividing its free cash flow by adjusted net income. The Company believes this measure is useful in evaluating the significance of the cash special charges in its adjusted earnings measures.</w:t>
      </w:r>
    </w:p>
    <w:p>
      <w:pPr>
        <w:sectPr>
          <w:pgSz w:w="11900" w:h="16838" w:orient="portrait"/>
          <w:cols w:equalWidth="0" w:num="1">
            <w:col w:w="11160"/>
          </w:cols>
          <w:pgMar w:left="320" w:top="895" w:right="419" w:bottom="1440" w:gutter="0" w:footer="0" w:header="0"/>
        </w:sectPr>
      </w:pPr>
    </w:p>
    <w:bookmarkStart w:id="20" w:name="page21"/>
    <w:bookmarkEnd w:id="20"/>
    <w:p>
      <w:pPr>
        <w:jc w:val="center"/>
        <w:ind w:right="-199"/>
        <w:spacing w:after="0"/>
        <w:rPr>
          <w:sz w:val="20"/>
          <w:szCs w:val="20"/>
          <w:color w:val="auto"/>
        </w:rPr>
      </w:pPr>
      <w:r>
        <w:rPr>
          <w:rFonts w:ascii="Arial" w:cs="Arial" w:eastAsia="Arial" w:hAnsi="Arial"/>
          <w:sz w:val="18"/>
          <w:szCs w:val="18"/>
          <w:color w:val="auto"/>
        </w:rPr>
        <w:t>RECONCILIATION OF NON-GAAP ADJUSTMENTS - NET DEBT CALCULATION</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(UNAUDITED)</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(In thousands)</w:t>
            </w:r>
          </w:p>
        </w:tc>
        <w:tc>
          <w:tcPr>
            <w:tcW w:w="300" w:type="dxa"/>
            <w:vAlign w:val="bottom"/>
          </w:tcPr>
          <w:p>
            <w:pPr>
              <w:spacing w:after="0"/>
              <w:rPr>
                <w:sz w:val="20"/>
                <w:szCs w:val="20"/>
                <w:color w:val="auto"/>
              </w:rPr>
            </w:pPr>
          </w:p>
        </w:tc>
        <w:tc>
          <w:tcPr>
            <w:tcW w:w="1280" w:type="dxa"/>
            <w:vAlign w:val="bottom"/>
            <w:vMerge w:val="restart"/>
          </w:tcPr>
          <w:p>
            <w:pPr>
              <w:jc w:val="right"/>
              <w:ind w:right="390"/>
              <w:spacing w:after="0"/>
              <w:rPr>
                <w:sz w:val="20"/>
                <w:szCs w:val="20"/>
                <w:color w:val="auto"/>
              </w:rPr>
            </w:pPr>
            <w:r>
              <w:rPr>
                <w:rFonts w:ascii="Arial" w:cs="Arial" w:eastAsia="Arial" w:hAnsi="Arial"/>
                <w:sz w:val="18"/>
                <w:szCs w:val="18"/>
                <w:color w:val="auto"/>
              </w:rPr>
              <w:t>June 30,</w:t>
            </w:r>
          </w:p>
        </w:tc>
        <w:tc>
          <w:tcPr>
            <w:tcW w:w="300" w:type="dxa"/>
            <w:vAlign w:val="bottom"/>
          </w:tcPr>
          <w:p>
            <w:pPr>
              <w:spacing w:after="0"/>
              <w:rPr>
                <w:sz w:val="20"/>
                <w:szCs w:val="20"/>
                <w:color w:val="auto"/>
              </w:rPr>
            </w:pPr>
          </w:p>
        </w:tc>
        <w:tc>
          <w:tcPr>
            <w:tcW w:w="1680" w:type="dxa"/>
            <w:vAlign w:val="bottom"/>
            <w:vMerge w:val="restart"/>
          </w:tcPr>
          <w:p>
            <w:pPr>
              <w:jc w:val="right"/>
              <w:ind w:right="39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188"/>
        </w:trPr>
        <w:tc>
          <w:tcPr>
            <w:tcW w:w="7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7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ind w:right="510"/>
              <w:spacing w:after="0"/>
              <w:rPr>
                <w:sz w:val="20"/>
                <w:szCs w:val="20"/>
                <w:color w:val="auto"/>
              </w:rPr>
            </w:pPr>
            <w:r>
              <w:rPr>
                <w:rFonts w:ascii="Arial" w:cs="Arial" w:eastAsia="Arial" w:hAnsi="Arial"/>
                <w:sz w:val="18"/>
                <w:szCs w:val="18"/>
                <w:color w:val="auto"/>
              </w:rPr>
              <w:t>2023</w:t>
            </w:r>
          </w:p>
        </w:tc>
        <w:tc>
          <w:tcPr>
            <w:tcW w:w="300" w:type="dxa"/>
            <w:vAlign w:val="bottom"/>
          </w:tcPr>
          <w:p>
            <w:pPr>
              <w:spacing w:after="0"/>
              <w:rPr>
                <w:sz w:val="19"/>
                <w:szCs w:val="19"/>
                <w:color w:val="auto"/>
              </w:rPr>
            </w:pPr>
          </w:p>
        </w:tc>
        <w:tc>
          <w:tcPr>
            <w:tcW w:w="1680" w:type="dxa"/>
            <w:vAlign w:val="bottom"/>
          </w:tcPr>
          <w:p>
            <w:pPr>
              <w:jc w:val="right"/>
              <w:ind w:right="710"/>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29"/>
        </w:trPr>
        <w:tc>
          <w:tcPr>
            <w:tcW w:w="7440" w:type="dxa"/>
            <w:vAlign w:val="bottom"/>
          </w:tcPr>
          <w:p>
            <w:pPr>
              <w:spacing w:after="0"/>
              <w:rPr>
                <w:sz w:val="20"/>
                <w:szCs w:val="20"/>
                <w:color w:val="auto"/>
              </w:rPr>
            </w:pPr>
            <w:r>
              <w:rPr>
                <w:rFonts w:ascii="Arial" w:cs="Arial" w:eastAsia="Arial" w:hAnsi="Arial"/>
                <w:sz w:val="18"/>
                <w:szCs w:val="18"/>
                <w:color w:val="auto"/>
              </w:rPr>
              <w:t>Short-term borrowings under senior credit facility</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4,844</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38,125</w:t>
            </w:r>
          </w:p>
        </w:tc>
        <w:tc>
          <w:tcPr>
            <w:tcW w:w="0" w:type="dxa"/>
            <w:vAlign w:val="bottom"/>
          </w:tcPr>
          <w:p>
            <w:pPr>
              <w:spacing w:after="0"/>
              <w:rPr>
                <w:sz w:val="1"/>
                <w:szCs w:val="1"/>
                <w:color w:val="auto"/>
              </w:rPr>
            </w:pP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Long-term borrowings under senior credit facility</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764,616</w:t>
            </w:r>
          </w:p>
        </w:tc>
        <w:tc>
          <w:tcPr>
            <w:tcW w:w="30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733,149</w:t>
            </w:r>
          </w:p>
        </w:tc>
        <w:tc>
          <w:tcPr>
            <w:tcW w:w="0" w:type="dxa"/>
            <w:vAlign w:val="bottom"/>
          </w:tcPr>
          <w:p>
            <w:pPr>
              <w:spacing w:after="0"/>
              <w:rPr>
                <w:sz w:val="1"/>
                <w:szCs w:val="1"/>
                <w:color w:val="auto"/>
              </w:rPr>
            </w:pPr>
          </w:p>
        </w:tc>
      </w:tr>
      <w:tr>
        <w:trPr>
          <w:trHeight w:val="242"/>
        </w:trPr>
        <w:tc>
          <w:tcPr>
            <w:tcW w:w="7440" w:type="dxa"/>
            <w:vAlign w:val="bottom"/>
          </w:tcPr>
          <w:p>
            <w:pPr>
              <w:spacing w:after="0"/>
              <w:rPr>
                <w:sz w:val="20"/>
                <w:szCs w:val="20"/>
                <w:color w:val="auto"/>
              </w:rPr>
            </w:pPr>
            <w:r>
              <w:rPr>
                <w:rFonts w:ascii="Arial" w:cs="Arial" w:eastAsia="Arial" w:hAnsi="Arial"/>
                <w:sz w:val="18"/>
                <w:szCs w:val="18"/>
                <w:color w:val="auto"/>
              </w:rPr>
              <w:t>Borrowings under securitization facility</w:t>
            </w: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90,800</w:t>
            </w:r>
          </w:p>
        </w:tc>
        <w:tc>
          <w:tcPr>
            <w:tcW w:w="3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104,700</w:t>
            </w:r>
          </w:p>
        </w:tc>
        <w:tc>
          <w:tcPr>
            <w:tcW w:w="0" w:type="dxa"/>
            <w:vAlign w:val="bottom"/>
          </w:tcPr>
          <w:p>
            <w:pPr>
              <w:spacing w:after="0"/>
              <w:rPr>
                <w:sz w:val="1"/>
                <w:szCs w:val="1"/>
                <w:color w:val="auto"/>
              </w:rPr>
            </w:pP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Long-term convertible securities</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568,798</w:t>
            </w: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567,341</w:t>
            </w:r>
          </w:p>
        </w:tc>
        <w:tc>
          <w:tcPr>
            <w:tcW w:w="0" w:type="dxa"/>
            <w:vAlign w:val="bottom"/>
          </w:tcPr>
          <w:p>
            <w:pPr>
              <w:spacing w:after="0"/>
              <w:rPr>
                <w:sz w:val="1"/>
                <w:szCs w:val="1"/>
                <w:color w:val="auto"/>
              </w:rPr>
            </w:pP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Deferred financing costs netted in the above</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11,742</w:t>
            </w:r>
          </w:p>
        </w:tc>
        <w:tc>
          <w:tcPr>
            <w:tcW w:w="30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11,385</w:t>
            </w:r>
          </w:p>
        </w:tc>
        <w:tc>
          <w:tcPr>
            <w:tcW w:w="0" w:type="dxa"/>
            <w:vAlign w:val="bottom"/>
          </w:tcPr>
          <w:p>
            <w:pPr>
              <w:spacing w:after="0"/>
              <w:rPr>
                <w:sz w:val="1"/>
                <w:szCs w:val="1"/>
                <w:color w:val="auto"/>
              </w:rPr>
            </w:pPr>
          </w:p>
        </w:tc>
      </w:tr>
      <w:tr>
        <w:trPr>
          <w:trHeight w:val="243"/>
        </w:trPr>
        <w:tc>
          <w:tcPr>
            <w:tcW w:w="7440" w:type="dxa"/>
            <w:vAlign w:val="bottom"/>
          </w:tcPr>
          <w:p>
            <w:pPr>
              <w:spacing w:after="0"/>
              <w:rPr>
                <w:sz w:val="20"/>
                <w:szCs w:val="20"/>
                <w:color w:val="auto"/>
              </w:rPr>
            </w:pPr>
            <w:r>
              <w:rPr>
                <w:rFonts w:ascii="Arial" w:cs="Arial" w:eastAsia="Arial" w:hAnsi="Arial"/>
                <w:sz w:val="18"/>
                <w:szCs w:val="18"/>
                <w:color w:val="auto"/>
              </w:rPr>
              <w:t>Cash &amp; Cash Equivalents</w:t>
            </w:r>
          </w:p>
        </w:tc>
        <w:tc>
          <w:tcPr>
            <w:tcW w:w="3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(309,192)</w:t>
            </w:r>
          </w:p>
        </w:tc>
        <w:tc>
          <w:tcPr>
            <w:tcW w:w="30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(456,661)</w:t>
            </w:r>
          </w:p>
        </w:tc>
        <w:tc>
          <w:tcPr>
            <w:tcW w:w="0" w:type="dxa"/>
            <w:vAlign w:val="bottom"/>
          </w:tcPr>
          <w:p>
            <w:pPr>
              <w:spacing w:after="0"/>
              <w:rPr>
                <w:sz w:val="1"/>
                <w:szCs w:val="1"/>
                <w:color w:val="auto"/>
              </w:rPr>
            </w:pPr>
          </w:p>
        </w:tc>
      </w:tr>
      <w:tr>
        <w:trPr>
          <w:trHeight w:val="224"/>
        </w:trPr>
        <w:tc>
          <w:tcPr>
            <w:tcW w:w="7440" w:type="dxa"/>
            <w:vAlign w:val="bottom"/>
          </w:tcPr>
          <w:p>
            <w:pPr>
              <w:spacing w:after="0"/>
              <w:rPr>
                <w:sz w:val="20"/>
                <w:szCs w:val="20"/>
                <w:color w:val="auto"/>
              </w:rPr>
            </w:pPr>
            <w:r>
              <w:rPr>
                <w:rFonts w:ascii="Arial" w:cs="Arial" w:eastAsia="Arial" w:hAnsi="Arial"/>
                <w:sz w:val="18"/>
                <w:szCs w:val="18"/>
                <w:color w:val="auto"/>
              </w:rPr>
              <w:t>Net Debt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1,131,608</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998,039</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000"/>
      </w:cols>
      <w:pgMar w:left="340" w:top="1138"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lvl w:ilvl="1">
      <w:lvlJc w:val="left"/>
      <w:lvlText w:val="◦"/>
      <w:numFmt w:val="bullet"/>
      <w:start w:val="1"/>
    </w:lvl>
  </w:abstractNum>
  <w:abstractNum w:abstractNumId="11">
    <w:nsid w:val="7FDCC233"/>
    <w:multiLevelType w:val="hybridMultilevel"/>
    <w:lvl w:ilvl="0">
      <w:lvlJc w:val="left"/>
      <w:lvlText w:val="(%1)"/>
      <w:numFmt w:val="lowerRoman"/>
      <w:start w:val="1"/>
    </w:lvl>
  </w:abstractNum>
  <w:abstractNum w:abstractNumId="12">
    <w:nsid w:val="1BEFD79F"/>
    <w:multiLevelType w:val="hybridMultilevel"/>
    <w:lvl w:ilvl="0">
      <w:lvlJc w:val="left"/>
      <w:lvlText w:val="(%1)"/>
      <w:numFmt w:val="decimal"/>
      <w:start w:val="609"/>
    </w:lvl>
  </w:abstractNum>
  <w:abstractNum w:abstractNumId="13">
    <w:nsid w:val="41A7C4C9"/>
    <w:multiLevelType w:val="hybridMultilevel"/>
    <w:lvl w:ilvl="0">
      <w:lvlJc w:val="left"/>
      <w:lvlText w:val="(%1)"/>
      <w:numFmt w:val="decimal"/>
      <w:start w:val="609"/>
    </w:lvl>
  </w:abstractNum>
  <w:abstractNum w:abstractNumId="14">
    <w:nsid w:val="6B68079A"/>
    <w:multiLevelType w:val="hybridMultilevel"/>
    <w:lvl w:ilvl="0">
      <w:lvlJc w:val="left"/>
      <w:lvlText w:val="%1)"/>
      <w:numFmt w:val="lowerLetter"/>
      <w:start w:val="1"/>
    </w:lvl>
  </w:abstractNum>
  <w:abstractNum w:abstractNumId="15">
    <w:nsid w:val="4E6AFB66"/>
    <w:multiLevelType w:val="hybridMultilevel"/>
    <w:lvl w:ilvl="0">
      <w:lvlJc w:val="left"/>
      <w:lvlText w:val="%1)"/>
      <w:numFmt w:val="lowerLetter"/>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2023-07-27T05:22:57Z</dcterms:created>
  <dcterms:modified xsi:type="dcterms:W3CDTF">2023-07-27T05:22:57Z</dcterms:modified>
</cp:coreProperties>
</file>