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9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52" w:lineRule="exact"/>
        <w:rPr>
          <w:sz w:val="24"/>
          <w:szCs w:val="24"/>
          <w:color w:val="auto"/>
        </w:rPr>
      </w:pPr>
    </w:p>
    <w:p>
      <w:pPr>
        <w:ind w:left="720" w:right="200" w:hanging="685"/>
        <w:spacing w:after="0" w:line="262" w:lineRule="auto"/>
        <w:tabs>
          <w:tab w:leader="none" w:pos="7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quarterly period ended June 30, 2016</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32" w:lineRule="exact"/>
        <w:rPr>
          <w:sz w:val="24"/>
          <w:szCs w:val="24"/>
          <w:color w:val="auto"/>
        </w:rPr>
      </w:pPr>
    </w:p>
    <w:p>
      <w:pPr>
        <w:ind w:left="720" w:right="180" w:hanging="685"/>
        <w:spacing w:after="0" w:line="262" w:lineRule="auto"/>
        <w:tabs>
          <w:tab w:leader="none" w:pos="7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6" w:lineRule="exact"/>
        <w:rPr>
          <w:sz w:val="24"/>
          <w:szCs w:val="24"/>
          <w:color w:val="auto"/>
        </w:rPr>
      </w:pPr>
    </w:p>
    <w:p>
      <w:pPr>
        <w:ind w:left="4020"/>
        <w:spacing w:after="0"/>
        <w:tabs>
          <w:tab w:leader="none" w:pos="666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NO. 0-26224</w:t>
      </w:r>
    </w:p>
    <w:p>
      <w:pPr>
        <w:spacing w:after="0" w:line="2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357" w:lineRule="exact"/>
        <w:rPr>
          <w:sz w:val="24"/>
          <w:szCs w:val="24"/>
          <w:color w:val="auto"/>
        </w:rPr>
      </w:pPr>
    </w:p>
    <w:tbl>
      <w:tblPr>
        <w:tblLayout w:type="fixed"/>
        <w:tblInd w:w="1120" w:type="dxa"/>
        <w:tblCellMar>
          <w:top w:w="0" w:type="dxa"/>
          <w:left w:w="0" w:type="dxa"/>
          <w:bottom w:w="0" w:type="dxa"/>
          <w:right w:w="0" w:type="dxa"/>
        </w:tblCellMar>
      </w:tblPr>
      <w:tr>
        <w:trPr>
          <w:trHeight w:val="238"/>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32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78"/>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5"/>
        </w:trPr>
        <w:tc>
          <w:tcPr>
            <w:tcW w:w="5080" w:type="dxa"/>
            <w:vAlign w:val="bottom"/>
          </w:tcPr>
          <w:p>
            <w:pPr>
              <w:jc w:val="center"/>
              <w:ind w:right="1599"/>
              <w:spacing w:after="0"/>
              <w:rPr>
                <w:sz w:val="20"/>
                <w:szCs w:val="20"/>
                <w:color w:val="auto"/>
              </w:rPr>
            </w:pPr>
            <w:r>
              <w:rPr>
                <w:rFonts w:ascii="Times New Roman" w:cs="Times New Roman" w:eastAsia="Times New Roman" w:hAnsi="Times New Roman"/>
                <w:sz w:val="18"/>
                <w:szCs w:val="18"/>
                <w:b w:val="1"/>
                <w:bCs w:val="1"/>
                <w:color w:val="auto"/>
                <w:w w:val="99"/>
              </w:rPr>
              <w:t>311 ENTERPRISE DRIVE</w:t>
            </w:r>
          </w:p>
        </w:tc>
        <w:tc>
          <w:tcPr>
            <w:tcW w:w="3260" w:type="dxa"/>
            <w:vAlign w:val="bottom"/>
          </w:tcPr>
          <w:p>
            <w:pPr>
              <w:spacing w:after="0"/>
              <w:rPr>
                <w:sz w:val="24"/>
                <w:szCs w:val="24"/>
                <w:color w:val="auto"/>
              </w:rPr>
            </w:pPr>
          </w:p>
        </w:tc>
      </w:tr>
      <w:tr>
        <w:trPr>
          <w:trHeight w:val="238"/>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8"/>
                <w:szCs w:val="18"/>
                <w:b w:val="1"/>
                <w:bCs w:val="1"/>
                <w:color w:val="auto"/>
              </w:rPr>
              <w:t>PLAINSBORO, NEW JERSEY</w:t>
            </w:r>
          </w:p>
        </w:tc>
        <w:tc>
          <w:tcPr>
            <w:tcW w:w="3260" w:type="dxa"/>
            <w:vAlign w:val="bottom"/>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08536</w:t>
            </w:r>
          </w:p>
        </w:tc>
      </w:tr>
      <w:tr>
        <w:trPr>
          <w:trHeight w:val="220"/>
        </w:trPr>
        <w:tc>
          <w:tcPr>
            <w:tcW w:w="5080" w:type="dxa"/>
            <w:vAlign w:val="bottom"/>
          </w:tcPr>
          <w:p>
            <w:pPr>
              <w:jc w:val="center"/>
              <w:ind w:right="16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(609) 275-0500</w:t>
      </w: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tabs>
          <w:tab w:leader="none" w:pos="680" w:val="left"/>
          <w:tab w:leader="none" w:pos="1240" w:val="left"/>
        </w:tabs>
        <w:rPr>
          <w:sz w:val="20"/>
          <w:szCs w:val="20"/>
          <w:color w:val="auto"/>
        </w:rPr>
      </w:pPr>
      <w:r>
        <w:rPr>
          <w:rFonts w:ascii="Times New Roman" w:cs="Times New Roman" w:eastAsia="Times New Roman" w:hAnsi="Times New Roman"/>
          <w:sz w:val="16"/>
          <w:szCs w:val="16"/>
          <w:color w:val="auto"/>
        </w:rPr>
        <w:t>90 days.</w:t>
        <w:tab/>
        <w:t>Yes x</w:t>
        <w:tab/>
        <w:t>No o</w:t>
      </w:r>
    </w:p>
    <w:p>
      <w:pPr>
        <w:spacing w:after="0" w:line="149" w:lineRule="exact"/>
        <w:rPr>
          <w:sz w:val="24"/>
          <w:szCs w:val="24"/>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4"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1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Large accelerated filer</w:t>
            </w:r>
          </w:p>
        </w:tc>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x</w:t>
            </w: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Accelerated filer</w:t>
            </w:r>
          </w:p>
        </w:tc>
        <w:tc>
          <w:tcPr>
            <w:tcW w:w="48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74"/>
              </w:rPr>
              <w:t>o</w:t>
            </w:r>
          </w:p>
        </w:tc>
      </w:tr>
      <w:tr>
        <w:trPr>
          <w:trHeight w:val="446"/>
        </w:trPr>
        <w:tc>
          <w:tcPr>
            <w:tcW w:w="17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Non-accelerated filer</w:t>
            </w:r>
          </w:p>
        </w:tc>
        <w:tc>
          <w:tcPr>
            <w:tcW w:w="62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 (Do not check if a smaller reporting company)</w:t>
            </w:r>
          </w:p>
        </w:tc>
        <w:tc>
          <w:tcPr>
            <w:tcW w:w="22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80" w:type="dxa"/>
            <w:vAlign w:val="bottom"/>
          </w:tcPr>
          <w:p>
            <w:pPr>
              <w:ind w:left="400"/>
              <w:spacing w:after="0"/>
              <w:rPr>
                <w:sz w:val="20"/>
                <w:szCs w:val="20"/>
                <w:color w:val="auto"/>
              </w:rPr>
            </w:pPr>
            <w:r>
              <w:rPr>
                <w:rFonts w:ascii="Times New Roman" w:cs="Times New Roman" w:eastAsia="Times New Roman" w:hAnsi="Times New Roman"/>
                <w:sz w:val="16"/>
                <w:szCs w:val="16"/>
                <w:color w:val="auto"/>
                <w:w w:val="74"/>
              </w:rPr>
              <w:t>o</w:t>
            </w:r>
          </w:p>
        </w:tc>
      </w:tr>
      <w:tr>
        <w:trPr>
          <w:trHeight w:val="410"/>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  Yes o</w:t>
            </w:r>
          </w:p>
        </w:tc>
        <w:tc>
          <w:tcPr>
            <w:tcW w:w="2240" w:type="dxa"/>
            <w:vAlign w:val="bottom"/>
          </w:tcPr>
          <w:p>
            <w:pPr>
              <w:ind w:left="60"/>
              <w:spacing w:after="0" w:line="184" w:lineRule="exact"/>
              <w:rPr>
                <w:sz w:val="20"/>
                <w:szCs w:val="20"/>
                <w:color w:val="auto"/>
              </w:rPr>
            </w:pP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r>
        <w:trPr>
          <w:trHeight w:val="333"/>
        </w:trPr>
        <w:tc>
          <w:tcPr>
            <w:tcW w:w="80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The number of shares of the registrant’s Common Stock, $0.01 par value, outstanding as of July 26, 2016 was 37,360,514.</w:t>
            </w:r>
          </w:p>
        </w:tc>
        <w:tc>
          <w:tcPr>
            <w:tcW w:w="224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ectPr>
          <w:pgSz w:w="11900" w:h="16838" w:orient="portrait"/>
          <w:cols w:equalWidth="0" w:num="1">
            <w:col w:w="11420"/>
          </w:cols>
          <w:pgMar w:left="240" w:top="507" w:right="2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60" w:type="dxa"/>
            <w:vAlign w:val="bottom"/>
            <w:gridSpan w:val="6"/>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INTEGRA LIFESCIENCES HOLDINGS CORPORATION</w:t>
            </w: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740" w:type="dxa"/>
            <w:vAlign w:val="bottom"/>
            <w:gridSpan w:val="4"/>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2"/>
        </w:trPr>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212"/>
        </w:trPr>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Number</w:t>
            </w:r>
          </w:p>
        </w:tc>
        <w:tc>
          <w:tcPr>
            <w:tcW w:w="0" w:type="dxa"/>
            <w:vAlign w:val="bottom"/>
          </w:tcPr>
          <w:p>
            <w:pPr>
              <w:spacing w:after="0"/>
              <w:rPr>
                <w:sz w:val="1"/>
                <w:szCs w:val="1"/>
                <w:color w:val="auto"/>
              </w:rPr>
            </w:pPr>
          </w:p>
        </w:tc>
      </w:tr>
      <w:tr>
        <w:trPr>
          <w:trHeight w:val="33"/>
        </w:trPr>
        <w:tc>
          <w:tcPr>
            <w:tcW w:w="10140" w:type="dxa"/>
            <w:vAlign w:val="bottom"/>
            <w:gridSpan w:val="14"/>
            <w:vMerge w:val="restart"/>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4"/>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8"/>
          </w:tcPr>
          <w:p>
            <w:pPr>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Item 1. Financial Statements</w:t>
              </w:r>
            </w:hyperlink>
          </w:p>
        </w:tc>
        <w:tc>
          <w:tcPr>
            <w:tcW w:w="7560" w:type="dxa"/>
            <w:vAlign w:val="bottom"/>
            <w:gridSpan w:val="6"/>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3</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Condensed Consolidated Statements of Operations and Comprehensive Income (Loss) for the three and six months ended June 30, 2016 and 2015</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780" w:type="dxa"/>
            <w:vAlign w:val="bottom"/>
            <w:tcBorders>
              <w:top w:val="single" w:sz="8" w:color="0000FF"/>
            </w:tcBorders>
          </w:tcPr>
          <w:p>
            <w:pPr>
              <w:spacing w:after="0" w:line="183" w:lineRule="exact"/>
              <w:rPr>
                <w:sz w:val="20"/>
                <w:szCs w:val="20"/>
                <w:color w:val="auto"/>
              </w:rPr>
            </w:pPr>
            <w:r>
              <w:rPr>
                <w:rFonts w:ascii="Times New Roman" w:cs="Times New Roman" w:eastAsia="Times New Roman" w:hAnsi="Times New Roman"/>
                <w:sz w:val="16"/>
                <w:szCs w:val="16"/>
                <w:color w:val="0000FF"/>
                <w:w w:val="98"/>
              </w:rPr>
              <w:t>(Unaudited)</w:t>
            </w:r>
          </w:p>
        </w:tc>
        <w:tc>
          <w:tcPr>
            <w:tcW w:w="8680" w:type="dxa"/>
            <w:vAlign w:val="bottom"/>
            <w:tcBorders>
              <w:top w:val="single" w:sz="8" w:color="0000FF"/>
            </w:tcBorders>
            <w:gridSpan w:val="12"/>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gridSpan w:val="4"/>
          </w:tcPr>
          <w:p>
            <w:pPr>
              <w:jc w:val="right"/>
              <w:ind w:right="20"/>
              <w:spacing w:after="0" w:line="183" w:lineRule="exact"/>
              <w:rPr>
                <w:rFonts w:ascii="Times New Roman" w:cs="Times New Roman" w:eastAsia="Times New Roman" w:hAnsi="Times New Roman"/>
                <w:sz w:val="16"/>
                <w:szCs w:val="16"/>
                <w:color w:val="0000FF"/>
              </w:rPr>
            </w:pPr>
            <w:hyperlink w:anchor="page3">
              <w:r>
                <w:rPr>
                  <w:rFonts w:ascii="Times New Roman" w:cs="Times New Roman" w:eastAsia="Times New Roman" w:hAnsi="Times New Roman"/>
                  <w:sz w:val="16"/>
                  <w:szCs w:val="16"/>
                  <w:color w:val="0000FF"/>
                </w:rPr>
                <w:t>3</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4"/>
          </w:tcPr>
          <w:p>
            <w:pPr>
              <w:spacing w:after="0"/>
              <w:rPr>
                <w:sz w:val="20"/>
                <w:szCs w:val="20"/>
                <w:color w:val="auto"/>
              </w:rPr>
            </w:pPr>
            <w:r>
              <w:rPr>
                <w:rFonts w:ascii="Times New Roman" w:cs="Times New Roman" w:eastAsia="Times New Roman" w:hAnsi="Times New Roman"/>
                <w:sz w:val="16"/>
                <w:szCs w:val="16"/>
                <w:color w:val="0000FF"/>
              </w:rPr>
              <w:t>Condensed Consolidated Balance Sheets as of June 30, 2016 and December 31, 2015 (Unaudited)</w:t>
            </w: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4">
              <w:r>
                <w:rPr>
                  <w:rFonts w:ascii="Times New Roman" w:cs="Times New Roman" w:eastAsia="Times New Roman" w:hAnsi="Times New Roman"/>
                  <w:sz w:val="16"/>
                  <w:szCs w:val="16"/>
                  <w:color w:val="0000FF"/>
                </w:rPr>
                <w:t>4</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Condensed Consolidated Statements of Cash Flows for the six months ended June 30, 2016 and 2015 (Unaudited)</w:t>
            </w:r>
          </w:p>
        </w:tc>
        <w:tc>
          <w:tcPr>
            <w:tcW w:w="274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5">
              <w:r>
                <w:rPr>
                  <w:rFonts w:ascii="Times New Roman" w:cs="Times New Roman" w:eastAsia="Times New Roman" w:hAnsi="Times New Roman"/>
                  <w:sz w:val="16"/>
                  <w:szCs w:val="16"/>
                  <w:color w:val="0000FF"/>
                </w:rPr>
                <w:t>5</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tcBorders>
              <w:left w:val="single" w:sz="8" w:color="0000FF"/>
            </w:tcBorders>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400" w:type="dxa"/>
            <w:vAlign w:val="bottom"/>
            <w:gridSpan w:val="12"/>
          </w:tcPr>
          <w:p>
            <w:pPr>
              <w:spacing w:after="0"/>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Notes to Unaudited Condensed Consolidated Financial Statements</w:t>
              </w:r>
            </w:hyperlink>
          </w:p>
        </w:tc>
        <w:tc>
          <w:tcPr>
            <w:tcW w:w="274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6">
              <w:r>
                <w:rPr>
                  <w:rFonts w:ascii="Times New Roman" w:cs="Times New Roman" w:eastAsia="Times New Roman" w:hAnsi="Times New Roman"/>
                  <w:sz w:val="16"/>
                  <w:szCs w:val="16"/>
                  <w:color w:val="0000FF"/>
                </w:rPr>
                <w:t>6</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1"/>
          </w:tcPr>
          <w:p>
            <w:pPr>
              <w:spacing w:after="0"/>
              <w:rPr>
                <w:rFonts w:ascii="Times New Roman" w:cs="Times New Roman" w:eastAsia="Times New Roman" w:hAnsi="Times New Roman"/>
                <w:sz w:val="16"/>
                <w:szCs w:val="16"/>
                <w:color w:val="0000FF"/>
              </w:rPr>
            </w:pPr>
            <w:hyperlink w:anchor="page23">
              <w:r>
                <w:rPr>
                  <w:rFonts w:ascii="Times New Roman" w:cs="Times New Roman" w:eastAsia="Times New Roman" w:hAnsi="Times New Roman"/>
                  <w:sz w:val="16"/>
                  <w:szCs w:val="16"/>
                  <w:color w:val="0000FF"/>
                </w:rPr>
                <w:t>Item 2. Management’s Discussion and Analysis of Financial Condition and Results of Operations</w:t>
              </w:r>
            </w:hyperlink>
          </w:p>
        </w:tc>
        <w:tc>
          <w:tcPr>
            <w:tcW w:w="382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23">
              <w:r>
                <w:rPr>
                  <w:rFonts w:ascii="Times New Roman" w:cs="Times New Roman" w:eastAsia="Times New Roman" w:hAnsi="Times New Roman"/>
                  <w:sz w:val="16"/>
                  <w:szCs w:val="16"/>
                  <w:color w:val="0000FF"/>
                </w:rPr>
                <w:t>23</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Times New Roman" w:cs="Times New Roman" w:eastAsia="Times New Roman" w:hAnsi="Times New Roman"/>
                <w:sz w:val="16"/>
                <w:szCs w:val="16"/>
                <w:color w:val="0000FF"/>
                <w:w w:val="99"/>
              </w:rPr>
            </w:pPr>
            <w:hyperlink w:anchor="page35">
              <w:r>
                <w:rPr>
                  <w:rFonts w:ascii="Times New Roman" w:cs="Times New Roman" w:eastAsia="Times New Roman" w:hAnsi="Times New Roman"/>
                  <w:sz w:val="16"/>
                  <w:szCs w:val="16"/>
                  <w:color w:val="0000FF"/>
                  <w:w w:val="99"/>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3"/>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35</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Item 4. Controls and Procedures</w:t>
              </w:r>
            </w:hyperlink>
          </w:p>
        </w:tc>
        <w:tc>
          <w:tcPr>
            <w:tcW w:w="574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5">
              <w:r>
                <w:rPr>
                  <w:rFonts w:ascii="Times New Roman" w:cs="Times New Roman" w:eastAsia="Times New Roman" w:hAnsi="Times New Roman"/>
                  <w:sz w:val="16"/>
                  <w:szCs w:val="16"/>
                  <w:color w:val="0000FF"/>
                </w:rPr>
                <w:t>35</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7"/>
          </w:tcPr>
          <w:p>
            <w:pPr>
              <w:spacing w:after="0"/>
              <w:rPr>
                <w:rFonts w:ascii="Times New Roman" w:cs="Times New Roman" w:eastAsia="Times New Roman" w:hAnsi="Times New Roman"/>
                <w:sz w:val="16"/>
                <w:szCs w:val="16"/>
                <w:color w:val="0000FF"/>
                <w:w w:val="98"/>
              </w:rPr>
            </w:pPr>
            <w:hyperlink w:anchor="page37">
              <w:r>
                <w:rPr>
                  <w:rFonts w:ascii="Times New Roman" w:cs="Times New Roman" w:eastAsia="Times New Roman" w:hAnsi="Times New Roman"/>
                  <w:sz w:val="16"/>
                  <w:szCs w:val="16"/>
                  <w:color w:val="0000FF"/>
                  <w:w w:val="98"/>
                </w:rPr>
                <w:t>PART II. OTHER INFORMATION</w:t>
              </w:r>
            </w:hyperlink>
          </w:p>
        </w:tc>
        <w:tc>
          <w:tcPr>
            <w:tcW w:w="7820" w:type="dxa"/>
            <w:vAlign w:val="bottom"/>
            <w:gridSpan w:val="7"/>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4"/>
          </w:tcPr>
          <w:p>
            <w:pPr>
              <w:spacing w:after="0"/>
              <w:rPr>
                <w:rFonts w:ascii="Times New Roman" w:cs="Times New Roman" w:eastAsia="Times New Roman" w:hAnsi="Times New Roman"/>
                <w:sz w:val="16"/>
                <w:szCs w:val="16"/>
                <w:color w:val="0000FF"/>
                <w:w w:val="97"/>
              </w:rPr>
            </w:pPr>
            <w:hyperlink w:anchor="page37">
              <w:r>
                <w:rPr>
                  <w:rFonts w:ascii="Times New Roman" w:cs="Times New Roman" w:eastAsia="Times New Roman" w:hAnsi="Times New Roman"/>
                  <w:sz w:val="16"/>
                  <w:szCs w:val="16"/>
                  <w:color w:val="0000FF"/>
                  <w:w w:val="97"/>
                </w:rPr>
                <w:t>Item 1. Legal Proceedings</w:t>
              </w:r>
            </w:hyperlink>
          </w:p>
        </w:tc>
        <w:tc>
          <w:tcPr>
            <w:tcW w:w="8460" w:type="dxa"/>
            <w:vAlign w:val="bottom"/>
            <w:gridSpan w:val="10"/>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7">
              <w:r>
                <w:rPr>
                  <w:rFonts w:ascii="Times New Roman" w:cs="Times New Roman" w:eastAsia="Times New Roman" w:hAnsi="Times New Roman"/>
                  <w:sz w:val="16"/>
                  <w:szCs w:val="16"/>
                  <w:color w:val="0000FF"/>
                </w:rPr>
                <w:t>37</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4"/>
          </w:tcPr>
          <w:p>
            <w:pPr>
              <w:spacing w:after="0"/>
              <w:rPr>
                <w:rFonts w:ascii="Times New Roman" w:cs="Times New Roman" w:eastAsia="Times New Roman" w:hAnsi="Times New Roman"/>
                <w:sz w:val="16"/>
                <w:szCs w:val="16"/>
                <w:color w:val="0000FF"/>
              </w:rPr>
            </w:pPr>
            <w:hyperlink w:anchor="page37">
              <w:r>
                <w:rPr>
                  <w:rFonts w:ascii="Times New Roman" w:cs="Times New Roman" w:eastAsia="Times New Roman" w:hAnsi="Times New Roman"/>
                  <w:sz w:val="16"/>
                  <w:szCs w:val="16"/>
                  <w:color w:val="0000FF"/>
                </w:rPr>
                <w:t>Item 1A. Risk Factors</w:t>
              </w:r>
            </w:hyperlink>
          </w:p>
        </w:tc>
        <w:tc>
          <w:tcPr>
            <w:tcW w:w="8460" w:type="dxa"/>
            <w:vAlign w:val="bottom"/>
            <w:gridSpan w:val="10"/>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7">
              <w:r>
                <w:rPr>
                  <w:rFonts w:ascii="Times New Roman" w:cs="Times New Roman" w:eastAsia="Times New Roman" w:hAnsi="Times New Roman"/>
                  <w:sz w:val="16"/>
                  <w:szCs w:val="16"/>
                  <w:color w:val="0000FF"/>
                </w:rPr>
                <w:t>37</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4"/>
          </w:tcPr>
          <w:p>
            <w:pPr>
              <w:spacing w:after="0"/>
              <w:rPr>
                <w:rFonts w:ascii="Times New Roman" w:cs="Times New Roman" w:eastAsia="Times New Roman" w:hAnsi="Times New Roman"/>
                <w:sz w:val="16"/>
                <w:szCs w:val="16"/>
                <w:color w:val="0000FF"/>
              </w:rPr>
            </w:pPr>
            <w:hyperlink w:anchor="page37">
              <w:r>
                <w:rPr>
                  <w:rFonts w:ascii="Times New Roman" w:cs="Times New Roman" w:eastAsia="Times New Roman" w:hAnsi="Times New Roman"/>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7">
              <w:r>
                <w:rPr>
                  <w:rFonts w:ascii="Times New Roman" w:cs="Times New Roman" w:eastAsia="Times New Roman" w:hAnsi="Times New Roman"/>
                  <w:sz w:val="16"/>
                  <w:szCs w:val="16"/>
                  <w:color w:val="0000FF"/>
                </w:rPr>
                <w:t>37</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10"/>
          </w:tcPr>
          <w:p>
            <w:pPr>
              <w:spacing w:after="0"/>
              <w:rPr>
                <w:rFonts w:ascii="Times New Roman" w:cs="Times New Roman" w:eastAsia="Times New Roman" w:hAnsi="Times New Roman"/>
                <w:sz w:val="16"/>
                <w:szCs w:val="16"/>
                <w:color w:val="0000FF"/>
              </w:rPr>
            </w:pPr>
            <w:hyperlink w:anchor="page37">
              <w:r>
                <w:rPr>
                  <w:rFonts w:ascii="Times New Roman" w:cs="Times New Roman" w:eastAsia="Times New Roman" w:hAnsi="Times New Roman"/>
                  <w:sz w:val="16"/>
                  <w:szCs w:val="16"/>
                  <w:color w:val="0000FF"/>
                </w:rPr>
                <w:t>Item 4. Mine Safety Disclosures</w:t>
              </w:r>
            </w:hyperlink>
          </w:p>
        </w:tc>
        <w:tc>
          <w:tcPr>
            <w:tcW w:w="574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7">
              <w:r>
                <w:rPr>
                  <w:rFonts w:ascii="Times New Roman" w:cs="Times New Roman" w:eastAsia="Times New Roman" w:hAnsi="Times New Roman"/>
                  <w:sz w:val="16"/>
                  <w:szCs w:val="16"/>
                  <w:color w:val="0000FF"/>
                </w:rPr>
                <w:t>37</w:t>
              </w:r>
            </w:hyperlink>
          </w:p>
        </w:tc>
        <w:tc>
          <w:tcPr>
            <w:tcW w:w="0" w:type="dxa"/>
            <w:vAlign w:val="bottom"/>
          </w:tcPr>
          <w:p>
            <w:pPr>
              <w:spacing w:after="0"/>
              <w:rPr>
                <w:sz w:val="1"/>
                <w:szCs w:val="1"/>
                <w:color w:val="auto"/>
              </w:rPr>
            </w:pPr>
          </w:p>
        </w:tc>
      </w:tr>
      <w:tr>
        <w:trPr>
          <w:trHeight w:val="20"/>
        </w:trPr>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4"/>
          </w:tcPr>
          <w:p>
            <w:pPr>
              <w:spacing w:after="0"/>
              <w:rPr>
                <w:sz w:val="20"/>
                <w:szCs w:val="20"/>
                <w:color w:val="auto"/>
              </w:rPr>
            </w:pPr>
            <w:r>
              <w:rPr>
                <w:rFonts w:ascii="Times New Roman" w:cs="Times New Roman" w:eastAsia="Times New Roman" w:hAnsi="Times New Roman"/>
                <w:sz w:val="16"/>
                <w:szCs w:val="16"/>
                <w:color w:val="0000FF"/>
                <w:w w:val="98"/>
              </w:rPr>
              <w:t>Item 5. Other Information</w:t>
            </w:r>
          </w:p>
        </w:tc>
        <w:tc>
          <w:tcPr>
            <w:tcW w:w="400" w:type="dxa"/>
            <w:vAlign w:val="bottom"/>
            <w:gridSpan w:val="2"/>
          </w:tcPr>
          <w:p>
            <w:pPr>
              <w:spacing w:after="0"/>
              <w:rPr>
                <w:sz w:val="24"/>
                <w:szCs w:val="24"/>
                <w:color w:val="auto"/>
              </w:rPr>
            </w:pPr>
          </w:p>
        </w:tc>
        <w:tc>
          <w:tcPr>
            <w:tcW w:w="8060" w:type="dxa"/>
            <w:vAlign w:val="bottom"/>
            <w:gridSpan w:val="8"/>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7">
              <w:r>
                <w:rPr>
                  <w:rFonts w:ascii="Times New Roman" w:cs="Times New Roman" w:eastAsia="Times New Roman" w:hAnsi="Times New Roman"/>
                  <w:sz w:val="16"/>
                  <w:szCs w:val="16"/>
                  <w:color w:val="0000FF"/>
                </w:rPr>
                <w:t>37</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8460" w:type="dxa"/>
            <w:vAlign w:val="bottom"/>
            <w:gridSpan w:val="1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gridSpan w:val="2"/>
          </w:tcPr>
          <w:p>
            <w:pPr>
              <w:spacing w:after="0"/>
              <w:rPr>
                <w:rFonts w:ascii="Times New Roman" w:cs="Times New Roman" w:eastAsia="Times New Roman" w:hAnsi="Times New Roman"/>
                <w:sz w:val="16"/>
                <w:szCs w:val="16"/>
                <w:color w:val="0000FF"/>
                <w:w w:val="91"/>
              </w:rPr>
            </w:pPr>
            <w:hyperlink w:anchor="page38">
              <w:r>
                <w:rPr>
                  <w:rFonts w:ascii="Times New Roman" w:cs="Times New Roman" w:eastAsia="Times New Roman" w:hAnsi="Times New Roman"/>
                  <w:sz w:val="16"/>
                  <w:szCs w:val="16"/>
                  <w:color w:val="0000FF"/>
                  <w:w w:val="91"/>
                </w:rPr>
                <w:t>Item 6. Exhibits</w:t>
              </w:r>
            </w:hyperlink>
          </w:p>
        </w:tc>
        <w:tc>
          <w:tcPr>
            <w:tcW w:w="700" w:type="dxa"/>
            <w:vAlign w:val="bottom"/>
            <w:gridSpan w:val="2"/>
          </w:tcPr>
          <w:p>
            <w:pPr>
              <w:spacing w:after="0"/>
              <w:rPr>
                <w:sz w:val="24"/>
                <w:szCs w:val="24"/>
                <w:color w:val="auto"/>
              </w:rPr>
            </w:pPr>
          </w:p>
        </w:tc>
        <w:tc>
          <w:tcPr>
            <w:tcW w:w="8460" w:type="dxa"/>
            <w:vAlign w:val="bottom"/>
            <w:gridSpan w:val="10"/>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8">
              <w:r>
                <w:rPr>
                  <w:rFonts w:ascii="Times New Roman" w:cs="Times New Roman" w:eastAsia="Times New Roman" w:hAnsi="Times New Roman"/>
                  <w:sz w:val="16"/>
                  <w:szCs w:val="16"/>
                  <w:color w:val="0000FF"/>
                </w:rPr>
                <w:t>38</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9160" w:type="dxa"/>
            <w:vAlign w:val="bottom"/>
            <w:tcBorders>
              <w:left w:val="single" w:sz="8" w:color="0000FF"/>
            </w:tcBorders>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gridSpan w:val="2"/>
          </w:tcPr>
          <w:p>
            <w:pPr>
              <w:spacing w:after="0"/>
              <w:rPr>
                <w:rFonts w:ascii="Times New Roman" w:cs="Times New Roman" w:eastAsia="Times New Roman" w:hAnsi="Times New Roman"/>
                <w:sz w:val="16"/>
                <w:szCs w:val="16"/>
                <w:color w:val="0000FF"/>
                <w:w w:val="94"/>
              </w:rPr>
            </w:pPr>
            <w:hyperlink w:anchor="page39">
              <w:r>
                <w:rPr>
                  <w:rFonts w:ascii="Times New Roman" w:cs="Times New Roman" w:eastAsia="Times New Roman" w:hAnsi="Times New Roman"/>
                  <w:sz w:val="16"/>
                  <w:szCs w:val="16"/>
                  <w:color w:val="0000FF"/>
                  <w:w w:val="94"/>
                </w:rPr>
                <w:t>SIGNATURES</w:t>
              </w:r>
            </w:hyperlink>
          </w:p>
        </w:tc>
        <w:tc>
          <w:tcPr>
            <w:tcW w:w="9160" w:type="dxa"/>
            <w:vAlign w:val="bottom"/>
            <w:gridSpan w:val="12"/>
          </w:tcPr>
          <w:p>
            <w:pPr>
              <w:spacing w:after="0"/>
              <w:rPr>
                <w:sz w:val="24"/>
                <w:szCs w:val="24"/>
                <w:color w:val="auto"/>
              </w:rPr>
            </w:pPr>
          </w:p>
        </w:tc>
        <w:tc>
          <w:tcPr>
            <w:tcW w:w="1240" w:type="dxa"/>
            <w:vAlign w:val="bottom"/>
            <w:gridSpan w:val="4"/>
          </w:tcPr>
          <w:p>
            <w:pPr>
              <w:jc w:val="right"/>
              <w:ind w:right="20"/>
              <w:spacing w:after="0"/>
              <w:rPr>
                <w:rFonts w:ascii="Times New Roman" w:cs="Times New Roman" w:eastAsia="Times New Roman" w:hAnsi="Times New Roman"/>
                <w:sz w:val="16"/>
                <w:szCs w:val="16"/>
                <w:color w:val="0000FF"/>
              </w:rPr>
            </w:pPr>
            <w:hyperlink w:anchor="page39">
              <w:r>
                <w:rPr>
                  <w:rFonts w:ascii="Times New Roman" w:cs="Times New Roman" w:eastAsia="Times New Roman" w:hAnsi="Times New Roman"/>
                  <w:sz w:val="16"/>
                  <w:szCs w:val="16"/>
                  <w:color w:val="0000FF"/>
                </w:rPr>
                <w:t>39</w:t>
              </w:r>
            </w:hyperlink>
          </w:p>
        </w:tc>
        <w:tc>
          <w:tcPr>
            <w:tcW w:w="0" w:type="dxa"/>
            <w:vAlign w:val="bottom"/>
          </w:tcPr>
          <w:p>
            <w:pPr>
              <w:spacing w:after="0"/>
              <w:rPr>
                <w:sz w:val="1"/>
                <w:szCs w:val="1"/>
                <w:color w:val="auto"/>
              </w:rPr>
            </w:pPr>
          </w:p>
        </w:tc>
      </w:tr>
      <w:tr>
        <w:trPr>
          <w:trHeight w:val="20"/>
        </w:trPr>
        <w:tc>
          <w:tcPr>
            <w:tcW w:w="980" w:type="dxa"/>
            <w:vAlign w:val="bottom"/>
            <w:gridSpan w:val="2"/>
            <w:shd w:val="clear" w:color="auto" w:fill="0000FF"/>
          </w:tcPr>
          <w:p>
            <w:pPr>
              <w:spacing w:after="0" w:line="20" w:lineRule="exact"/>
              <w:rPr>
                <w:sz w:val="1"/>
                <w:szCs w:val="1"/>
                <w:color w:val="auto"/>
              </w:rPr>
            </w:pPr>
          </w:p>
        </w:tc>
        <w:tc>
          <w:tcPr>
            <w:tcW w:w="9160" w:type="dxa"/>
            <w:vAlign w:val="bottom"/>
            <w:gridSpan w:val="1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0140" w:type="dxa"/>
            <w:vAlign w:val="bottom"/>
            <w:gridSpan w:val="14"/>
          </w:tcPr>
          <w:p>
            <w:pPr>
              <w:ind w:left="340"/>
              <w:spacing w:after="0"/>
              <w:rPr>
                <w:sz w:val="20"/>
                <w:szCs w:val="20"/>
                <w:color w:val="auto"/>
              </w:rPr>
            </w:pPr>
            <w:r>
              <w:rPr>
                <w:rFonts w:ascii="Times New Roman" w:cs="Times New Roman" w:eastAsia="Times New Roman" w:hAnsi="Times New Roman"/>
                <w:sz w:val="16"/>
                <w:szCs w:val="16"/>
                <w:color w:val="auto"/>
              </w:rPr>
              <w:t>Exhibit 31.1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Times New Roman" w:cs="Times New Roman" w:eastAsia="Times New Roman" w:hAnsi="Times New Roman"/>
                <w:sz w:val="16"/>
                <w:szCs w:val="16"/>
                <w:color w:val="auto"/>
              </w:rPr>
              <w:t>Exhibit 31.2</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Times New Roman" w:cs="Times New Roman" w:eastAsia="Times New Roman" w:hAnsi="Times New Roman"/>
                <w:sz w:val="16"/>
                <w:szCs w:val="16"/>
                <w:color w:val="auto"/>
              </w:rPr>
              <w:t>Exhibit 32.1</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Exhibit 32.2</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INSTANCE DOCUMENT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EX-101 PRESENTATION LINKBASE DOCUMENT</w:t>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60" w:type="dxa"/>
            <w:vAlign w:val="bottom"/>
          </w:tcPr>
          <w:p>
            <w:pPr>
              <w:spacing w:after="0"/>
              <w:rPr>
                <w:sz w:val="16"/>
                <w:szCs w:val="16"/>
                <w:color w:val="auto"/>
              </w:rPr>
            </w:pPr>
          </w:p>
        </w:tc>
        <w:tc>
          <w:tcPr>
            <w:tcW w:w="2220" w:type="dxa"/>
            <w:vAlign w:val="bottom"/>
            <w:gridSpan w:val="4"/>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61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top w:val="single" w:sz="8" w:color="auto"/>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69"/>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249,309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212,673</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486,079</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415,207</w:t>
            </w:r>
          </w:p>
        </w:tc>
      </w:tr>
      <w:tr>
        <w:trPr>
          <w:trHeight w:val="237"/>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Costs and expenses: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89,565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75,251</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174,338</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150,472</w:t>
            </w:r>
          </w:p>
        </w:tc>
      </w:tr>
      <w:tr>
        <w:trPr>
          <w:trHeight w:val="243"/>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14,679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12,012</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29,130</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23,091</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119,217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99,318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231,192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192,583</w:t>
            </w:r>
          </w:p>
        </w:tc>
      </w:tr>
      <w:tr>
        <w:trPr>
          <w:trHeight w:val="243"/>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3,471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1,747</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6,943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3,476</w:t>
            </w:r>
          </w:p>
        </w:tc>
      </w:tr>
      <w:tr>
        <w:trPr>
          <w:trHeight w:val="27"/>
        </w:trPr>
        <w:tc>
          <w:tcPr>
            <w:tcW w:w="6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226,932</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188,328</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441,603</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369,622</w:t>
            </w:r>
          </w:p>
        </w:tc>
      </w:tr>
      <w:tr>
        <w:trPr>
          <w:trHeight w:val="237"/>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22,377</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24,345</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44,476</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45,585</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(10,957)</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1,157</w:t>
            </w:r>
          </w:p>
        </w:tc>
      </w:tr>
      <w:tr>
        <w:trPr>
          <w:trHeight w:val="237"/>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continuing operations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14,943</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18,008</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29,937</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35,798</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2,188</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5,988</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3,764</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12,046</w:t>
            </w:r>
          </w:p>
        </w:tc>
      </w:tr>
      <w:tr>
        <w:trPr>
          <w:trHeight w:val="237"/>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Income from continuing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12,755</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12,020</w:t>
            </w:r>
          </w:p>
        </w:tc>
        <w:tc>
          <w:tcPr>
            <w:tcW w:w="2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26,173</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23,752</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discontinued operations (net of tax benefit)</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r>
      <w:tr>
        <w:trPr>
          <w:trHeight w:val="297"/>
        </w:trPr>
        <w:tc>
          <w:tcPr>
            <w:tcW w:w="61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12,755</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4,998</w:t>
            </w:r>
          </w:p>
        </w:tc>
        <w:tc>
          <w:tcPr>
            <w:tcW w:w="2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26,173</w:t>
            </w:r>
          </w:p>
        </w:tc>
        <w:tc>
          <w:tcPr>
            <w:tcW w:w="2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13,382</w:t>
            </w:r>
          </w:p>
        </w:tc>
      </w:tr>
      <w:tr>
        <w:trPr>
          <w:trHeight w:val="311"/>
        </w:trPr>
        <w:tc>
          <w:tcPr>
            <w:tcW w:w="6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0.36</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0.72</w:t>
            </w:r>
          </w:p>
        </w:tc>
      </w:tr>
      <w:tr>
        <w:trPr>
          <w:trHeight w:val="243"/>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40" w:type="dxa"/>
            <w:vAlign w:val="bottom"/>
          </w:tcPr>
          <w:p>
            <w:pPr>
              <w:spacing w:after="0"/>
              <w:rPr>
                <w:sz w:val="21"/>
                <w:szCs w:val="21"/>
                <w:color w:val="auto"/>
              </w:rPr>
            </w:pPr>
          </w:p>
        </w:tc>
        <w:tc>
          <w:tcPr>
            <w:tcW w:w="1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7"/>
        </w:trPr>
        <w:tc>
          <w:tcPr>
            <w:tcW w:w="6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per share - 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0.34</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0.15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0.40</w:t>
            </w:r>
          </w:p>
        </w:tc>
      </w:tr>
      <w:tr>
        <w:trPr>
          <w:trHeight w:val="324"/>
        </w:trPr>
        <w:tc>
          <w:tcPr>
            <w:tcW w:w="6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0.32</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0.35</w:t>
            </w:r>
          </w:p>
        </w:tc>
        <w:tc>
          <w:tcPr>
            <w:tcW w:w="2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0.68</w:t>
            </w:r>
          </w:p>
        </w:tc>
        <w:tc>
          <w:tcPr>
            <w:tcW w:w="2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0.71</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37"/>
        </w:trPr>
        <w:tc>
          <w:tcPr>
            <w:tcW w:w="61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income per share - diluted</w:t>
            </w: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0.32</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0.14</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0.68</w:t>
            </w:r>
          </w:p>
        </w:tc>
        <w:tc>
          <w:tcPr>
            <w:tcW w:w="2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0.40</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61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 (See Note 11):</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37,196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33,032</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37,037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32,884</w:t>
            </w:r>
          </w:p>
        </w:tc>
      </w:tr>
      <w:tr>
        <w:trPr>
          <w:trHeight w:val="243"/>
        </w:trPr>
        <w:tc>
          <w:tcPr>
            <w:tcW w:w="6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39,355</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33,939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38,771</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33,644</w:t>
            </w:r>
          </w:p>
        </w:tc>
      </w:tr>
      <w:tr>
        <w:trPr>
          <w:trHeight w:val="27"/>
        </w:trPr>
        <w:tc>
          <w:tcPr>
            <w:tcW w:w="6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64"/>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 (See Note 12)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5,844</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12,325</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30,499</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(3,418)</w:t>
            </w:r>
          </w:p>
        </w:tc>
      </w:tr>
      <w:tr>
        <w:trPr>
          <w:trHeight w:val="20"/>
        </w:trPr>
        <w:tc>
          <w:tcPr>
            <w:tcW w:w="6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 2015</w:t>
            </w:r>
          </w:p>
        </w:tc>
      </w:tr>
      <w:tr>
        <w:trPr>
          <w:trHeight w:val="249"/>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86,803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48,132</w:t>
            </w:r>
          </w:p>
        </w:tc>
      </w:tr>
      <w:tr>
        <w:trPr>
          <w:trHeight w:val="243"/>
        </w:trPr>
        <w:tc>
          <w:tcPr>
            <w:tcW w:w="79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Restricted cash and cash equivalents</w:t>
            </w:r>
          </w:p>
        </w:tc>
        <w:tc>
          <w:tcPr>
            <w:tcW w:w="280" w:type="dxa"/>
            <w:vAlign w:val="bottom"/>
          </w:tcPr>
          <w:p>
            <w:pPr>
              <w:spacing w:after="0"/>
              <w:rPr>
                <w:sz w:val="21"/>
                <w:szCs w:val="21"/>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4,073</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Trade accounts receivable, net of allowances of $6,023 and $5,572</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145,571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132,241</w:t>
            </w:r>
          </w:p>
        </w:tc>
      </w:tr>
      <w:tr>
        <w:trPr>
          <w:trHeight w:val="237"/>
        </w:trPr>
        <w:tc>
          <w:tcPr>
            <w:tcW w:w="79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Inventories, net</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220,442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211,429</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41,170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42,620</w:t>
            </w:r>
          </w:p>
        </w:tc>
      </w:tr>
      <w:tr>
        <w:trPr>
          <w:trHeight w:val="217"/>
        </w:trPr>
        <w:tc>
          <w:tcPr>
            <w:tcW w:w="79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493,986</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438,495</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208,648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205,181</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assets, net</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583,569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603,740</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514,023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512,389</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tax assets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7,062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6,932</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6,874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7,487</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1,814,162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1,774,224</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Borrowings under senior credit facility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14,375</w:t>
            </w:r>
          </w:p>
        </w:tc>
      </w:tr>
      <w:tr>
        <w:trPr>
          <w:trHeight w:val="237"/>
        </w:trPr>
        <w:tc>
          <w:tcPr>
            <w:tcW w:w="79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Accounts payable, trade</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43,954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34,772</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Deferred revenue</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5,666</w:t>
            </w:r>
          </w:p>
        </w:tc>
      </w:tr>
      <w:tr>
        <w:trPr>
          <w:trHeight w:val="237"/>
        </w:trPr>
        <w:tc>
          <w:tcPr>
            <w:tcW w:w="79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Accrued compensation</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38,435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45,154</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38,037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39,160</w:t>
            </w:r>
          </w:p>
        </w:tc>
      </w:tr>
      <w:tr>
        <w:trPr>
          <w:trHeight w:val="217"/>
        </w:trPr>
        <w:tc>
          <w:tcPr>
            <w:tcW w:w="79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149,827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139,127</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borrowings under senior credit facility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461,250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481,875</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convertible securities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223,041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218,240</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156,337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154,891</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liabilities</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28,920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28,648</w:t>
            </w: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1,019,375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1,022,781</w:t>
            </w: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Preferred stock; no par value; 15,000 authorized shares; none outstanding</w:t>
            </w:r>
          </w:p>
        </w:tc>
        <w:tc>
          <w:tcPr>
            <w:tcW w:w="280" w:type="dxa"/>
            <w:vAlign w:val="bottom"/>
          </w:tcPr>
          <w:p>
            <w:pPr>
              <w:spacing w:after="0"/>
              <w:rPr>
                <w:sz w:val="20"/>
                <w:szCs w:val="20"/>
                <w:color w:val="auto"/>
              </w:rPr>
            </w:pPr>
          </w:p>
        </w:tc>
        <w:tc>
          <w:tcPr>
            <w:tcW w:w="15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16"/>
        </w:trPr>
        <w:tc>
          <w:tcPr>
            <w:tcW w:w="7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Common stock; $0.01 par value; 60,000 authorized shares; 46,238 and 45,857 issued at June 30, 2016 and</w:t>
            </w:r>
          </w:p>
        </w:tc>
        <w:tc>
          <w:tcPr>
            <w:tcW w:w="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23"/>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December 31, 2015, respectively</w:t>
            </w:r>
          </w:p>
        </w:tc>
        <w:tc>
          <w:tcPr>
            <w:tcW w:w="28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462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459</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20"/>
                <w:szCs w:val="20"/>
                <w:color w:val="auto"/>
              </w:rPr>
            </w:pPr>
          </w:p>
        </w:tc>
        <w:tc>
          <w:tcPr>
            <w:tcW w:w="1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1,032,970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1,020,128</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Treasury stock, at cost; 8,915 shares at June 30, 2016 and December 31, 2015</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(367,121)</w:t>
            </w:r>
          </w:p>
        </w:tc>
      </w:tr>
      <w:tr>
        <w:trPr>
          <w:trHeight w:val="237"/>
        </w:trPr>
        <w:tc>
          <w:tcPr>
            <w:tcW w:w="790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(47,902)</w:t>
            </w:r>
          </w:p>
        </w:tc>
      </w:tr>
      <w:tr>
        <w:trPr>
          <w:trHeight w:val="33"/>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172,052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145,879</w:t>
            </w:r>
          </w:p>
        </w:tc>
      </w:tr>
      <w:tr>
        <w:trPr>
          <w:trHeight w:val="21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794,787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751,443</w:t>
            </w:r>
          </w:p>
        </w:tc>
      </w:tr>
      <w:tr>
        <w:trPr>
          <w:trHeight w:val="33"/>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1,814,162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1,774,224</w:t>
            </w:r>
          </w:p>
        </w:tc>
      </w:tr>
      <w:tr>
        <w:trPr>
          <w:trHeight w:val="20"/>
        </w:trPr>
        <w:tc>
          <w:tcPr>
            <w:tcW w:w="7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(In thousands)</w:t>
      </w: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2"/>
        </w:trPr>
        <w:tc>
          <w:tcPr>
            <w:tcW w:w="78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8"/>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314"/>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20" w:type="dxa"/>
            <w:vAlign w:val="bottom"/>
            <w:vMerge w:val="restart"/>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26,173</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13,382</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Loss from discontinued operations, net of tax</w:t>
            </w:r>
          </w:p>
        </w:tc>
        <w:tc>
          <w:tcPr>
            <w:tcW w:w="420" w:type="dxa"/>
            <w:vAlign w:val="bottom"/>
            <w:shd w:val="clear" w:color="auto" w:fill="CCEEFF"/>
          </w:tcPr>
          <w:p>
            <w:pPr>
              <w:spacing w:after="0"/>
              <w:rPr>
                <w:sz w:val="16"/>
                <w:szCs w:val="16"/>
                <w:color w:val="auto"/>
              </w:rPr>
            </w:pPr>
          </w:p>
        </w:tc>
        <w:tc>
          <w:tcPr>
            <w:tcW w:w="142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10,370</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420" w:type="dxa"/>
            <w:vAlign w:val="bottom"/>
            <w:gridSpan w:val="2"/>
            <w:vMerge w:val="continue"/>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36,267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24,362</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Deferred income tax</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1,565</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1,236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1,060</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Non-cash interest expense</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4,168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3,744</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1,184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Share-based compensation</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7,897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5,419</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assets and liabilities, net of business acquisitions:</w:t>
            </w:r>
          </w:p>
        </w:tc>
        <w:tc>
          <w:tcPr>
            <w:tcW w:w="42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receivable</w:t>
            </w:r>
          </w:p>
        </w:tc>
        <w:tc>
          <w:tcPr>
            <w:tcW w:w="42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(13,525)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(5,192)</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Inventories</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(7,362)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(6,118)</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4,362</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903</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Other non-current assets</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2,237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23,951</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Deferred revenue</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2,510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42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(1,076)</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700</w:t>
            </w:r>
          </w:p>
        </w:tc>
        <w:tc>
          <w:tcPr>
            <w:tcW w:w="0" w:type="dxa"/>
            <w:vAlign w:val="bottom"/>
          </w:tcPr>
          <w:p>
            <w:pPr>
              <w:spacing w:after="0"/>
              <w:rPr>
                <w:sz w:val="1"/>
                <w:szCs w:val="1"/>
                <w:color w:val="auto"/>
              </w:rPr>
            </w:pPr>
          </w:p>
        </w:tc>
      </w:tr>
      <w:tr>
        <w:trPr>
          <w:trHeight w:val="73"/>
        </w:trPr>
        <w:tc>
          <w:tcPr>
            <w:tcW w:w="78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 of continuing operations</w:t>
            </w:r>
          </w:p>
        </w:tc>
        <w:tc>
          <w:tcPr>
            <w:tcW w:w="4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63,109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71,812</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 of discontinued operations</w:t>
            </w:r>
          </w:p>
        </w:tc>
        <w:tc>
          <w:tcPr>
            <w:tcW w:w="420" w:type="dxa"/>
            <w:vAlign w:val="bottom"/>
          </w:tcPr>
          <w:p>
            <w:pPr>
              <w:spacing w:after="0"/>
              <w:rPr>
                <w:sz w:val="16"/>
                <w:szCs w:val="16"/>
                <w:color w:val="auto"/>
              </w:rPr>
            </w:pPr>
          </w:p>
        </w:tc>
        <w:tc>
          <w:tcPr>
            <w:tcW w:w="14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(12,209)</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provided by operating activities</w:t>
            </w:r>
          </w:p>
        </w:tc>
        <w:tc>
          <w:tcPr>
            <w:tcW w:w="4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63,109</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59,603</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(19,162)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(14,953)</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 of property and equipment</w:t>
            </w:r>
          </w:p>
        </w:tc>
        <w:tc>
          <w:tcPr>
            <w:tcW w:w="420" w:type="dxa"/>
            <w:vAlign w:val="bottom"/>
          </w:tcPr>
          <w:p>
            <w:pPr>
              <w:spacing w:after="0"/>
              <w:rPr>
                <w:sz w:val="16"/>
                <w:szCs w:val="16"/>
                <w:color w:val="auto"/>
              </w:rPr>
            </w:pPr>
          </w:p>
        </w:tc>
        <w:tc>
          <w:tcPr>
            <w:tcW w:w="14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1,438</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received from business acquisition purchase price adjustment</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224</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1,831</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restricted cash</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4,165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78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 of continuing operations</w:t>
            </w:r>
          </w:p>
        </w:tc>
        <w:tc>
          <w:tcPr>
            <w:tcW w:w="4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(14,773)</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(11,684)</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 of discontinued operations</w:t>
            </w:r>
          </w:p>
        </w:tc>
        <w:tc>
          <w:tcPr>
            <w:tcW w:w="420" w:type="dxa"/>
            <w:vAlign w:val="bottom"/>
          </w:tcPr>
          <w:p>
            <w:pPr>
              <w:spacing w:after="0"/>
              <w:rPr>
                <w:sz w:val="16"/>
                <w:szCs w:val="16"/>
                <w:color w:val="auto"/>
              </w:rPr>
            </w:pPr>
          </w:p>
        </w:tc>
        <w:tc>
          <w:tcPr>
            <w:tcW w:w="14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(7,060)</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7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4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(14,773)</w:t>
            </w: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(18,744)</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Borrowings under senior credit facility</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35,000</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Repayments under senior credit facility</w:t>
            </w:r>
          </w:p>
        </w:tc>
        <w:tc>
          <w:tcPr>
            <w:tcW w:w="42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(28,750)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 payments under capital lease obligations</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exercised stock options</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9,260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7,345</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taxes paid in net equity settlement</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(4,269)</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(6,359)</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420" w:type="dxa"/>
            <w:vAlign w:val="bottom"/>
          </w:tcPr>
          <w:p>
            <w:pPr>
              <w:spacing w:after="0"/>
              <w:rPr>
                <w:sz w:val="15"/>
                <w:szCs w:val="15"/>
                <w:color w:val="auto"/>
              </w:rPr>
            </w:pPr>
          </w:p>
        </w:tc>
        <w:tc>
          <w:tcPr>
            <w:tcW w:w="1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(9,082)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20,590</w:t>
            </w:r>
          </w:p>
        </w:tc>
        <w:tc>
          <w:tcPr>
            <w:tcW w:w="0" w:type="dxa"/>
            <w:vAlign w:val="bottom"/>
          </w:tcPr>
          <w:p>
            <w:pPr>
              <w:spacing w:after="0"/>
              <w:rPr>
                <w:sz w:val="1"/>
                <w:szCs w:val="1"/>
                <w:color w:val="auto"/>
              </w:rPr>
            </w:pPr>
          </w:p>
        </w:tc>
      </w:tr>
      <w:tr>
        <w:trPr>
          <w:trHeight w:val="73"/>
        </w:trPr>
        <w:tc>
          <w:tcPr>
            <w:tcW w:w="78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5"/>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42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0" w:type="dxa"/>
            <w:vAlign w:val="bottom"/>
          </w:tcPr>
          <w:p>
            <w:pPr>
              <w:spacing w:after="0"/>
              <w:rPr>
                <w:sz w:val="1"/>
                <w:szCs w:val="1"/>
                <w:color w:val="auto"/>
              </w:rPr>
            </w:pPr>
          </w:p>
        </w:tc>
      </w:tr>
      <w:tr>
        <w:trPr>
          <w:trHeight w:val="17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in cash and cash equivalents</w:t>
            </w:r>
          </w:p>
        </w:tc>
        <w:tc>
          <w:tcPr>
            <w:tcW w:w="420" w:type="dxa"/>
            <w:vAlign w:val="bottom"/>
          </w:tcPr>
          <w:p>
            <w:pPr>
              <w:spacing w:after="0"/>
              <w:rPr>
                <w:sz w:val="15"/>
                <w:szCs w:val="15"/>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38,671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59,303</w:t>
            </w:r>
          </w:p>
        </w:tc>
        <w:tc>
          <w:tcPr>
            <w:tcW w:w="0" w:type="dxa"/>
            <w:vAlign w:val="bottom"/>
          </w:tcPr>
          <w:p>
            <w:pPr>
              <w:spacing w:after="0"/>
              <w:rPr>
                <w:sz w:val="1"/>
                <w:szCs w:val="1"/>
                <w:color w:val="auto"/>
              </w:rPr>
            </w:pPr>
          </w:p>
        </w:tc>
      </w:tr>
      <w:tr>
        <w:trPr>
          <w:trHeight w:val="73"/>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7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beginning of period</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48,132</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71,734</w:t>
            </w:r>
          </w:p>
        </w:tc>
        <w:tc>
          <w:tcPr>
            <w:tcW w:w="0" w:type="dxa"/>
            <w:vAlign w:val="bottom"/>
          </w:tcPr>
          <w:p>
            <w:pPr>
              <w:spacing w:after="0"/>
              <w:rPr>
                <w:sz w:val="1"/>
                <w:szCs w:val="1"/>
                <w:color w:val="auto"/>
              </w:rPr>
            </w:pPr>
          </w:p>
        </w:tc>
      </w:tr>
      <w:tr>
        <w:trPr>
          <w:trHeight w:val="78"/>
        </w:trPr>
        <w:tc>
          <w:tcPr>
            <w:tcW w:w="786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7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at end of period</w:t>
            </w:r>
          </w:p>
        </w:tc>
        <w:tc>
          <w:tcPr>
            <w:tcW w:w="4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86,803</w:t>
            </w:r>
          </w:p>
        </w:tc>
        <w:tc>
          <w:tcPr>
            <w:tcW w:w="100" w:type="dxa"/>
            <w:vAlign w:val="bottom"/>
          </w:tcPr>
          <w:p>
            <w:pPr>
              <w:spacing w:after="0"/>
              <w:rPr>
                <w:sz w:val="15"/>
                <w:szCs w:val="15"/>
                <w:color w:val="auto"/>
              </w:rPr>
            </w:pPr>
          </w:p>
        </w:tc>
        <w:tc>
          <w:tcPr>
            <w:tcW w:w="40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131,037</w:t>
            </w:r>
          </w:p>
        </w:tc>
        <w:tc>
          <w:tcPr>
            <w:tcW w:w="0" w:type="dxa"/>
            <w:vAlign w:val="bottom"/>
          </w:tcPr>
          <w:p>
            <w:pPr>
              <w:spacing w:after="0"/>
              <w:rPr>
                <w:sz w:val="1"/>
                <w:szCs w:val="1"/>
                <w:color w:val="auto"/>
              </w:rPr>
            </w:pPr>
          </w:p>
        </w:tc>
      </w:tr>
      <w:tr>
        <w:trPr>
          <w:trHeight w:val="64"/>
        </w:trPr>
        <w:tc>
          <w:tcPr>
            <w:tcW w:w="7860" w:type="dxa"/>
            <w:vAlign w:val="bottom"/>
          </w:tcPr>
          <w:p>
            <w:pPr>
              <w:spacing w:after="0"/>
              <w:rPr>
                <w:sz w:val="5"/>
                <w:szCs w:val="5"/>
                <w:color w:val="auto"/>
              </w:rPr>
            </w:pPr>
          </w:p>
        </w:tc>
        <w:tc>
          <w:tcPr>
            <w:tcW w:w="420" w:type="dxa"/>
            <w:vAlign w:val="bottom"/>
            <w:tcBorders>
              <w:bottom w:val="single" w:sz="8" w:color="auto"/>
            </w:tcBorders>
            <w:vMerge w:val="continue"/>
          </w:tcPr>
          <w:p>
            <w:pPr>
              <w:spacing w:after="0"/>
              <w:rPr>
                <w:sz w:val="5"/>
                <w:szCs w:val="5"/>
                <w:color w:val="auto"/>
              </w:rPr>
            </w:pPr>
          </w:p>
        </w:tc>
        <w:tc>
          <w:tcPr>
            <w:tcW w:w="13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Borders>
              <w:bottom w:val="single" w:sz="8" w:color="auto"/>
            </w:tcBorders>
            <w:vMerge w:val="continue"/>
          </w:tcPr>
          <w:p>
            <w:pPr>
              <w:spacing w:after="0"/>
              <w:rPr>
                <w:sz w:val="5"/>
                <w:szCs w:val="5"/>
                <w:color w:val="auto"/>
              </w:rPr>
            </w:pPr>
          </w:p>
        </w:tc>
        <w:tc>
          <w:tcPr>
            <w:tcW w:w="128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121" w:right="259" w:bottom="1440" w:gutter="0" w:footer="0" w:header="0"/>
          <w:type w:val="continuous"/>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w:t>
      </w:r>
    </w:p>
    <w:p>
      <w:pPr>
        <w:spacing w:after="0" w:line="203" w:lineRule="exact"/>
        <w:rPr>
          <w:sz w:val="20"/>
          <w:szCs w:val="20"/>
          <w:color w:val="auto"/>
        </w:rPr>
      </w:pPr>
    </w:p>
    <w:p>
      <w:pPr>
        <w:ind w:right="8980" w:firstLine="8"/>
        <w:spacing w:after="0" w:line="346" w:lineRule="auto"/>
        <w:tabs>
          <w:tab w:leader="none" w:pos="18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BASIS OF PRESENTATION </w:t>
      </w:r>
      <w:r>
        <w:rPr>
          <w:rFonts w:ascii="Times New Roman" w:cs="Times New Roman" w:eastAsia="Times New Roman" w:hAnsi="Times New Roman"/>
          <w:sz w:val="18"/>
          <w:szCs w:val="18"/>
          <w:i w:val="1"/>
          <w:iCs w:val="1"/>
          <w:u w:val="single" w:color="auto"/>
          <w:color w:val="auto"/>
        </w:rPr>
        <w:t>General</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terms “we,” “our,” “us,” “Company” and “Integra” refer to Integra LifeSciences Holdings Corporation, a Delaware corporation, and its subsidiaries unless the context suggests otherwise.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the opinion of management, the June 30, 2016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2015 included in the Company’s Annual Report on Form 10-K. The December 31, 2015 consolidated balance sheet was derived from audited financial statements, but does not include all disclosures required by accounting principles generally accepted in the United States. Operating results for the three and six-month periods ended June 30, 2016 are not necessarily indicative of the results to be expected for the entire year.</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July 1, 2015, the Company completed the distribution of 100% of the outstanding common shares of SeaSpine Holdings Corporation ("SeaSpine") to Integra shareholders who received one share of SeaSpine common stock for every three shares of Integra common stock held as of the close of business on the record date, June 19, 2015. The Company has classified the results of operations and cash flows of SeaSpine as discontinued operations for the three- and six-month periods ended June 30, 2015 presented in the Company's Form 10-Q. Unless indicated otherwise, the information in the Notes to the condensed consolidated financial statements relates to the Company's continuing operations. Refer to Note 2 -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for additional information regarding the distribution.</w:t>
      </w:r>
    </w:p>
    <w:p>
      <w:pPr>
        <w:spacing w:after="0" w:line="13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Standards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May 2014, the FASB issued Update No. 2014-09, </w:t>
      </w:r>
      <w:r>
        <w:rPr>
          <w:rFonts w:ascii="Times New Roman" w:cs="Times New Roman" w:eastAsia="Times New Roman" w:hAnsi="Times New Roman"/>
          <w:sz w:val="18"/>
          <w:szCs w:val="18"/>
          <w:i w:val="1"/>
          <w:iCs w:val="1"/>
          <w:color w:val="auto"/>
        </w:rPr>
        <w:t>Revenue from Contracts with Customers (Topic 606)</w:t>
      </w:r>
      <w:r>
        <w:rPr>
          <w:rFonts w:ascii="Times New Roman" w:cs="Times New Roman" w:eastAsia="Times New Roman" w:hAnsi="Times New Roman"/>
          <w:sz w:val="18"/>
          <w:szCs w:val="18"/>
          <w:color w:val="auto"/>
        </w:rPr>
        <w:t>.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will become effective for all annual periods and interim reporting periods beginning after December 15, 2017. Early adoption as of January 1, 2017 is permitted. The Company is in the process of evaluating the impact of this standard on its financial statements.</w:t>
      </w:r>
    </w:p>
    <w:p>
      <w:pPr>
        <w:spacing w:after="0" w:line="1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June 2014, the FASB issued Update No. 2014-12, </w:t>
      </w:r>
      <w:r>
        <w:rPr>
          <w:rFonts w:ascii="Times New Roman" w:cs="Times New Roman" w:eastAsia="Times New Roman" w:hAnsi="Times New Roman"/>
          <w:sz w:val="18"/>
          <w:szCs w:val="18"/>
          <w:i w:val="1"/>
          <w:iCs w:val="1"/>
          <w:color w:val="auto"/>
        </w:rPr>
        <w:t>Accounting for Share-Based Payments When the Terms of an Award Provide That a Performance 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Could Be Achieved after the Requisite Service Period (Topic 718)</w:t>
      </w:r>
      <w:r>
        <w:rPr>
          <w:rFonts w:ascii="Times New Roman" w:cs="Times New Roman" w:eastAsia="Times New Roman" w:hAnsi="Times New Roman"/>
          <w:sz w:val="18"/>
          <w:szCs w:val="18"/>
          <w:color w:val="auto"/>
        </w:rPr>
        <w:t>. The amendments require that a performance target that affects vesting and that could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achieved after the requisite service period be treated as a performance condition. A reporting entity should apply existing guidance in Topic 718 as it relates to awards with performance conditions that affect vesting to account for such awards. As such, the performance target should not be reflected in estimating the grant-date fair value of the award. Compensation cost should be recognized in the period in which it becomes probable that the performance target will be achieved and should represent the compensation cost attributable to the period(s) for which the requisite service has already been rendered. If the performance target becomes probable of being achieved before the end of the requisite service period, the remaining unrecognized compensation cost should be recognized prospectively over the remaining requisite service period.</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requisite service period ends when the employee can cease rendering service and still be eligible to vest in the award if the performance target is achieved. This update is effective for annual and interim reporting periods beginning after December 15, 2015. The Company adopted this guidance effective January 1, 2016 on a prospective basis. The implementation of the amended guidance did not have a material impact on the Company's consolidated financial position or results of operations.</w:t>
      </w:r>
    </w:p>
    <w:p>
      <w:pPr>
        <w:spacing w:after="0" w:line="1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August 2014, the FASB issued Update No. 2014-15, </w:t>
      </w:r>
      <w:r>
        <w:rPr>
          <w:rFonts w:ascii="Times New Roman" w:cs="Times New Roman" w:eastAsia="Times New Roman" w:hAnsi="Times New Roman"/>
          <w:sz w:val="18"/>
          <w:szCs w:val="18"/>
          <w:i w:val="1"/>
          <w:iCs w:val="1"/>
          <w:color w:val="auto"/>
        </w:rPr>
        <w:t>Disclosure of Uncertainties about an Entity’s Ability to Continue as a Going Concern</w:t>
      </w:r>
      <w:r>
        <w:rPr>
          <w:rFonts w:ascii="Times New Roman" w:cs="Times New Roman" w:eastAsia="Times New Roman" w:hAnsi="Times New Roman"/>
          <w:sz w:val="18"/>
          <w:szCs w:val="18"/>
          <w:color w:val="auto"/>
        </w:rPr>
        <w:t>. The amendment requires management to evaluate, for each annual and interim reporting period, whether there are conditions and events, considered in the aggregate, that raise substantial doubt about an entity’s ability to continue as a going concern within one year after the date the financial statements are issued or are available to be issued. If substantial doubt is raised, additional disclosures around management’s plan to alleviate these doubts are required. This update will become effective for all annual periods and interim reporting periods beginning after December 15, 2016. The implementation of the amended guidance is not expected to have an impact on current disclosures in the financial statements.</w:t>
      </w:r>
    </w:p>
    <w:p>
      <w:pPr>
        <w:spacing w:after="0" w:line="12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 xml:space="preserve">In April 2015, the FASB issued Update No. 2015-03, </w:t>
      </w:r>
      <w:r>
        <w:rPr>
          <w:rFonts w:ascii="Times New Roman" w:cs="Times New Roman" w:eastAsia="Times New Roman" w:hAnsi="Times New Roman"/>
          <w:sz w:val="18"/>
          <w:szCs w:val="18"/>
          <w:i w:val="1"/>
          <w:iCs w:val="1"/>
          <w:color w:val="auto"/>
        </w:rPr>
        <w:t>Simplifying the Presentation of Debt Issuance Costs</w:t>
      </w:r>
      <w:r>
        <w:rPr>
          <w:rFonts w:ascii="Times New Roman" w:cs="Times New Roman" w:eastAsia="Times New Roman" w:hAnsi="Times New Roman"/>
          <w:sz w:val="18"/>
          <w:szCs w:val="18"/>
          <w:color w:val="auto"/>
        </w:rPr>
        <w:t>. The amendment requires that all costs incurred to issue certain debt be presented in the balance sheet as a direct deduction from the carrying value of the debt. The new standard is limited to the presentation of debt issuance costs and does not affect the recognition or measurement of debt issuance costs. This update is effective for all annual periods and interim reporting periods beginning after December 15, 2015. The Company adopted this guidance effective January 1, 2016 on a retrospective basis. The implementation of the amended guidance did not have a material impact on the consolidated results of operations and resulted in a reclassification of a portion of the debt issuance costs from other long-term assets to long-term debt.</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July 2015, the FASB issued Update No. 2015-11, </w:t>
      </w:r>
      <w:r>
        <w:rPr>
          <w:rFonts w:ascii="Times New Roman" w:cs="Times New Roman" w:eastAsia="Times New Roman" w:hAnsi="Times New Roman"/>
          <w:sz w:val="18"/>
          <w:szCs w:val="18"/>
          <w:i w:val="1"/>
          <w:iCs w:val="1"/>
          <w:color w:val="auto"/>
        </w:rPr>
        <w:t>Simplifying the Measurement of Inventory</w:t>
      </w:r>
      <w:r>
        <w:rPr>
          <w:rFonts w:ascii="Times New Roman" w:cs="Times New Roman" w:eastAsia="Times New Roman" w:hAnsi="Times New Roman"/>
          <w:sz w:val="18"/>
          <w:szCs w:val="18"/>
          <w:color w:val="auto"/>
        </w:rPr>
        <w:t>. The amendment requires an entity to measure inventory that is within the scope of this amendment at the lower of cost and net realizable value. Existing impairment models will continue to be used for inventories that are accounted for using the last-in first-out (“LIFO”) method. The ASU requires prospective adoption for inventory measurements for fiscal years beginning after December 15, 2016 and interim periods within those fiscal years for public business entities. Early adoption is permitted. The implementation of the amended guidance is not expected to have a material impact on the consolidated financial position or results of operations.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 August 2015, the FASB issued Update No. 2015-15, </w:t>
      </w:r>
      <w:r>
        <w:rPr>
          <w:rFonts w:ascii="Times New Roman" w:cs="Times New Roman" w:eastAsia="Times New Roman" w:hAnsi="Times New Roman"/>
          <w:sz w:val="18"/>
          <w:szCs w:val="18"/>
          <w:i w:val="1"/>
          <w:iCs w:val="1"/>
          <w:color w:val="auto"/>
        </w:rPr>
        <w:t>Interest - Imputation of Interest</w:t>
      </w:r>
      <w:r>
        <w:rPr>
          <w:rFonts w:ascii="Times New Roman" w:cs="Times New Roman" w:eastAsia="Times New Roman" w:hAnsi="Times New Roman"/>
          <w:sz w:val="18"/>
          <w:szCs w:val="18"/>
          <w:color w:val="auto"/>
        </w:rPr>
        <w:t xml:space="preserve">. The amendment requires entities to present debt issuance costs related to a recognized debt liability as a direct deduction from the carrying amount of that debt liability. The guidance in </w:t>
      </w:r>
      <w:r>
        <w:rPr>
          <w:rFonts w:ascii="Times New Roman" w:cs="Times New Roman" w:eastAsia="Times New Roman" w:hAnsi="Times New Roman"/>
          <w:sz w:val="18"/>
          <w:szCs w:val="18"/>
          <w:i w:val="1"/>
          <w:iCs w:val="1"/>
          <w:color w:val="auto"/>
        </w:rPr>
        <w:t>ASU No. 2015-03</w:t>
      </w:r>
      <w:r>
        <w:rPr>
          <w:rFonts w:ascii="Times New Roman" w:cs="Times New Roman" w:eastAsia="Times New Roman" w:hAnsi="Times New Roman"/>
          <w:sz w:val="18"/>
          <w:szCs w:val="18"/>
          <w:color w:val="auto"/>
        </w:rPr>
        <w:t xml:space="preserve"> does not address presentation or subsequent measurement of debt issuance costs related to line-of-credit arrangements. Given the absence of authoritative guidance within </w:t>
      </w:r>
      <w:r>
        <w:rPr>
          <w:rFonts w:ascii="Times New Roman" w:cs="Times New Roman" w:eastAsia="Times New Roman" w:hAnsi="Times New Roman"/>
          <w:sz w:val="18"/>
          <w:szCs w:val="18"/>
          <w:i w:val="1"/>
          <w:iCs w:val="1"/>
          <w:color w:val="auto"/>
        </w:rPr>
        <w:t>ASU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No. 2015-03 </w:t>
      </w:r>
      <w:r>
        <w:rPr>
          <w:rFonts w:ascii="Times New Roman" w:cs="Times New Roman" w:eastAsia="Times New Roman" w:hAnsi="Times New Roman"/>
          <w:sz w:val="18"/>
          <w:szCs w:val="18"/>
          <w:color w:val="auto"/>
        </w:rPr>
        <w:t>for debt issuance costs related to line-of-credit arrangements, the SEC staff would not object to an entity's deferring and presenting debt issuance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costs as an asset and subsequently amortizing the deferred debt issuance costs ratably over the term of the line-of-credit arrangement, regardless of whether there are any outstanding borrowings on the line-of-credit arrangement. This update is effective for all annual periods and interim reporting periods beginning after December 15, 2015. The Company adopted this guidance effective January 1, 2016 on a retrospective basis. The implementation of the amended guidance did not have a material impact on the consolidated financial position or results of operations.</w:t>
      </w:r>
    </w:p>
    <w:p>
      <w:pPr>
        <w:spacing w:after="0" w:line="13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September 2015, the FASB issued Update No. 2015-16, </w:t>
      </w:r>
      <w:r>
        <w:rPr>
          <w:rFonts w:ascii="Times New Roman" w:cs="Times New Roman" w:eastAsia="Times New Roman" w:hAnsi="Times New Roman"/>
          <w:sz w:val="18"/>
          <w:szCs w:val="18"/>
          <w:i w:val="1"/>
          <w:iCs w:val="1"/>
          <w:color w:val="auto"/>
        </w:rPr>
        <w:t>Simplifying the Accounting for Measurement-Period Adjustments</w:t>
      </w:r>
      <w:r>
        <w:rPr>
          <w:rFonts w:ascii="Times New Roman" w:cs="Times New Roman" w:eastAsia="Times New Roman" w:hAnsi="Times New Roman"/>
          <w:sz w:val="18"/>
          <w:szCs w:val="18"/>
          <w:color w:val="auto"/>
        </w:rPr>
        <w:t>. The amendment requires that an acquirer recognize adjustments to provisional amounts that are identified during the measurement period in the reporting period in which the adjustment amounts are determined. This update also requires an entity to present separately in the income statement or disclose in the notes, the portion of the amount recorded in current-period earnings by line item that would have been recorded in previous reporting periods if the adjustment to the provisional amounts had been recognized as of the acquisition date. This update is effective for all annual periods and interim reporting periods beginning after December 15, 2015. The new standard must be applied prospectively to adjustments to provisional amounts that occur after the effective date. The implementation of the amended guidance did not have a material impact on the consolidated results of operations or disclosures in the financial statements.</w:t>
      </w:r>
    </w:p>
    <w:p>
      <w:pPr>
        <w:spacing w:after="0" w:line="1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 November 2015, the FASB issued Update No. 2015-17,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Under current accounting guidance an entity is required to separate deferred income tax liabilities and assets into current and non-current amounts in a classified statement of financial position. The amendment requires that an entity present all deferred tax assets and liabilities as non-current in a classified statement of financial position. This update will become effective for all annual periods and interim reporting periods beginning after December 15, 2016, however the Company adopted this guidance effective December 31, 2015 on a prospective basis.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 February 2016, the FASB issued Update No. 2016-02, </w:t>
      </w:r>
      <w:r>
        <w:rPr>
          <w:rFonts w:ascii="Times New Roman" w:cs="Times New Roman" w:eastAsia="Times New Roman" w:hAnsi="Times New Roman"/>
          <w:sz w:val="18"/>
          <w:szCs w:val="18"/>
          <w:i w:val="1"/>
          <w:iCs w:val="1"/>
          <w:color w:val="auto"/>
        </w:rPr>
        <w:t>Leases (Topic 842)</w:t>
      </w:r>
      <w:r>
        <w:rPr>
          <w:rFonts w:ascii="Times New Roman" w:cs="Times New Roman" w:eastAsia="Times New Roman" w:hAnsi="Times New Roman"/>
          <w:sz w:val="18"/>
          <w:szCs w:val="18"/>
          <w:color w:val="auto"/>
        </w:rPr>
        <w:t>. Under current accounting guidance an entity is not required to report operating leases on the balance sheet. The amendment requires that lessees recognize virtually all of their leases on the balance sheet, by recording a right-of-use asset and lease liability (other than leases that meet the definition of a "short-term lease"). This update will become effective for all annual periods and interim reporting periods beginning after December 15,</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117"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2018. The new standard must be adopted using a modified retrospective transition. Early adoption is permitted. The Company is in the process of evaluating the impact of this standard on its financial statements.</w:t>
      </w:r>
    </w:p>
    <w:p>
      <w:pPr>
        <w:spacing w:after="0" w:line="1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March 2016, the FASB issued Update No. 2016-09, </w:t>
      </w:r>
      <w:r>
        <w:rPr>
          <w:rFonts w:ascii="Times New Roman" w:cs="Times New Roman" w:eastAsia="Times New Roman" w:hAnsi="Times New Roman"/>
          <w:sz w:val="18"/>
          <w:szCs w:val="18"/>
          <w:i w:val="1"/>
          <w:iCs w:val="1"/>
          <w:color w:val="auto"/>
        </w:rPr>
        <w:t>Improvements to Employee Share-Based Payment Accounting (Topic 718) (ASU 2016-09)</w:t>
      </w:r>
      <w:r>
        <w:rPr>
          <w:rFonts w:ascii="Times New Roman" w:cs="Times New Roman" w:eastAsia="Times New Roman" w:hAnsi="Times New Roman"/>
          <w:sz w:val="18"/>
          <w:szCs w:val="18"/>
          <w:color w:val="auto"/>
        </w:rPr>
        <w:t xml:space="preserve">, which simplifies several aspect of the accounting for share-based payment. Under current accounting guidance an entity is required to report excess tax benefits and tax deficiencies, to the extent of previous windfalls, in equity when an award is settled. A tax benefit currently only recognized when it is realized. Excess tax benefits at settlements are currently reported as cash inflows from financing activities. The amendment requires that an entity present all excess tax benefits and all tax deficiencies as income tax expense or benefit in the statement of operations to be applied using a prospective transition method. Related tax effects of share-based payment settlements are to be presented as cash inflows from operating activities with a transition method of either a prospective or retrospective transition method. The amendment also removes the requirement to delay recognition of an excess tax benefit until the tax benefit is realized. A modified retrospective transition method must be applied for this provision of amendment.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xml:space="preserve"> allows the Company to elect to account for forfeitures either based on an estimate of the number of awards for which the requisite service period is not expected be rendered with a true-up for actual forfeitures or to account for forfeitures as they occur. The amendment also requires cash outflows attributable to tax withholdings on the net settlement of equity-classified awards to be classified in financing cash flows, with any changes to be applied retrospectively.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xml:space="preserve"> is effective for all annual periods and interim reporting periods beginning after December 15, 2016. Early adoption is permitted.</w:t>
      </w:r>
    </w:p>
    <w:p>
      <w:pPr>
        <w:spacing w:after="0" w:line="13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Company elected to early adopt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xml:space="preserve"> during the quarter ended June 30, 2016, which requires any adjustments to be reflected as of January 1, 2016, the beginning of the annual period that includes the interim period of adoption. The Company elected to account for forfeitures as they occur. The impact in retained earnings as of December 31, 2015 from this provision was not significant. Amendments related to accounting for excess tax benefits have been adopted prospectively, resulting in recognition of excess tax benefits against income tax expenses rather than additional paid-in capital of $1.2 million and $3.0 million for the three and six months ended June 30, 2016, respectively. Amendments related to the condensed consolidated statement of cash flows have been adopted retrospectively. As a result of this adoption, the excess tax settlement and taxes on net settlement of $7.2 million was included in net cash provided by operating activities for the six months ended June 30, 2016. The six months ended June 30, 2015 was adjusted as follows: a $9.9 million increase to net cash provided by operating activities and a $9.9 million decrease in net cash provided by financing activities.</w:t>
      </w:r>
    </w:p>
    <w:p>
      <w:pPr>
        <w:spacing w:after="0" w:line="1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no other recently issued accounting pronouncements that are expected to have a material effect on the Company's financial position, results of operations or cash flows.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DISCONTINUED OPERATIONS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29, 2014, Integra's Board of Directors approved the announcement of a plan to separate the Company's spine and orthobiologics businesses, now known as SeaSpine Holdings Corporation, from Integra as a new, publicly traded medical technology company focused on the design, development and commercialization of surgical solutions for the treatment of patients suffering from spinal disorders. Integra's board of directors based this determination, in part, on its belief that the tax-free distribution of SeaSpine's shares to Integra stockholders is the most efficient manner to separate the business from Integra's other medical technology businesses. On November 3, 2014, the Company announced its intention to separate its spine business, which was previously a separate reportable segment. On July 1, 2015, the Company completed the distribution of 100% of the outstanding common stock of SeaSpine to Integra's stockholders, who received one share of SeaSpine common stock for every three shares of Integra common stock held as of the close of business on the record date, June 19, 2015. The Company and SeaSpine share three board members, including the chair of Integra’s board of directors, who is lead director for SeaSpine. The separation agreement provided SeaSpine with approximately $47.0 million of total cash immediately following the distribution. No gain or loss was recognized on the part of the Company or shareholders as a result of the distribution resulting from the separation of the spine business.</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historical results of operations, cash flows, and statement of financial position of SeaSpine have been presented as discontinued operations in the condensed consolidated financial statements and prior periods have been restated. Discontinued operations include results of SeaSpine's business except for certain allocated corporate overhead costs and certain costs associated with transition services provided by Integra to SeaSpine. These allocated costs remain part of continuing operations. Discontinued operations also include other costs incurred by Integra to separate SeaSpine from the fourth quarter of 2014 through the second quarter of 2015. These costs include transaction charges, advisory and consulting fees, and information system expenses. Since the third quarter of 2015, SeaSpine is a stand-alone public company that separately reports its financial results. Due to differences between the basis of presentation for discontinued operations and the basis of presentation as a stand-alone company, the financial results of SeaSpine included within discontinued operations for the Company may not be indicative of actual financial results of SeaSpine as a stand-alone company.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17"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results from discontinued operations of SeaSpine included in the condensed consolidated statement of operations:</w:t>
      </w:r>
    </w:p>
    <w:p>
      <w:pPr>
        <w:spacing w:after="0" w:line="152" w:lineRule="exact"/>
        <w:rPr>
          <w:sz w:val="20"/>
          <w:szCs w:val="20"/>
          <w:color w:val="auto"/>
        </w:rPr>
      </w:pPr>
    </w:p>
    <w:tbl>
      <w:tblPr>
        <w:tblLayout w:type="fixed"/>
        <w:tblInd w:w="158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5"/>
        </w:trPr>
        <w:tc>
          <w:tcPr>
            <w:tcW w:w="5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360" w:type="dxa"/>
            <w:vAlign w:val="bottom"/>
          </w:tcPr>
          <w:p>
            <w:pPr>
              <w:spacing w:after="0"/>
              <w:rPr>
                <w:sz w:val="16"/>
                <w:szCs w:val="16"/>
                <w:color w:val="auto"/>
              </w:rPr>
            </w:pPr>
          </w:p>
        </w:tc>
        <w:tc>
          <w:tcPr>
            <w:tcW w:w="980" w:type="dxa"/>
            <w:vAlign w:val="bottom"/>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250"/>
        </w:trPr>
        <w:tc>
          <w:tcPr>
            <w:tcW w:w="536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240" w:type="dxa"/>
            <w:vAlign w:val="bottom"/>
            <w:tcBorders>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w w:val="99"/>
              </w:rPr>
              <w:t>2015</w:t>
            </w:r>
          </w:p>
        </w:tc>
      </w:tr>
      <w:tr>
        <w:trPr>
          <w:trHeight w:val="250"/>
        </w:trPr>
        <w:tc>
          <w:tcPr>
            <w:tcW w:w="5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80" w:type="dxa"/>
            <w:vAlign w:val="bottom"/>
          </w:tcPr>
          <w:p>
            <w:pPr>
              <w:spacing w:after="0"/>
              <w:rPr>
                <w:sz w:val="21"/>
                <w:szCs w:val="21"/>
                <w:color w:val="auto"/>
              </w:rPr>
            </w:pPr>
          </w:p>
        </w:tc>
      </w:tr>
      <w:tr>
        <w:trPr>
          <w:trHeight w:val="255"/>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33,461</w:t>
            </w:r>
          </w:p>
        </w:tc>
        <w:tc>
          <w:tcPr>
            <w:tcW w:w="2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65,775</w:t>
            </w:r>
          </w:p>
        </w:tc>
      </w:tr>
      <w:tr>
        <w:trPr>
          <w:trHeight w:val="237"/>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40" w:type="dxa"/>
            <w:vAlign w:val="bottom"/>
          </w:tcPr>
          <w:p>
            <w:pPr>
              <w:spacing w:after="0"/>
              <w:rPr>
                <w:sz w:val="20"/>
                <w:szCs w:val="20"/>
                <w:color w:val="auto"/>
              </w:rPr>
            </w:pPr>
          </w:p>
        </w:tc>
        <w:tc>
          <w:tcPr>
            <w:tcW w:w="12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43,852</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80,618</w:t>
            </w:r>
          </w:p>
        </w:tc>
      </w:tr>
      <w:tr>
        <w:trPr>
          <w:trHeight w:val="33"/>
        </w:trPr>
        <w:tc>
          <w:tcPr>
            <w:tcW w:w="5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loss</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(10,391)</w:t>
            </w: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(14,843)</w:t>
            </w:r>
          </w:p>
        </w:tc>
      </w:tr>
      <w:tr>
        <w:trPr>
          <w:trHeight w:val="237"/>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r>
      <w:tr>
        <w:trPr>
          <w:trHeight w:val="33"/>
        </w:trPr>
        <w:tc>
          <w:tcPr>
            <w:tcW w:w="5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discontinued operations before tax</w:t>
            </w: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(10,436)</w:t>
            </w:r>
          </w:p>
        </w:tc>
        <w:tc>
          <w:tcPr>
            <w:tcW w:w="24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(15,609)</w:t>
            </w:r>
          </w:p>
        </w:tc>
      </w:tr>
      <w:tr>
        <w:trPr>
          <w:trHeight w:val="237"/>
        </w:trPr>
        <w:tc>
          <w:tcPr>
            <w:tcW w:w="5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Benefit for income taxes</w:t>
            </w:r>
          </w:p>
        </w:tc>
        <w:tc>
          <w:tcPr>
            <w:tcW w:w="1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(5,239)</w:t>
            </w:r>
          </w:p>
        </w:tc>
      </w:tr>
      <w:tr>
        <w:trPr>
          <w:trHeight w:val="33"/>
        </w:trPr>
        <w:tc>
          <w:tcPr>
            <w:tcW w:w="5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 from discontinued operations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(7,022)</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82"/>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(10,370)</w:t>
            </w:r>
          </w:p>
        </w:tc>
      </w:tr>
      <w:tr>
        <w:trPr>
          <w:trHeight w:val="20"/>
        </w:trPr>
        <w:tc>
          <w:tcPr>
            <w:tcW w:w="5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removal of SeaSpine's net assets and unrealized accelerated currency translation adjustment was presented as a reduction in Integra's retained earnings.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to effect the separation and govern Integra's relationship with SeaSpine after the separation, the Company entered into a Separation and Distribution Agreement and other agreements, including a Tax Matters Agreement, an Employee Matters Agreement, several supply agreements, and a Transition Services Agreement. The Separation and Distribution Agreement governs the separation of the spine business, the transfer of assets and other matters related to the Company's relationship with SeaSpine.</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Matters Agreement governs the respective rights, responsibilities and obligations of SeaSpine and Integra with respect to taxes, tax attributes, tax returns, tax proceedings and certain other tax matters.</w:t>
      </w:r>
    </w:p>
    <w:p>
      <w:pPr>
        <w:spacing w:after="0" w:line="162"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The Employee Matters Agreement governs the compensation and employee benefit obligations with respect to the current and former employees and non-employee directors of SeaSpine and Integra, and generally allocates liabilities and responsibilities relating to employee compensation, benefit plans and programs. The Employee Matters Agreement provides that employees of SeaSpine will no longer participate in benefit plans sponsored or maintained by Integra. In addition, the Employee Matters Agreement provides that each of the parties will be responsible for their respective former and current employees and compensation plans for such current employees.</w:t>
      </w:r>
    </w:p>
    <w:p>
      <w:pPr>
        <w:spacing w:after="0" w:line="18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entered into several Supply Agreements in which SeaSpine engaged Integra to be the product supplier of Integra's former Integra Mozaik</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product line ("Mozaik") for a three-year period following the separation, after which there will be no defined terms and this will be considered a normal purchase/sale arrangement. This product line has been licensed to SeaSpine in conjunction with the spin-off. Prior to the spin-off, sales of Mozaik products from an Integra facility to a SeaSpine facility were eliminated in Integra's historical consolidated financial results of operations. The revenue and cost of goods sold related to prior sales of Mozaik to SeaSpine have been restated and are presented in Integra's continuing operations as results of operations. The Company has recorded $0.5 million and $2.0 million in revenue related to the sale of Mozaik products for the three-month period ended June 30, 2016 and 2015, respectively, and $0.6 million and $3.2 million, respectively for the six-month periods ended June 30, 2016 and 2015. The Company has recorded the related cost of goods sold of approximately $0.5 million and $2.0 million in for the three-months periods ended June 30, 2016 and 2015, respectively and $0.6 million and $3.2 million for the six-month periods ended June 30, 2016 and 2015, respectively, in its continuing operations.</w:t>
      </w:r>
    </w:p>
    <w:p>
      <w:pPr>
        <w:spacing w:after="0" w:line="20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terms of the Transition Services Agreement, the Company agreed to provide administrative, site services, information technology systems and various other corporate and support services to SeaSpine over various periods after the separation on a cost or cost-plus basis. The most significant components of the service income are the provision of information systems and legal services, which were substantially completed during the first quarter of 2016. In the three- and six-month periods ended June 30, 2016 other income (expense), net, includes a minimal amount and $0.3 million, respectively of income in respect of the provision of services to SeaSpine.</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17"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8980" w:firstLine="8"/>
        <w:spacing w:after="0" w:line="380"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BUSINESS ACQUISITIONS </w:t>
      </w:r>
      <w:r>
        <w:rPr>
          <w:rFonts w:ascii="Times New Roman" w:cs="Times New Roman" w:eastAsia="Times New Roman" w:hAnsi="Times New Roman"/>
          <w:sz w:val="18"/>
          <w:szCs w:val="18"/>
          <w:i w:val="1"/>
          <w:iCs w:val="1"/>
          <w:u w:val="single" w:color="auto"/>
          <w:color w:val="auto"/>
        </w:rPr>
        <w:t>Tekmed</w:t>
      </w:r>
    </w:p>
    <w:p>
      <w:pPr>
        <w:spacing w:after="0" w:line="2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December 15, 2015, the Company acquired the assets of Tekmed Instruments S.p.A ("Tekmed") for an aggregate purchase price of $14.1 million including a minimal amount of working capital and purchase adjustment which was recorded as an adjustment to assumed liabilities. Tekmed was a distributor of the Company's and third-party products in Italy and focuses on neurosurgery and neurotrauma, along with representation in plastic and reconstructive surgery, cardiovascular surgery, image diagnostics, general surgery, anesthesia and intensive care, interventional radiology, and proton therapy. This acquisition enables the Company to sell directly into the market to support our Specialty Surgical Solutions division's growth in Italy along with other key Integra franchises.</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revenue for Tekmed of approximately $1.2 million and $2.4 million related to third party products in the consolidated statements of operations for the three and six months ended June 30, 2016. The net income or loss attributable to this acquisition cannot be identified on a stand-alone basis because it is in the process of being integrated into the Company's operations.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summarizes the preliminary allocation of the purchase price as of June 30, 2016 based on the fair value of the assets acquired and liabilities assumed: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tcPr>
          <w:p>
            <w:pPr>
              <w:jc w:val="center"/>
              <w:ind w:right="196"/>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49"/>
        </w:trPr>
        <w:tc>
          <w:tcPr>
            <w:tcW w:w="7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80" w:type="dxa"/>
            <w:vAlign w:val="bottom"/>
          </w:tcPr>
          <w:p>
            <w:pPr>
              <w:jc w:val="center"/>
              <w:ind w:right="216"/>
              <w:spacing w:after="0" w:line="149" w:lineRule="exact"/>
              <w:rPr>
                <w:sz w:val="20"/>
                <w:szCs w:val="20"/>
                <w:color w:val="auto"/>
              </w:rPr>
            </w:pPr>
            <w:r>
              <w:rPr>
                <w:rFonts w:ascii="Times New Roman" w:cs="Times New Roman" w:eastAsia="Times New Roman" w:hAnsi="Times New Roman"/>
                <w:sz w:val="14"/>
                <w:szCs w:val="14"/>
                <w:b w:val="1"/>
                <w:bCs w:val="1"/>
                <w:color w:val="auto"/>
              </w:rPr>
              <w:t>Purchase Price</w:t>
            </w:r>
          </w:p>
        </w:tc>
        <w:tc>
          <w:tcPr>
            <w:tcW w:w="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95"/>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1,143</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300" w:type="dxa"/>
            <w:vAlign w:val="bottom"/>
          </w:tcPr>
          <w:p>
            <w:pPr>
              <w:spacing w:after="0"/>
              <w:rPr>
                <w:sz w:val="21"/>
                <w:szCs w:val="21"/>
                <w:color w:val="auto"/>
              </w:rPr>
            </w:pPr>
          </w:p>
        </w:tc>
        <w:tc>
          <w:tcPr>
            <w:tcW w:w="1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669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03"/>
        </w:trPr>
        <w:tc>
          <w:tcPr>
            <w:tcW w:w="75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60" w:type="dxa"/>
            <w:vAlign w:val="bottom"/>
            <w:gridSpan w:val="2"/>
          </w:tcPr>
          <w:p>
            <w:pPr>
              <w:spacing w:after="0" w:line="202" w:lineRule="exact"/>
              <w:rPr>
                <w:sz w:val="20"/>
                <w:szCs w:val="20"/>
                <w:color w:val="auto"/>
              </w:rPr>
            </w:pPr>
            <w:r>
              <w:rPr>
                <w:rFonts w:ascii="Times New Roman" w:cs="Times New Roman" w:eastAsia="Times New Roman" w:hAnsi="Times New Roman"/>
                <w:sz w:val="18"/>
                <w:szCs w:val="18"/>
                <w:color w:val="auto"/>
              </w:rPr>
              <w:t>Wtd. Avg. Life:</w:t>
            </w:r>
          </w:p>
        </w:tc>
      </w:tr>
      <w:tr>
        <w:trPr>
          <w:trHeight w:val="48"/>
        </w:trPr>
        <w:tc>
          <w:tcPr>
            <w:tcW w:w="75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20" w:type="dxa"/>
            <w:vAlign w:val="bottom"/>
            <w:tcBorders>
              <w:top w:val="single" w:sz="8" w:color="auto"/>
            </w:tcBorders>
          </w:tcPr>
          <w:p>
            <w:pPr>
              <w:spacing w:after="0"/>
              <w:rPr>
                <w:sz w:val="4"/>
                <w:szCs w:val="4"/>
                <w:color w:val="auto"/>
              </w:rPr>
            </w:pPr>
          </w:p>
        </w:tc>
        <w:tc>
          <w:tcPr>
            <w:tcW w:w="440" w:type="dxa"/>
            <w:vAlign w:val="bottom"/>
          </w:tcPr>
          <w:p>
            <w:pPr>
              <w:spacing w:after="0"/>
              <w:rPr>
                <w:sz w:val="4"/>
                <w:szCs w:val="4"/>
                <w:color w:val="auto"/>
              </w:rPr>
            </w:pPr>
          </w:p>
        </w:tc>
      </w:tr>
      <w:tr>
        <w:trPr>
          <w:trHeight w:val="250"/>
        </w:trPr>
        <w:tc>
          <w:tcPr>
            <w:tcW w:w="7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Supplier contracts</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4,981</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2 -13 Years</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00" w:type="dxa"/>
            <w:vAlign w:val="bottom"/>
          </w:tcPr>
          <w:p>
            <w:pPr>
              <w:spacing w:after="0"/>
              <w:rPr>
                <w:sz w:val="21"/>
                <w:szCs w:val="21"/>
                <w:color w:val="auto"/>
              </w:rPr>
            </w:pPr>
          </w:p>
        </w:tc>
        <w:tc>
          <w:tcPr>
            <w:tcW w:w="1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9,665</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16,469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00" w:type="dxa"/>
            <w:vAlign w:val="bottom"/>
          </w:tcPr>
          <w:p>
            <w:pPr>
              <w:spacing w:after="0"/>
              <w:rPr>
                <w:sz w:val="21"/>
                <w:szCs w:val="21"/>
                <w:color w:val="auto"/>
              </w:rPr>
            </w:pPr>
          </w:p>
        </w:tc>
        <w:tc>
          <w:tcPr>
            <w:tcW w:w="19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802</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1,564</w:t>
            </w: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57"/>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14,103</w:t>
            </w: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Tornier's United States Toe &amp; Ankle Business</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October 2, 2015, the Company acquired the United States rights to Tornier's Salto Talaris® and Salto Talaris® XT ankle replacement products and Tornier's Futura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silastic toe replacement products (the "Salto and Futura") for $6.0 million in cash. The estimated fair value of the net assets acquired exceeded the purchase price for the Salto and Futura product lines and resulted in the Company's recording a gain of $1.1 million for the year ended December 31, 2015 in Other Income. The acquired toe and ankle products enhance the Company's lower extremities product offering and accelerate its entry into the U.S. total ankle replacement market.</w:t>
      </w:r>
    </w:p>
    <w:p>
      <w:pPr>
        <w:spacing w:after="0" w:line="14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revenue for Salto and Futura of approximately $3.4 million and $7.3 million in the consolidated statements of operations for the three and six months period ended June 30, 2016. The net income or loss attributable to this acquisition cannot be identified on a stand-alone basis because it is in the process of being integrated into the Company's operations.</w:t>
      </w: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17" w:right="2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allocation of the purchase price as of June 30, 2016 based on the fair value of the assets acquired and liabilities assumed: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r>
      <w:tr>
        <w:trPr>
          <w:trHeight w:val="195"/>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2,688</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spacing w:after="0"/>
              <w:rPr>
                <w:sz w:val="21"/>
                <w:szCs w:val="21"/>
                <w:color w:val="auto"/>
              </w:rPr>
            </w:pPr>
          </w:p>
        </w:tc>
        <w:tc>
          <w:tcPr>
            <w:tcW w:w="198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1,453</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Wtd. Avg. Life:</w:t>
            </w:r>
          </w:p>
        </w:tc>
      </w:tr>
      <w:tr>
        <w:trPr>
          <w:trHeight w:val="243"/>
        </w:trPr>
        <w:tc>
          <w:tcPr>
            <w:tcW w:w="7540" w:type="dxa"/>
            <w:vAlign w:val="bottom"/>
            <w:tcBorders>
              <w:top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Ankle product family</w:t>
            </w:r>
          </w:p>
        </w:tc>
        <w:tc>
          <w:tcPr>
            <w:tcW w:w="300" w:type="dxa"/>
            <w:vAlign w:val="bottom"/>
            <w:tcBorders>
              <w:top w:val="single" w:sz="8" w:color="CCEEFF"/>
            </w:tcBorders>
          </w:tcPr>
          <w:p>
            <w:pPr>
              <w:spacing w:after="0"/>
              <w:rPr>
                <w:sz w:val="21"/>
                <w:szCs w:val="21"/>
                <w:color w:val="auto"/>
              </w:rPr>
            </w:pPr>
          </w:p>
        </w:tc>
        <w:tc>
          <w:tcPr>
            <w:tcW w:w="1980" w:type="dxa"/>
            <w:vAlign w:val="bottom"/>
            <w:tcBorders>
              <w:top w:val="single" w:sz="8" w:color="CCEEFF"/>
            </w:tcBorders>
          </w:tcPr>
          <w:p>
            <w:pPr>
              <w:jc w:val="right"/>
              <w:ind w:right="15"/>
              <w:spacing w:after="0"/>
              <w:rPr>
                <w:sz w:val="20"/>
                <w:szCs w:val="20"/>
                <w:color w:val="auto"/>
              </w:rPr>
            </w:pPr>
            <w:r>
              <w:rPr>
                <w:rFonts w:ascii="Times New Roman" w:cs="Times New Roman" w:eastAsia="Times New Roman" w:hAnsi="Times New Roman"/>
                <w:sz w:val="18"/>
                <w:szCs w:val="18"/>
                <w:color w:val="auto"/>
              </w:rPr>
              <w:t>3,210</w:t>
            </w:r>
          </w:p>
        </w:tc>
        <w:tc>
          <w:tcPr>
            <w:tcW w:w="4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11 years</w:t>
            </w:r>
          </w:p>
        </w:tc>
        <w:tc>
          <w:tcPr>
            <w:tcW w:w="440" w:type="dxa"/>
            <w:vAlign w:val="bottom"/>
            <w:tcBorders>
              <w:top w:val="single" w:sz="8" w:color="CCEEFF"/>
            </w:tcBorders>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Toe product family</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460</w:t>
            </w:r>
          </w:p>
        </w:tc>
        <w:tc>
          <w:tcPr>
            <w:tcW w:w="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 years</w:t>
            </w:r>
          </w:p>
        </w:tc>
      </w:tr>
      <w:tr>
        <w:trPr>
          <w:trHeight w:val="237"/>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7,811</w:t>
            </w: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700</w:t>
            </w: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57"/>
        </w:trPr>
        <w:tc>
          <w:tcPr>
            <w:tcW w:w="7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assets acquired</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top w:val="single" w:sz="8" w:color="auto"/>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7,111</w:t>
            </w: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TEI</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July 17, 2015, the Company executed the two merger agreements (collectively, the "Agreements") under which the Company acquired TEI Biosciences, Inc., a Delaware corporation ("TEI Bio"), and TEI Medical Inc., a Delaware corporation ("TEI Med", collectively "TEI") for an aggregate purchase price of approximately $312.2 million ($210.9 million for TEI Bio and $101.3 million for TEI Med) including working capital and purchase price adjustment of $0.2 million ($0.5 million for TEI Bio offset by $0.7 million cash received for TEI Med) which was recorded as a reduction from goodwill. The purchase price consists of a cash payment to the former shareholders of TEI Bio and TEI Med of approximately $312.4 million upon the closing of the transaction, net of $1.2 million of acquired cash.</w:t>
      </w:r>
    </w:p>
    <w:p>
      <w:pPr>
        <w:spacing w:after="0" w:line="1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TEI Bio is in the business of developing and commercializing biologic devices for soft tissue repair and regenerative applications, including dura and hernia repair and plastic and reconstructive surgery. TEI Med holds a license to TEI Bio’s regenerative technology in the fields of wound healing and orthopedics.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recorded revenue for TEI of approximately $12.4 million and $26.0 million in the condensed consolidated statements of operations for the three and six months ended June 30, 2016. The net income or loss attributable to this acquisition cannot be identified on a stand-alone basis because it is in the process of being integrated into the Company's operations.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allocation of the purchase price as of June 30, 2016 based on the fair value of the assets acquired and liabilities assumed:</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Purchase Price</w:t>
            </w:r>
          </w:p>
        </w:tc>
        <w:tc>
          <w:tcPr>
            <w:tcW w:w="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20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Allocation</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center"/>
              <w:ind w:right="213"/>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3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1,241</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9,011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Inventory</w:t>
            </w:r>
          </w:p>
        </w:tc>
        <w:tc>
          <w:tcPr>
            <w:tcW w:w="3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23,223</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receivable</w:t>
            </w:r>
          </w:p>
        </w:tc>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5,135</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3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2,670</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2,027</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Intangible assets:</w:t>
            </w:r>
          </w:p>
        </w:tc>
        <w:tc>
          <w:tcPr>
            <w:tcW w:w="33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spacing w:after="0" w:line="202" w:lineRule="exact"/>
              <w:rPr>
                <w:sz w:val="20"/>
                <w:szCs w:val="20"/>
                <w:color w:val="auto"/>
              </w:rPr>
            </w:pPr>
            <w:r>
              <w:rPr>
                <w:rFonts w:ascii="Times New Roman" w:cs="Times New Roman" w:eastAsia="Times New Roman" w:hAnsi="Times New Roman"/>
                <w:sz w:val="18"/>
                <w:szCs w:val="18"/>
                <w:color w:val="auto"/>
              </w:rPr>
              <w:t>Wtd. Avg. Life:</w:t>
            </w:r>
          </w:p>
        </w:tc>
        <w:tc>
          <w:tcPr>
            <w:tcW w:w="0" w:type="dxa"/>
            <w:vAlign w:val="bottom"/>
          </w:tcPr>
          <w:p>
            <w:pPr>
              <w:spacing w:after="0"/>
              <w:rPr>
                <w:sz w:val="1"/>
                <w:szCs w:val="1"/>
                <w:color w:val="auto"/>
              </w:rPr>
            </w:pPr>
          </w:p>
        </w:tc>
      </w:tr>
      <w:tr>
        <w:trPr>
          <w:trHeight w:val="243"/>
        </w:trPr>
        <w:tc>
          <w:tcPr>
            <w:tcW w:w="4200" w:type="dxa"/>
            <w:vAlign w:val="bottom"/>
            <w:tcBorders>
              <w:top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Developed technology</w:t>
            </w:r>
          </w:p>
        </w:tc>
        <w:tc>
          <w:tcPr>
            <w:tcW w:w="3340" w:type="dxa"/>
            <w:vAlign w:val="bottom"/>
            <w:tcBorders>
              <w:top w:val="single" w:sz="8" w:color="CCEEFF"/>
            </w:tcBorders>
          </w:tcPr>
          <w:p>
            <w:pPr>
              <w:spacing w:after="0"/>
              <w:rPr>
                <w:sz w:val="21"/>
                <w:szCs w:val="21"/>
                <w:color w:val="auto"/>
              </w:rPr>
            </w:pPr>
          </w:p>
        </w:tc>
        <w:tc>
          <w:tcPr>
            <w:tcW w:w="300" w:type="dxa"/>
            <w:vAlign w:val="bottom"/>
            <w:tcBorders>
              <w:top w:val="single" w:sz="8" w:color="CCEEFF"/>
            </w:tcBorders>
          </w:tcPr>
          <w:p>
            <w:pPr>
              <w:spacing w:after="0"/>
              <w:rPr>
                <w:sz w:val="21"/>
                <w:szCs w:val="21"/>
                <w:color w:val="auto"/>
              </w:rPr>
            </w:pPr>
          </w:p>
        </w:tc>
        <w:tc>
          <w:tcPr>
            <w:tcW w:w="1980" w:type="dxa"/>
            <w:vAlign w:val="bottom"/>
            <w:tcBorders>
              <w:top w:val="single" w:sz="8" w:color="CCEEFF"/>
            </w:tcBorders>
          </w:tcPr>
          <w:p>
            <w:pPr>
              <w:jc w:val="right"/>
              <w:ind w:right="13"/>
              <w:spacing w:after="0"/>
              <w:rPr>
                <w:sz w:val="20"/>
                <w:szCs w:val="20"/>
                <w:color w:val="auto"/>
              </w:rPr>
            </w:pPr>
            <w:r>
              <w:rPr>
                <w:rFonts w:ascii="Times New Roman" w:cs="Times New Roman" w:eastAsia="Times New Roman" w:hAnsi="Times New Roman"/>
                <w:sz w:val="18"/>
                <w:szCs w:val="18"/>
                <w:color w:val="auto"/>
              </w:rPr>
              <w:t>167,400</w:t>
            </w:r>
          </w:p>
        </w:tc>
        <w:tc>
          <w:tcPr>
            <w:tcW w:w="4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14 -16 Years</w:t>
            </w:r>
          </w:p>
        </w:tc>
        <w:tc>
          <w:tcPr>
            <w:tcW w:w="4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Contractual relationships</w:t>
            </w:r>
          </w:p>
        </w:tc>
        <w:tc>
          <w:tcPr>
            <w:tcW w:w="3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51,345</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11 -14 Years</w:t>
            </w:r>
          </w:p>
        </w:tc>
        <w:tc>
          <w:tcPr>
            <w:tcW w:w="0" w:type="dxa"/>
            <w:vAlign w:val="bottom"/>
          </w:tcPr>
          <w:p>
            <w:pPr>
              <w:spacing w:after="0"/>
              <w:rPr>
                <w:sz w:val="1"/>
                <w:szCs w:val="1"/>
                <w:color w:val="auto"/>
              </w:rPr>
            </w:pPr>
          </w:p>
        </w:tc>
      </w:tr>
      <w:tr>
        <w:trPr>
          <w:trHeight w:val="243"/>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Leasehold interest</w:t>
            </w:r>
          </w:p>
        </w:tc>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w:t>
            </w:r>
          </w:p>
        </w:tc>
        <w:tc>
          <w:tcPr>
            <w:tcW w:w="33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147,704</w:t>
            </w: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assets acquired</w:t>
            </w:r>
          </w:p>
        </w:tc>
        <w:tc>
          <w:tcPr>
            <w:tcW w:w="33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409,825</w:t>
            </w:r>
          </w:p>
        </w:tc>
        <w:tc>
          <w:tcPr>
            <w:tcW w:w="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3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9,732</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3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87,908</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2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b w:val="1"/>
                <w:bCs w:val="1"/>
                <w:color w:val="auto"/>
              </w:rPr>
              <w:t>Net assets acquired</w:t>
            </w:r>
          </w:p>
        </w:tc>
        <w:tc>
          <w:tcPr>
            <w:tcW w:w="3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312,185</w:t>
            </w:r>
          </w:p>
        </w:tc>
        <w:tc>
          <w:tcPr>
            <w:tcW w:w="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3340" w:type="dxa"/>
            <w:vAlign w:val="bottom"/>
            <w:tcBorders>
              <w:top w:val="single" w:sz="8" w:color="CCEEFF"/>
              <w:bottom w:val="single" w:sz="8" w:color="CCEEFF"/>
            </w:tcBorders>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420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 Forma Results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following unaudited pro forma financial information summarizes the results of operations for the three and six months ended June 30, 2015 as if the acquisitions completed by the Company during 2015 had been completed as of the beginning of the prior year. The pro forma results are based upon certain assumptions and estimates, and they give effect to actual operating results prior to the acquisition and adjustments to reflect (i) the change in interest expense, depreciation expense, and intangible asset amortization, (ii) certain external expenses related to the acquisition as if they were incurred on January 1 of the year prior to the acquisition that will not be recurring in the post-acquisition periods, and (iii) income taxes on the aforementioned adjustments at the Company’s statutory rate. No effect has been given to other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275"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w:t>
            </w:r>
          </w:p>
        </w:tc>
      </w:tr>
      <w:tr>
        <w:trPr>
          <w:trHeight w:val="195"/>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80" w:type="dxa"/>
            <w:vAlign w:val="bottom"/>
          </w:tcPr>
          <w:p>
            <w:pPr>
              <w:spacing w:after="0"/>
              <w:rPr>
                <w:sz w:val="16"/>
                <w:szCs w:val="16"/>
                <w:color w:val="auto"/>
              </w:rPr>
            </w:pPr>
          </w:p>
        </w:tc>
        <w:tc>
          <w:tcPr>
            <w:tcW w:w="1160" w:type="dxa"/>
            <w:vAlign w:val="bottom"/>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250"/>
        </w:trPr>
        <w:tc>
          <w:tcPr>
            <w:tcW w:w="4320" w:type="dxa"/>
            <w:vAlign w:val="bottom"/>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1420" w:type="dxa"/>
            <w:vAlign w:val="bottom"/>
            <w:tcBorders>
              <w:top w:val="single" w:sz="8" w:color="auto"/>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40" w:type="dxa"/>
            <w:vAlign w:val="bottom"/>
            <w:tcBorders>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1"/>
        </w:trPr>
        <w:tc>
          <w:tcPr>
            <w:tcW w:w="4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100" w:type="dxa"/>
            <w:vAlign w:val="bottom"/>
            <w:gridSpan w:val="4"/>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r>
      <w:tr>
        <w:trPr>
          <w:trHeight w:val="64"/>
        </w:trPr>
        <w:tc>
          <w:tcPr>
            <w:tcW w:w="43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160" w:type="dxa"/>
            <w:vAlign w:val="bottom"/>
          </w:tcPr>
          <w:p>
            <w:pPr>
              <w:spacing w:after="0"/>
              <w:rPr>
                <w:sz w:val="5"/>
                <w:szCs w:val="5"/>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235,357</w:t>
            </w: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460,828</w:t>
            </w:r>
          </w:p>
        </w:tc>
      </w:tr>
      <w:tr>
        <w:trPr>
          <w:trHeight w:val="237"/>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13,585</w:t>
            </w:r>
          </w:p>
        </w:tc>
        <w:tc>
          <w:tcPr>
            <w:tcW w:w="140" w:type="dxa"/>
            <w:vAlign w:val="bottom"/>
          </w:tcPr>
          <w:p>
            <w:pPr>
              <w:spacing w:after="0"/>
              <w:rPr>
                <w:sz w:val="20"/>
                <w:szCs w:val="20"/>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26,892</w:t>
            </w:r>
          </w:p>
        </w:tc>
      </w:tr>
      <w:tr>
        <w:trPr>
          <w:trHeight w:val="33"/>
        </w:trPr>
        <w:tc>
          <w:tcPr>
            <w:tcW w:w="4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per share:</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7"/>
        </w:trPr>
        <w:tc>
          <w:tcPr>
            <w:tcW w:w="4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0.41</w:t>
            </w:r>
          </w:p>
        </w:tc>
        <w:tc>
          <w:tcPr>
            <w:tcW w:w="140" w:type="dxa"/>
            <w:vAlign w:val="bottom"/>
          </w:tcPr>
          <w:p>
            <w:pPr>
              <w:spacing w:after="0"/>
              <w:rPr>
                <w:sz w:val="20"/>
                <w:szCs w:val="20"/>
                <w:color w:val="auto"/>
              </w:rPr>
            </w:pPr>
          </w:p>
        </w:tc>
        <w:tc>
          <w:tcPr>
            <w:tcW w:w="3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0.82</w:t>
            </w:r>
          </w:p>
        </w:tc>
      </w:tr>
    </w:tbl>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INVENTORIES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net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4"/>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6"/>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Finished goods</w:t>
            </w:r>
          </w:p>
        </w:tc>
        <w:tc>
          <w:tcPr>
            <w:tcW w:w="18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128,432</w:t>
            </w:r>
          </w:p>
        </w:tc>
        <w:tc>
          <w:tcPr>
            <w:tcW w:w="440" w:type="dxa"/>
            <w:vAlign w:val="bottom"/>
            <w:tcBorders>
              <w:bottom w:val="single" w:sz="8" w:color="CCEEFF"/>
            </w:tcBorders>
            <w:gridSpan w:val="3"/>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125,869</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 in process</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50,232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47,962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Raw materials</w:t>
            </w:r>
          </w:p>
        </w:tc>
        <w:tc>
          <w:tcPr>
            <w:tcW w:w="18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41,778</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37,598</w:t>
            </w:r>
          </w:p>
        </w:tc>
        <w:tc>
          <w:tcPr>
            <w:tcW w:w="0" w:type="dxa"/>
            <w:vAlign w:val="bottom"/>
          </w:tcPr>
          <w:p>
            <w:pPr>
              <w:spacing w:after="0"/>
              <w:rPr>
                <w:sz w:val="1"/>
                <w:szCs w:val="1"/>
                <w:color w:val="auto"/>
              </w:rPr>
            </w:pPr>
          </w:p>
        </w:tc>
      </w:tr>
      <w:tr>
        <w:trPr>
          <w:trHeight w:val="237"/>
        </w:trPr>
        <w:tc>
          <w:tcPr>
            <w:tcW w:w="49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220,442</w:t>
            </w:r>
          </w:p>
        </w:tc>
        <w:tc>
          <w:tcPr>
            <w:tcW w:w="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211,429</w:t>
            </w:r>
          </w:p>
        </w:tc>
        <w:tc>
          <w:tcPr>
            <w:tcW w:w="0" w:type="dxa"/>
            <w:vAlign w:val="bottom"/>
          </w:tcPr>
          <w:p>
            <w:pPr>
              <w:spacing w:after="0"/>
              <w:rPr>
                <w:sz w:val="1"/>
                <w:szCs w:val="1"/>
                <w:color w:val="auto"/>
              </w:rPr>
            </w:pPr>
          </w:p>
        </w:tc>
      </w:tr>
      <w:tr>
        <w:trPr>
          <w:trHeight w:val="27"/>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5. GOODWILL AND OTHER INTANGIBLE ASSETS</w:t>
            </w: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vMerge w:val="continu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940" w:type="dxa"/>
            <w:vAlign w:val="bottom"/>
            <w:vMerge w:val="continue"/>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Changes in the carrying amount of goodwill for the six-month period ended June 30, 2016 were as follows: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4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Specialty</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4"/>
            <w:vMerge w:val="restart"/>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Orthopedics and</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gridSpan w:val="2"/>
          </w:tcPr>
          <w:p>
            <w:pPr>
              <w:jc w:val="right"/>
              <w:ind w:right="290"/>
              <w:spacing w:after="0" w:line="149" w:lineRule="exact"/>
              <w:rPr>
                <w:sz w:val="20"/>
                <w:szCs w:val="20"/>
                <w:color w:val="auto"/>
              </w:rPr>
            </w:pPr>
            <w:r>
              <w:rPr>
                <w:rFonts w:ascii="Times New Roman" w:cs="Times New Roman" w:eastAsia="Times New Roman" w:hAnsi="Times New Roman"/>
                <w:sz w:val="14"/>
                <w:szCs w:val="14"/>
                <w:b w:val="1"/>
                <w:bCs w:val="1"/>
                <w:color w:val="auto"/>
              </w:rPr>
              <w:t>Surgical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9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98"/>
              </w:rPr>
              <w:t>Tissue Technologies</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4"/>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Goodwill at December 31, 2015</w:t>
            </w:r>
          </w:p>
        </w:tc>
        <w:tc>
          <w:tcPr>
            <w:tcW w:w="21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284,976</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227,413</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512,389</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TEI working capital and purchase price adjustment</w:t>
            </w: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w w:val="97"/>
              </w:rPr>
              <w:t>(174)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4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8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1,808</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June 30, 2016</w:t>
            </w:r>
          </w:p>
        </w:tc>
        <w:tc>
          <w:tcPr>
            <w:tcW w:w="18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285,982</w:t>
            </w: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228,041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514,023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180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180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94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the Company’s identifiable intangible assets were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jc w:val="center"/>
              <w:ind w:left="676"/>
              <w:spacing w:after="0"/>
              <w:rPr>
                <w:sz w:val="20"/>
                <w:szCs w:val="20"/>
                <w:color w:val="auto"/>
              </w:rPr>
            </w:pPr>
            <w:r>
              <w:rPr>
                <w:rFonts w:ascii="Times New Roman" w:cs="Times New Roman" w:eastAsia="Times New Roman" w:hAnsi="Times New Roman"/>
                <w:sz w:val="14"/>
                <w:szCs w:val="14"/>
                <w:b w:val="1"/>
                <w:bCs w:val="1"/>
                <w:color w:val="auto"/>
              </w:rPr>
              <w:t>June 30, 2016</w:t>
            </w:r>
          </w:p>
        </w:tc>
        <w:tc>
          <w:tcPr>
            <w:tcW w:w="1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25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77"/>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277"/>
              <w:spacing w:after="0"/>
              <w:rPr>
                <w:sz w:val="20"/>
                <w:szCs w:val="20"/>
                <w:color w:val="auto"/>
              </w:rPr>
            </w:pPr>
            <w:r>
              <w:rPr>
                <w:rFonts w:ascii="Times New Roman" w:cs="Times New Roman" w:eastAsia="Times New Roman" w:hAnsi="Times New Roman"/>
                <w:sz w:val="18"/>
                <w:szCs w:val="18"/>
                <w:color w:val="auto"/>
                <w:w w:val="99"/>
              </w:rPr>
              <w:t>17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480,599</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(81,750)</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398,849</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277"/>
              <w:spacing w:after="0"/>
              <w:rPr>
                <w:sz w:val="20"/>
                <w:szCs w:val="20"/>
                <w:color w:val="auto"/>
              </w:rPr>
            </w:pPr>
            <w:r>
              <w:rPr>
                <w:rFonts w:ascii="Times New Roman" w:cs="Times New Roman" w:eastAsia="Times New Roman" w:hAnsi="Times New Roman"/>
                <w:sz w:val="18"/>
                <w:szCs w:val="18"/>
                <w:color w:val="auto"/>
                <w:w w:val="99"/>
              </w:rPr>
              <w:t>12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153,926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(73,483)</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80,443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277"/>
              <w:spacing w:after="0"/>
              <w:rPr>
                <w:sz w:val="20"/>
                <w:szCs w:val="20"/>
                <w:color w:val="auto"/>
              </w:rPr>
            </w:pPr>
            <w:r>
              <w:rPr>
                <w:rFonts w:ascii="Times New Roman" w:cs="Times New Roman" w:eastAsia="Times New Roman" w:hAnsi="Times New Roman"/>
                <w:sz w:val="18"/>
                <w:szCs w:val="18"/>
                <w:color w:val="auto"/>
                <w:w w:val="99"/>
              </w:rPr>
              <w:t>30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91,282</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73,282</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Supplier relationships</w:t>
            </w:r>
          </w:p>
        </w:tc>
        <w:tc>
          <w:tcPr>
            <w:tcW w:w="120" w:type="dxa"/>
            <w:vAlign w:val="bottom"/>
          </w:tcPr>
          <w:p>
            <w:pPr>
              <w:spacing w:after="0"/>
              <w:rPr>
                <w:sz w:val="21"/>
                <w:szCs w:val="21"/>
                <w:color w:val="auto"/>
              </w:rPr>
            </w:pPr>
          </w:p>
        </w:tc>
        <w:tc>
          <w:tcPr>
            <w:tcW w:w="1600" w:type="dxa"/>
            <w:vAlign w:val="bottom"/>
          </w:tcPr>
          <w:p>
            <w:pPr>
              <w:jc w:val="center"/>
              <w:ind w:right="277"/>
              <w:spacing w:after="0"/>
              <w:rPr>
                <w:sz w:val="20"/>
                <w:szCs w:val="20"/>
                <w:color w:val="auto"/>
              </w:rPr>
            </w:pPr>
            <w:r>
              <w:rPr>
                <w:rFonts w:ascii="Times New Roman" w:cs="Times New Roman" w:eastAsia="Times New Roman" w:hAnsi="Times New Roman"/>
                <w:sz w:val="18"/>
                <w:szCs w:val="18"/>
                <w:color w:val="auto"/>
                <w:w w:val="99"/>
              </w:rPr>
              <w:t>27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34,721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21,771</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ind w:right="277"/>
              <w:spacing w:after="0"/>
              <w:rPr>
                <w:sz w:val="20"/>
                <w:szCs w:val="20"/>
                <w:color w:val="auto"/>
              </w:rPr>
            </w:pPr>
            <w:r>
              <w:rPr>
                <w:rFonts w:ascii="Times New Roman" w:cs="Times New Roman" w:eastAsia="Times New Roman" w:hAnsi="Times New Roman"/>
                <w:sz w:val="18"/>
                <w:szCs w:val="18"/>
                <w:color w:val="auto"/>
              </w:rPr>
              <w:t>5 years</w:t>
            </w: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11,068</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(1,844)</w:t>
            </w:r>
          </w:p>
        </w:tc>
        <w:tc>
          <w:tcPr>
            <w:tcW w:w="2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9,224</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771,596</w:t>
            </w:r>
          </w:p>
        </w:tc>
        <w:tc>
          <w:tcPr>
            <w:tcW w:w="2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(188,027)</w:t>
            </w:r>
          </w:p>
        </w:tc>
        <w:tc>
          <w:tcPr>
            <w:tcW w:w="2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583,569</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2"/>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December 31, 2015</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13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3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ind w:right="137"/>
              <w:spacing w:after="0"/>
              <w:rPr>
                <w:sz w:val="20"/>
                <w:szCs w:val="20"/>
                <w:color w:val="auto"/>
              </w:rPr>
            </w:pPr>
            <w:r>
              <w:rPr>
                <w:rFonts w:ascii="Times New Roman" w:cs="Times New Roman" w:eastAsia="Times New Roman" w:hAnsi="Times New Roman"/>
                <w:sz w:val="14"/>
                <w:szCs w:val="14"/>
                <w:b w:val="1"/>
                <w:bCs w:val="1"/>
                <w:color w:val="auto"/>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117"/>
              <w:spacing w:after="0"/>
              <w:rPr>
                <w:sz w:val="20"/>
                <w:szCs w:val="20"/>
                <w:color w:val="auto"/>
              </w:rPr>
            </w:pPr>
            <w:r>
              <w:rPr>
                <w:rFonts w:ascii="Times New Roman" w:cs="Times New Roman" w:eastAsia="Times New Roman" w:hAnsi="Times New Roman"/>
                <w:sz w:val="18"/>
                <w:szCs w:val="18"/>
                <w:color w:val="auto"/>
                <w:w w:val="99"/>
              </w:rPr>
              <w:t>17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480,684</w:t>
            </w:r>
          </w:p>
        </w:tc>
        <w:tc>
          <w:tcPr>
            <w:tcW w:w="2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(67,978)</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412,706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117"/>
              <w:spacing w:after="0"/>
              <w:rPr>
                <w:sz w:val="20"/>
                <w:szCs w:val="20"/>
                <w:color w:val="auto"/>
              </w:rPr>
            </w:pPr>
            <w:r>
              <w:rPr>
                <w:rFonts w:ascii="Times New Roman" w:cs="Times New Roman" w:eastAsia="Times New Roman" w:hAnsi="Times New Roman"/>
                <w:sz w:val="18"/>
                <w:szCs w:val="18"/>
                <w:color w:val="auto"/>
                <w:w w:val="99"/>
              </w:rPr>
              <w:t>12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153,246</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(68,811)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84,435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7"/>
              <w:spacing w:after="0"/>
              <w:rPr>
                <w:sz w:val="20"/>
                <w:szCs w:val="20"/>
                <w:color w:val="auto"/>
              </w:rPr>
            </w:pPr>
            <w:r>
              <w:rPr>
                <w:rFonts w:ascii="Times New Roman" w:cs="Times New Roman" w:eastAsia="Times New Roman" w:hAnsi="Times New Roman"/>
                <w:sz w:val="18"/>
                <w:szCs w:val="18"/>
                <w:color w:val="auto"/>
                <w:w w:val="99"/>
              </w:rPr>
              <w:t>30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90,837</w:t>
            </w: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(16,374)</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74,463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Supplier relationships</w:t>
            </w:r>
          </w:p>
        </w:tc>
        <w:tc>
          <w:tcPr>
            <w:tcW w:w="120" w:type="dxa"/>
            <w:vAlign w:val="bottom"/>
          </w:tcPr>
          <w:p>
            <w:pPr>
              <w:spacing w:after="0"/>
              <w:rPr>
                <w:sz w:val="21"/>
                <w:szCs w:val="21"/>
                <w:color w:val="auto"/>
              </w:rPr>
            </w:pPr>
          </w:p>
        </w:tc>
        <w:tc>
          <w:tcPr>
            <w:tcW w:w="1600" w:type="dxa"/>
            <w:vAlign w:val="bottom"/>
          </w:tcPr>
          <w:p>
            <w:pPr>
              <w:jc w:val="center"/>
              <w:ind w:right="117"/>
              <w:spacing w:after="0"/>
              <w:rPr>
                <w:sz w:val="20"/>
                <w:szCs w:val="20"/>
                <w:color w:val="auto"/>
              </w:rPr>
            </w:pPr>
            <w:r>
              <w:rPr>
                <w:rFonts w:ascii="Times New Roman" w:cs="Times New Roman" w:eastAsia="Times New Roman" w:hAnsi="Times New Roman"/>
                <w:sz w:val="18"/>
                <w:szCs w:val="18"/>
                <w:color w:val="auto"/>
                <w:w w:val="99"/>
              </w:rPr>
              <w:t>27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34,721</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(12,236)</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22,485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All other </w:t>
            </w:r>
            <w:r>
              <w:rPr>
                <w:rFonts w:ascii="Times New Roman" w:cs="Times New Roman" w:eastAsia="Times New Roman" w:hAnsi="Times New Roman"/>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ind w:right="117"/>
              <w:spacing w:after="0"/>
              <w:rPr>
                <w:sz w:val="20"/>
                <w:szCs w:val="20"/>
                <w:color w:val="auto"/>
              </w:rPr>
            </w:pPr>
            <w:r>
              <w:rPr>
                <w:rFonts w:ascii="Times New Roman" w:cs="Times New Roman" w:eastAsia="Times New Roman" w:hAnsi="Times New Roman"/>
                <w:sz w:val="18"/>
                <w:szCs w:val="18"/>
                <w:color w:val="auto"/>
              </w:rPr>
              <w:t>5 years</w:t>
            </w: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10,958</w:t>
            </w:r>
          </w:p>
        </w:tc>
        <w:tc>
          <w:tcPr>
            <w:tcW w:w="22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w:t>
            </w:r>
          </w:p>
        </w:tc>
        <w:tc>
          <w:tcPr>
            <w:tcW w:w="2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9,651</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770,446</w:t>
            </w:r>
          </w:p>
        </w:tc>
        <w:tc>
          <w:tcPr>
            <w:tcW w:w="22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(166,706)</w:t>
            </w:r>
          </w:p>
        </w:tc>
        <w:tc>
          <w:tcPr>
            <w:tcW w:w="2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603,740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340" w:hanging="332"/>
        <w:spacing w:after="0" w:line="218" w:lineRule="auto"/>
        <w:tabs>
          <w:tab w:leader="none" w:pos="340" w:val="left"/>
        </w:tabs>
        <w:numPr>
          <w:ilvl w:val="0"/>
          <w:numId w:val="5"/>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At June 30, 2016 and December 31, 2015, all other included in-process research and development ("IPR&amp;D") of $1.0 million in both periods, which was indefinite-lived.</w:t>
      </w:r>
    </w:p>
    <w:p>
      <w:pPr>
        <w:spacing w:after="0" w:line="1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quarter-end exchange rates, annual amortization expense (including amounts reported in cost of product revenues, but excluding any possible future amortization associated with acquired in-process research and development) is expected to approximate $41.5 million in 2016, $40.9 million in 2017, $40.4 million in 2018, $40.4 million in 2019 and $40.2 million in 2020. Identifiable intangible assets are initially recorded at fair market value at the time of acquisition using an income or cost approach.</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Senior Credit Agreement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August 28, 2015, the Company entered into a second amendment (the “Second Amendment”) to the certain Third Amended and Restated Credit Agreement, dated as of July 2, 2014 among the Company, a syndicate of lending banks, Bank of America, N.A., as Administrative Agent, Swing Line Lender and L/C Issuer, Wells Fargo Bank, National Association, as Syndication Agent, and HSBC Bank USA, National Association, Royal Bank of Canada, Citizens Bank, National Association, DNB Capital LLC, Crédit Agricole-Corporate and Investment Bank, and TD Bank, N.A., as Co-Documentation Agents.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Second Amendment creates an aggregate principal amount of up to $1.1 billion available to the Company through the following facilities:</w:t>
      </w:r>
    </w:p>
    <w:p>
      <w:pPr>
        <w:spacing w:after="0" w:line="63" w:lineRule="exact"/>
        <w:rPr>
          <w:sz w:val="20"/>
          <w:szCs w:val="20"/>
          <w:color w:val="auto"/>
        </w:rPr>
      </w:pPr>
    </w:p>
    <w:p>
      <w:pPr>
        <w:ind w:left="660" w:hanging="328"/>
        <w:spacing w:after="0" w:line="28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$750.0 million revolving credit facility, which includes a $60.0 million sublimit for the issuance of standby letters of credit and a $60.0 million sublimit for swingline loans,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$350.0 million term loan facility.</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Second Amendment, the Company borrowed $200.0 million of incremental term loans as permitted under the original terms of the Senior Credit Facility to repay a portion of the Company's outstanding revolving loans. Additionally, the Second Amendment (i) enables the Company to incur up to $200.0 million of incremental loans in the future and (ii) modifies the consolidated leverage ratio covenant in the Credit Agreement. The July 2014 amended and restated Senior Credit Facility extended the maturity date of the prior facility from June 8, 2016 to July 2, 2019.</w:t>
      </w: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17"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Borrowings under the Senior Credit Facility bear interest, at the Company’s option, at a rate equal to:</w:t>
      </w:r>
    </w:p>
    <w:p>
      <w:pPr>
        <w:spacing w:after="0" w:line="63" w:lineRule="exact"/>
        <w:rPr>
          <w:sz w:val="20"/>
          <w:szCs w:val="20"/>
          <w:color w:val="auto"/>
        </w:rPr>
      </w:pPr>
    </w:p>
    <w:p>
      <w:pPr>
        <w:ind w:left="660" w:hanging="328"/>
        <w:spacing w:after="0" w:line="281"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Eurodollar Rate (as defined in the amendment and restatement) in effect from time to time plus the applicable rate (ranging from 1.00% to 1.75%), or</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highest of:</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overnight Federal funds rate, as published by the Federal Reserve Bank of New York, plus 0.50%,</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prime lending rate of Bank of America, N.A., or</w:t>
      </w:r>
    </w:p>
    <w:p>
      <w:pPr>
        <w:spacing w:after="0" w:line="6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one-month Eurodollar Rate plus 1.00%.</w:t>
      </w:r>
    </w:p>
    <w:p>
      <w:pPr>
        <w:spacing w:after="0" w:line="1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applicable rates are based on the Company’s consolidated total leverage ratio (defined as the ratio of (a) consolidated funded indebtedness less cash in excess of $40.0 million that is not subject to any restriction of the use or investment thereof to (b) consolidated EBITDA) at the time of the applicable borrowing.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also pay an annual commitment fee (ranging from 0.15% to 0.30%, based on the Company’s consolidated total leverage ratio) on the daily amount by which the revolving credit facility exceeds the outstanding loans and letters of credit under the credit facility.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Senior Credit Facility is collateralized by substantially all of the assets of the Company’s U.S. subsidiaries, excluding intangible assets. The Senior Credit Facility is subject to various financial and negative covenants and at June 30, 2016 the Company was in compliance with all such covenants. The Company capitalized $1.4 million of incremental financing costs in 2015 in connection with the modifications of the Senior Credit Facility.</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2016 and December 31, 2015, there was $140.0 million and $150.0 million outstanding, respectively, under the revolving credit component of the Senior Credit Facility at a weighted average interest rate of 2.1% and 1.9%, respectively. At June 30, 2016 and December 31, 2015, there was $342.5 million and $346.2 million outstanding, respectively, under the term loan component of the Senior Credit Facility at a weighted average interest rate of 2.1% and 1.8%, respectively. At June 30, 2016, there was approximately $610.0 million available for borrowing under the Senior Credit Facility.</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fair value of outstanding borrowings of the Senior Credit Facility's revolving credit facility and term loan components at June 30, 2016 was approximately $134.5 million and $330.3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 The Company considers the balance to be long-term in nature based on its current intent and ability to repay the borrowing outside of the next twelve-month period.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Contractual repayments of the term loan began September 30, 2015 and are due as follows: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0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5840" w:type="dxa"/>
            <w:vAlign w:val="bottom"/>
            <w:gridSpan w:val="3"/>
          </w:tcPr>
          <w:p>
            <w:pPr>
              <w:jc w:val="right"/>
              <w:ind w:right="4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98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Principal Repayment</w:t>
            </w:r>
          </w:p>
        </w:tc>
      </w:tr>
      <w:tr>
        <w:trPr>
          <w:trHeight w:val="286"/>
        </w:trPr>
        <w:tc>
          <w:tcPr>
            <w:tcW w:w="20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24"/>
                <w:szCs w:val="24"/>
                <w:color w:val="auto"/>
              </w:rPr>
            </w:pPr>
          </w:p>
        </w:tc>
      </w:tr>
      <w:tr>
        <w:trPr>
          <w:trHeight w:val="255"/>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2016</w:t>
            </w:r>
          </w:p>
        </w:tc>
        <w:tc>
          <w:tcPr>
            <w:tcW w:w="74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10,625</w:t>
            </w:r>
          </w:p>
        </w:tc>
      </w:tr>
      <w:tr>
        <w:trPr>
          <w:trHeight w:val="243"/>
        </w:trPr>
        <w:tc>
          <w:tcPr>
            <w:tcW w:w="20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2017</w:t>
            </w: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25,625</w:t>
            </w:r>
          </w:p>
        </w:tc>
      </w:tr>
      <w:tr>
        <w:trPr>
          <w:trHeight w:val="27"/>
        </w:trPr>
        <w:tc>
          <w:tcPr>
            <w:tcW w:w="20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2000" w:type="dxa"/>
            <w:vAlign w:val="bottom"/>
            <w:tcBorders>
              <w:bottom w:val="single" w:sz="8" w:color="CCEEFF"/>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rPr>
              <w:t>2018</w:t>
            </w:r>
          </w:p>
        </w:tc>
        <w:tc>
          <w:tcPr>
            <w:tcW w:w="16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32,500</w:t>
            </w:r>
          </w:p>
        </w:tc>
      </w:tr>
      <w:tr>
        <w:trPr>
          <w:trHeight w:val="243"/>
        </w:trPr>
        <w:tc>
          <w:tcPr>
            <w:tcW w:w="2000" w:type="dxa"/>
            <w:vAlign w:val="bottom"/>
          </w:tcPr>
          <w:p>
            <w:pPr>
              <w:jc w:val="right"/>
              <w:ind w:right="1510"/>
              <w:spacing w:after="0"/>
              <w:rPr>
                <w:sz w:val="20"/>
                <w:szCs w:val="20"/>
                <w:color w:val="auto"/>
              </w:rPr>
            </w:pPr>
            <w:r>
              <w:rPr>
                <w:rFonts w:ascii="Times New Roman" w:cs="Times New Roman" w:eastAsia="Times New Roman" w:hAnsi="Times New Roman"/>
                <w:sz w:val="18"/>
                <w:szCs w:val="18"/>
                <w:color w:val="auto"/>
              </w:rPr>
              <w:t>2019</w:t>
            </w:r>
          </w:p>
        </w:tc>
        <w:tc>
          <w:tcPr>
            <w:tcW w:w="16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273,750</w:t>
            </w:r>
          </w:p>
        </w:tc>
      </w:tr>
      <w:tr>
        <w:trPr>
          <w:trHeight w:val="27"/>
        </w:trPr>
        <w:tc>
          <w:tcPr>
            <w:tcW w:w="20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69"/>
        </w:trPr>
        <w:tc>
          <w:tcPr>
            <w:tcW w:w="2000" w:type="dxa"/>
            <w:vAlign w:val="bottom"/>
            <w:tcBorders>
              <w:bottom w:val="single" w:sz="8" w:color="CCEEFF"/>
            </w:tcBorders>
            <w:shd w:val="clear" w:color="auto" w:fill="CCEEFF"/>
          </w:tcPr>
          <w:p>
            <w:pPr>
              <w:spacing w:after="0"/>
              <w:rPr>
                <w:sz w:val="22"/>
                <w:szCs w:val="22"/>
                <w:color w:val="auto"/>
              </w:rPr>
            </w:pPr>
          </w:p>
        </w:tc>
        <w:tc>
          <w:tcPr>
            <w:tcW w:w="7440" w:type="dxa"/>
            <w:vAlign w:val="bottom"/>
            <w:tcBorders>
              <w:bottom w:val="single" w:sz="8" w:color="CCEEFF"/>
            </w:tcBorders>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342,500</w:t>
            </w:r>
          </w:p>
        </w:tc>
      </w:tr>
      <w:tr>
        <w:trPr>
          <w:trHeight w:val="20"/>
        </w:trPr>
        <w:tc>
          <w:tcPr>
            <w:tcW w:w="20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39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of revolving credit component of the Senior Credit Facility is due on July 2, 2019.</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2016 Convertible Senior Notes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June 15, 2011, the Company issued $230.0 million aggregate principal amount of its 1.625% Convertible Senior Notes due in 2016 (the “2016 Notes”). The 2016 Notes mature on December 15, 2016, and bear interest at a rate of 1.625% per annum payable semi-annually in arrears on December 15 and June 15 of each year. The portion of the debt proceeds that was classified as equity at the time of the offering was $43.2 million, an equivalent of that amount is being amortized to interest expense using the effective interest method through December 2016. The effective interest rate implicit in the liability component is 5.6%.</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17"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June 30, 2016, the carrying amount of the liability component was $223.0 million, the remaining unamortized discount was $4.1 million, the unamortized debt issuance cost was fully amortized and the principal amount outstanding was $227.1 million. At December 31, 2015, the carrying amount of the liability component was $218.2 million, the remaining unamortized discount was $8.4 million, the remaining unamortized debt issuance cost was $0.5 million and the principal amount outstanding was $227.1 million.</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 2016 Notes at June 30, 2016 was approximately $343.2 million. The fair value of the liability of the 2016 Notes was determined using a discounted cash flow model based on current market interest rates available to the Company. These inputs are corroborated by observable market data for similar liabilities and therefore classified within Level 2 of the fair value hierarchy.</w:t>
      </w:r>
    </w:p>
    <w:p>
      <w:pPr>
        <w:spacing w:after="0" w:line="1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2016 Notes are senior, unsecured obligations of the Company, and are convertible into cash and, if applicable, shares of its common stock based on an initial conversion rate, subject to adjustment of 18.9287 shares per $1,000 principal amount of 2016 Notes (which represents an initial conversion price of approximately $52.83 per share). The Company will satisfy any conversion of the 2016 Notes with cash up to the principal amount of the 2016 Notes pursuant to the net share settlement mechanism set forth in the indenture and, with respect to any excess conversion value, with shares of the Company’s common stock. The 2016 Notes are convertible only in the following circumstances: (1) if the closing sale price of the Company’s common stock exceeds 150% of the conversion price during a period as defined in the indenture; (2) if the average trading price per $1,000 principal amount of the 2016 Notes is less than or equal to 98% of the average conversion value of the 2016 Notes during a period as defined in the indenture; (3) at any time on or after June 15, 2016; or (4) if specified corporate transactions occur, which included the spin-off of the spine business. The issue price of the 2016 Notes was equal to their face amount, which is also the amount holders are entitled to receive at maturity if the 2016 Notes are not converted. As of March 31, 2015, certain conversion features were triggered due to the announced spin-off of the Company's subsidiary, SeaSpine Holdings Corporation, which allowed the holders to convert all or any of the 2016 Notes subject to certain conditions. The 2016 Notes were convertible through June 10, 2015 and as of the close of the conversion window, note holders provided notice to convert 2,903 notes. During 2015, the Company paid $2.9 million in cash and issued 8,457 shares to settle the obligation to the note holders that converted. The Company considers the balance to be long-term in nature based on its current intent and ability to refinance the borrowing.</w:t>
      </w:r>
    </w:p>
    <w:p>
      <w:pPr>
        <w:spacing w:after="0" w:line="1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2016 Notes, the Company entered into call transactions and warrant transactions, primarily with affiliates of the initial purchasers of such notes (the “hedge participants”). The initial strike price of the call transaction is approximately $52.83 per share, subject to customary anti-dilution adjustments. The initial strike price of the warrant transaction is approximately $64.43 per share, subject to customary anti-dilution adjustments.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 Interest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interest expense components of the Company’s convertible notes are as follows (net of capitalized interest amounts):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6"/>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2016 Notes: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the discount on the liability component (1)</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3,744</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interest related to the contractual interest coupon (2)</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892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1,780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1,669</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2,996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2,709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5,948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5,413</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firstLine="8"/>
        <w:spacing w:after="0" w:line="329" w:lineRule="auto"/>
        <w:tabs>
          <w:tab w:leader="none" w:pos="8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amortization of the discount on the liability component of the 2016 Notes is presented net of capitalized interest of $0.1 million and $0.2 million for the three months ended June 30, 2016 and 2015, and $0.2 million and $0.4 million for the six months ended June 30, 2016 and 2015, respectively.</w:t>
      </w:r>
    </w:p>
    <w:p>
      <w:pPr>
        <w:spacing w:after="0" w:line="107" w:lineRule="exact"/>
        <w:rPr>
          <w:rFonts w:ascii="Times New Roman" w:cs="Times New Roman" w:eastAsia="Times New Roman" w:hAnsi="Times New Roman"/>
          <w:sz w:val="18"/>
          <w:szCs w:val="18"/>
          <w:color w:val="auto"/>
        </w:rPr>
      </w:pPr>
    </w:p>
    <w:p>
      <w:pPr>
        <w:jc w:val="both"/>
        <w:ind w:firstLine="8"/>
        <w:spacing w:after="0" w:line="313" w:lineRule="auto"/>
        <w:tabs>
          <w:tab w:leader="none" w:pos="8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interest related to the contractual interest coupon on the 2016 Notes is presented net of capitalized interest of $0.1 million for the three months ended June 30, 2015 and $0.1 million and $0.2 million for the six months ended June 30, 2016 and 2015, respectively. A minimal amount was capitalized for the three months ended June 30, 2016.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17"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Interest Rate Hedging</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interest rate risk relates to U.S. dollar denominated variable interest rate borrowings. On June 22, 2016, the Company entered into two $50.0 million interest rate swap derivative instruments with separate financial institutions, each with an effective date of December 31, 2016 to manage its earnings and cash flow exposure to changes in interest rates covering a portion of its floating-rate debt. These interest rate swaps expires on June 30, 2019.</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10, 2015 the interest rate swap derivative instrument the Company entered into on August 10, 2010 with an effective date of December 31, 2010 expired. The interest rate swap was used to manage the Company's earnings and cash flow exposure to changes in interest rates by converting a portion of its floating-rate debt into fixed-rate debt.</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designated these derivative instruments as cash flow hedges. The Company recorded the effective portion of any change in the fair value of a derivative instrument designated as a cash flow hedge as unrealized gains or losses in accumulated other comprehensive income (“AOCI”), net of tax, until the hedged item affected earnings, at which point the effective portion of any gain or loss was reclassified to earnings. If the hedged cash flow does not occur, or if it becomes probable that it will not occur, the Company will reclassify the amount of any gain or loss on the related cash flow hedge to interest expense at that time.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2016, the Company had total outstanding interest rate swaps of $100.0 million each with an effective date of December 31, 2016.</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 Hedging</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Counterparty Credit Risk</w:t>
      </w:r>
    </w:p>
    <w:p>
      <w:pPr>
        <w:spacing w:after="0" w:line="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are subject to collateral or other security arrangements, and none contain provisions that depend upon the Company’s credit ratings from any credit rating agency.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 of Derivative Instruments</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swaps was developed using a market approach based on publicly available market yield curves and the terms of the related swap. The Company performs ongoing assessments of counterparty credit risk.</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17" w:right="2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9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and presentation for derivatives designated as hedging instruments in the condensed consolidated balance sheets as of June 30, 2016:</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xml:space="preserve">Location on Balance Sheet </w:t>
            </w:r>
            <w:r>
              <w:rPr>
                <w:rFonts w:ascii="Times New Roman" w:cs="Times New Roman" w:eastAsia="Times New Roman" w:hAnsi="Times New Roman"/>
                <w:sz w:val="8"/>
                <w:szCs w:val="8"/>
                <w:b w:val="1"/>
                <w:bCs w:val="1"/>
                <w:color w:val="auto"/>
              </w:rPr>
              <w:t>(1)</w:t>
            </w:r>
            <w:r>
              <w:rPr>
                <w:rFonts w:ascii="Times New Roman" w:cs="Times New Roman" w:eastAsia="Times New Roman" w:hAnsi="Times New Roman"/>
                <w:sz w:val="14"/>
                <w:szCs w:val="14"/>
                <w:b w:val="1"/>
                <w:bCs w:val="1"/>
                <w:color w:val="auto"/>
              </w:rPr>
              <w:t>:</w:t>
            </w:r>
          </w:p>
        </w:tc>
        <w:tc>
          <w:tcPr>
            <w:tcW w:w="16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as of June 30,</w:t>
            </w:r>
          </w:p>
        </w:tc>
        <w:tc>
          <w:tcPr>
            <w:tcW w:w="0" w:type="dxa"/>
            <w:vAlign w:val="bottom"/>
          </w:tcPr>
          <w:p>
            <w:pPr>
              <w:spacing w:after="0"/>
              <w:rPr>
                <w:sz w:val="1"/>
                <w:szCs w:val="1"/>
                <w:color w:val="auto"/>
              </w:rPr>
            </w:pPr>
          </w:p>
        </w:tc>
      </w:tr>
      <w:tr>
        <w:trPr>
          <w:trHeight w:val="195"/>
        </w:trPr>
        <w:tc>
          <w:tcPr>
            <w:tcW w:w="95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5"/>
        </w:trPr>
        <w:tc>
          <w:tcPr>
            <w:tcW w:w="930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tcPr>
          <w:p>
            <w:pPr>
              <w:jc w:val="center"/>
              <w:ind w:right="1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53"/>
        </w:trPr>
        <w:tc>
          <w:tcPr>
            <w:tcW w:w="95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Derivatives designated as hedges — Liabilities:</w:t>
            </w: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9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520" w:type="dxa"/>
            <w:vAlign w:val="bottom"/>
            <w:gridSpan w:val="2"/>
            <w:shd w:val="clear" w:color="auto" w:fill="CCEEFF"/>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Interest rate swap — Accrued expenses and other current liabilities </w:t>
            </w:r>
            <w:r>
              <w:rPr>
                <w:rFonts w:ascii="Times New Roman" w:cs="Times New Roman" w:eastAsia="Times New Roman" w:hAnsi="Times New Roman"/>
                <w:sz w:val="25"/>
                <w:szCs w:val="25"/>
                <w:color w:val="auto"/>
                <w:vertAlign w:val="superscript"/>
              </w:rPr>
              <w:t>(2)</w:t>
            </w:r>
          </w:p>
        </w:tc>
        <w:tc>
          <w:tcPr>
            <w:tcW w:w="2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70"/>
        </w:trPr>
        <w:tc>
          <w:tcPr>
            <w:tcW w:w="9520" w:type="dxa"/>
            <w:vAlign w:val="bottom"/>
            <w:tcBorders>
              <w:bottom w:val="single" w:sz="8" w:color="CCEEFF"/>
            </w:tcBorders>
            <w:gridSpan w:val="2"/>
          </w:tcPr>
          <w:p>
            <w:pPr>
              <w:ind w:left="40"/>
              <w:spacing w:after="0" w:line="270" w:lineRule="exact"/>
              <w:rPr>
                <w:sz w:val="20"/>
                <w:szCs w:val="20"/>
                <w:color w:val="auto"/>
              </w:rPr>
            </w:pPr>
            <w:r>
              <w:rPr>
                <w:rFonts w:ascii="Times New Roman" w:cs="Times New Roman" w:eastAsia="Times New Roman" w:hAnsi="Times New Roman"/>
                <w:sz w:val="18"/>
                <w:szCs w:val="18"/>
                <w:color w:val="auto"/>
              </w:rPr>
              <w:t xml:space="preserve">Interest rate swap — Other liabilities </w:t>
            </w:r>
            <w:r>
              <w:rPr>
                <w:rFonts w:ascii="Times New Roman" w:cs="Times New Roman" w:eastAsia="Times New Roman" w:hAnsi="Times New Roman"/>
                <w:sz w:val="25"/>
                <w:szCs w:val="25"/>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471</w:t>
            </w:r>
          </w:p>
        </w:tc>
        <w:tc>
          <w:tcPr>
            <w:tcW w:w="0" w:type="dxa"/>
            <w:vAlign w:val="bottom"/>
          </w:tcPr>
          <w:p>
            <w:pPr>
              <w:spacing w:after="0"/>
              <w:rPr>
                <w:sz w:val="1"/>
                <w:szCs w:val="1"/>
                <w:color w:val="auto"/>
              </w:rPr>
            </w:pPr>
          </w:p>
        </w:tc>
      </w:tr>
      <w:tr>
        <w:trPr>
          <w:trHeight w:val="269"/>
        </w:trPr>
        <w:tc>
          <w:tcPr>
            <w:tcW w:w="95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Derivatives designated as hedges — Liabilities</w:t>
            </w: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0"/>
        </w:trPr>
        <w:tc>
          <w:tcPr>
            <w:tcW w:w="9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8"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The Company classifies derivative assets and liabilities as non-current based on the cash flows expected to be incurred within the following 12 months.</w:t>
      </w:r>
    </w:p>
    <w:p>
      <w:pPr>
        <w:spacing w:after="0" w:line="1" w:lineRule="exact"/>
        <w:rPr>
          <w:rFonts w:ascii="Times New Roman" w:cs="Times New Roman" w:eastAsia="Times New Roman" w:hAnsi="Times New Roman"/>
          <w:sz w:val="25"/>
          <w:szCs w:val="25"/>
          <w:color w:val="auto"/>
          <w:vertAlign w:val="superscript"/>
        </w:rPr>
      </w:pPr>
    </w:p>
    <w:p>
      <w:pPr>
        <w:ind w:left="340" w:hanging="332"/>
        <w:spacing w:after="0" w:line="208" w:lineRule="auto"/>
        <w:tabs>
          <w:tab w:leader="none" w:pos="340" w:val="left"/>
        </w:tabs>
        <w:numPr>
          <w:ilvl w:val="0"/>
          <w:numId w:val="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8"/>
          <w:szCs w:val="18"/>
          <w:color w:val="auto"/>
        </w:rPr>
        <w:t>At June 30, 2016, the notional amount related to the Company’s interest rate swaps was $100.0 million. There are no expected reduction in notional amount in the next twelve months.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instruments outstanding as of December 31, 2015.</w:t>
      </w:r>
    </w:p>
    <w:p>
      <w:pPr>
        <w:spacing w:after="0" w:line="9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presents the effect of derivative instruments designated as cash flow hedges on the accompanying condensed consolidated statements of operations during the three and six months ended June 30, 2016 and 2015:</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 Loss</w:t>
            </w: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in AOCI</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80" w:type="dxa"/>
            <w:vAlign w:val="bottom"/>
            <w:vMerge w:val="restart"/>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Balance in AOCI</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Earnings-Effective</w:t>
            </w:r>
          </w:p>
        </w:tc>
        <w:tc>
          <w:tcPr>
            <w:tcW w:w="1140" w:type="dxa"/>
            <w:vAlign w:val="bottom"/>
            <w:gridSpan w:val="2"/>
            <w:vMerge w:val="continue"/>
          </w:tcPr>
          <w:p>
            <w:pPr>
              <w:spacing w:after="0"/>
              <w:rPr>
                <w:sz w:val="12"/>
                <w:szCs w:val="12"/>
                <w:color w:val="auto"/>
              </w:rPr>
            </w:pPr>
          </w:p>
        </w:tc>
        <w:tc>
          <w:tcPr>
            <w:tcW w:w="1580" w:type="dxa"/>
            <w:vAlign w:val="bottom"/>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0" w:type="dxa"/>
            <w:vAlign w:val="bottom"/>
          </w:tcPr>
          <w:p>
            <w:pPr>
              <w:spacing w:after="0"/>
              <w:rPr>
                <w:sz w:val="1"/>
                <w:szCs w:val="1"/>
                <w:color w:val="auto"/>
              </w:rPr>
            </w:pPr>
          </w:p>
        </w:tc>
      </w:tr>
      <w:tr>
        <w:trPr>
          <w:trHeight w:val="195"/>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End of Quarter</w:t>
            </w:r>
          </w:p>
        </w:tc>
        <w:tc>
          <w:tcPr>
            <w:tcW w:w="1580" w:type="dxa"/>
            <w:vAlign w:val="bottom"/>
            <w:tcBorders>
              <w:bottom w:val="single" w:sz="8" w:color="auto"/>
            </w:tcBorders>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 2016</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72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June 30, 2015</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366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14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3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72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20"/>
                <w:szCs w:val="20"/>
                <w:color w:val="auto"/>
              </w:rPr>
            </w:pPr>
          </w:p>
        </w:tc>
        <w:tc>
          <w:tcPr>
            <w:tcW w:w="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3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ind w:right="100"/>
              <w:spacing w:after="0" w:line="151" w:lineRule="exact"/>
              <w:rPr>
                <w:sz w:val="20"/>
                <w:szCs w:val="20"/>
                <w:color w:val="auto"/>
              </w:rPr>
            </w:pPr>
            <w:r>
              <w:rPr>
                <w:rFonts w:ascii="Times New Roman" w:cs="Times New Roman" w:eastAsia="Times New Roman" w:hAnsi="Times New Roman"/>
                <w:sz w:val="14"/>
                <w:szCs w:val="14"/>
                <w:b w:val="1"/>
                <w:bCs w:val="1"/>
                <w:color w:val="auto"/>
              </w:rPr>
              <w:t>Amount of</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4"/>
                <w:szCs w:val="14"/>
                <w:b w:val="1"/>
                <w:bCs w:val="1"/>
                <w:color w:val="auto"/>
              </w:rPr>
              <w:t>Amount of Loss</w:t>
            </w: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in AOCI</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580" w:type="dxa"/>
            <w:vAlign w:val="bottom"/>
            <w:vMerge w:val="restart"/>
          </w:tcPr>
          <w:p>
            <w:pPr>
              <w:jc w:val="center"/>
              <w:ind w:left="44"/>
              <w:spacing w:after="0"/>
              <w:rPr>
                <w:sz w:val="20"/>
                <w:szCs w:val="20"/>
                <w:color w:val="auto"/>
              </w:rPr>
            </w:pPr>
            <w:r>
              <w:rPr>
                <w:rFonts w:ascii="Times New Roman" w:cs="Times New Roman" w:eastAsia="Times New Roman" w:hAnsi="Times New Roman"/>
                <w:sz w:val="14"/>
                <w:szCs w:val="14"/>
                <w:b w:val="1"/>
                <w:bCs w:val="1"/>
                <w:color w:val="auto"/>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AOCI into</w:t>
            </w:r>
          </w:p>
        </w:tc>
        <w:tc>
          <w:tcPr>
            <w:tcW w:w="11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Balance in AOCI</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200" w:type="dxa"/>
            <w:vAlign w:val="bottom"/>
          </w:tcPr>
          <w:p>
            <w:pPr>
              <w:spacing w:after="0"/>
              <w:rPr>
                <w:sz w:val="12"/>
                <w:szCs w:val="12"/>
                <w:color w:val="auto"/>
              </w:rPr>
            </w:pPr>
          </w:p>
        </w:tc>
        <w:tc>
          <w:tcPr>
            <w:tcW w:w="1400" w:type="dxa"/>
            <w:vAlign w:val="bottom"/>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AOCI-</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Earnings-Effective</w:t>
            </w:r>
          </w:p>
        </w:tc>
        <w:tc>
          <w:tcPr>
            <w:tcW w:w="1140" w:type="dxa"/>
            <w:vAlign w:val="bottom"/>
            <w:gridSpan w:val="2"/>
            <w:vMerge w:val="continue"/>
          </w:tcPr>
          <w:p>
            <w:pPr>
              <w:spacing w:after="0"/>
              <w:rPr>
                <w:sz w:val="12"/>
                <w:szCs w:val="12"/>
                <w:color w:val="auto"/>
              </w:rPr>
            </w:pPr>
          </w:p>
        </w:tc>
        <w:tc>
          <w:tcPr>
            <w:tcW w:w="1580" w:type="dxa"/>
            <w:vAlign w:val="bottom"/>
          </w:tcPr>
          <w:p>
            <w:pPr>
              <w:jc w:val="center"/>
              <w:ind w:left="24"/>
              <w:spacing w:after="0" w:line="149" w:lineRule="exact"/>
              <w:rPr>
                <w:sz w:val="20"/>
                <w:szCs w:val="20"/>
                <w:color w:val="auto"/>
              </w:rPr>
            </w:pPr>
            <w:r>
              <w:rPr>
                <w:rFonts w:ascii="Times New Roman" w:cs="Times New Roman" w:eastAsia="Times New Roman" w:hAnsi="Times New Roman"/>
                <w:sz w:val="14"/>
                <w:szCs w:val="14"/>
                <w:b w:val="1"/>
                <w:bCs w:val="1"/>
                <w:color w:val="auto"/>
              </w:rPr>
              <w:t>Statements of</w:t>
            </w:r>
          </w:p>
        </w:tc>
        <w:tc>
          <w:tcPr>
            <w:tcW w:w="0" w:type="dxa"/>
            <w:vAlign w:val="bottom"/>
          </w:tcPr>
          <w:p>
            <w:pPr>
              <w:spacing w:after="0"/>
              <w:rPr>
                <w:sz w:val="1"/>
                <w:szCs w:val="1"/>
                <w:color w:val="auto"/>
              </w:rPr>
            </w:pPr>
          </w:p>
        </w:tc>
      </w:tr>
      <w:tr>
        <w:trPr>
          <w:trHeight w:val="195"/>
        </w:trPr>
        <w:tc>
          <w:tcPr>
            <w:tcW w:w="36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Effective Portion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11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End of Quarter</w:t>
            </w:r>
          </w:p>
        </w:tc>
        <w:tc>
          <w:tcPr>
            <w:tcW w:w="1580" w:type="dxa"/>
            <w:vAlign w:val="bottom"/>
            <w:tcBorders>
              <w:bottom w:val="single" w:sz="8" w:color="auto"/>
            </w:tcBorders>
          </w:tcPr>
          <w:p>
            <w:pPr>
              <w:jc w:val="center"/>
              <w:ind w:left="24"/>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0" w:type="dxa"/>
            <w:vAlign w:val="bottom"/>
          </w:tcPr>
          <w:p>
            <w:pPr>
              <w:spacing w:after="0"/>
              <w:rPr>
                <w:sz w:val="1"/>
                <w:szCs w:val="1"/>
                <w:color w:val="auto"/>
              </w:rPr>
            </w:pPr>
          </w:p>
        </w:tc>
      </w:tr>
      <w:tr>
        <w:trPr>
          <w:trHeight w:val="201"/>
        </w:trPr>
        <w:tc>
          <w:tcPr>
            <w:tcW w:w="3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680" w:type="dxa"/>
            <w:vAlign w:val="bottom"/>
            <w:gridSpan w:val="4"/>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 2016</w:t>
            </w:r>
          </w:p>
        </w:tc>
        <w:tc>
          <w:tcPr>
            <w:tcW w:w="2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5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
        </w:trPr>
        <w:tc>
          <w:tcPr>
            <w:tcW w:w="36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4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4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58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36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 2015</w:t>
            </w:r>
          </w:p>
        </w:tc>
        <w:tc>
          <w:tcPr>
            <w:tcW w:w="22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420" w:type="dxa"/>
            <w:vAlign w:val="bottom"/>
            <w:tcBorders>
              <w:bottom w:val="single" w:sz="8" w:color="CCEEFF"/>
            </w:tcBorders>
          </w:tcPr>
          <w:p>
            <w:pPr>
              <w:spacing w:after="0"/>
              <w:rPr>
                <w:sz w:val="23"/>
                <w:szCs w:val="23"/>
                <w:color w:val="auto"/>
              </w:rPr>
            </w:pPr>
          </w:p>
        </w:tc>
        <w:tc>
          <w:tcPr>
            <w:tcW w:w="720" w:type="dxa"/>
            <w:vAlign w:val="bottom"/>
            <w:tcBorders>
              <w:bottom w:val="single" w:sz="8" w:color="CCEEFF"/>
            </w:tcBorders>
          </w:tcPr>
          <w:p>
            <w:pPr>
              <w:spacing w:after="0"/>
              <w:rPr>
                <w:sz w:val="23"/>
                <w:szCs w:val="23"/>
                <w:color w:val="auto"/>
              </w:rPr>
            </w:pPr>
          </w:p>
        </w:tc>
        <w:tc>
          <w:tcPr>
            <w:tcW w:w="158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37"/>
        </w:trPr>
        <w:tc>
          <w:tcPr>
            <w:tcW w:w="366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20"/>
                <w:szCs w:val="20"/>
                <w:color w:val="auto"/>
              </w:rPr>
            </w:pPr>
          </w:p>
        </w:tc>
        <w:tc>
          <w:tcPr>
            <w:tcW w:w="4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recognized no gains or losses resulting from ineffectiveness of cash flow hedges during the three and six months ended June 30, 2016 and 2015.</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117"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2016, the Company had stock options, restricted stock awards, performance stock units, contract stock awards and restricted stock unit awards outstanding under three plans, the 2000 Equity Incentive Plan (the “2000 Plan”), the 2001 Equity Incentive Plan (the “2001 Plan”), and the 2003 Equity Incentive Plan (the “2003 Plan,” and collectively, the “Plans”).</w:t>
      </w:r>
    </w:p>
    <w:p>
      <w:pPr>
        <w:spacing w:after="0" w:line="4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Stock options issued under the Plans become exercisable over specified periods, generally within four years from the date of grant for officers, directors, and employees, and generally expire eight years from the grant date for employees, and from eight to ten years for directors and certain executive officers. Restricted stock issued under the Plans vests over specified periods, generally three years after the date of grant. The vesting of performance stock, issued under the Plans, is subject to service and performance conditions.</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the separation of SeaSpine on July 1, 2015 and in accordance with the Employee Matters Agreement, the Company made certain adjustments to the exercise price and number of share-based compensation awards with the intention of preserving the intrinsic value of the awards prior to the separation. Stock options issued in 2015 prior to the separation converted to those of the entity where the employee is working post-separation. Stock options issued prior to 2015 converted to both Integra and SeaSpine options such that the holders received stock options in both companies. The exercise price of these outstanding awards was adjusted to preserve the value of the awards immediately prior to the separation. Performance stock, restricted stock, and contract stock were adjusted to provide holders performance stock, restricted stock, and contract stock in the company that employs such employee following the separation. The adjustments to the Company's stock-based compensation awards resulted in an increase in incremental fair value of $4.4 million, of which $3.3 million has been previously recorded and $0.2 million and $0.4 million were recorded in the three and six months ended June 30, 2016. The remaining $0.7 million will be recognized prospectively over the remaining term of outstanding awards, adjusted, as applicable, for forfeitures.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 Options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2016, there were approximately $4.0 million of total unrecognized compensation costs related to unvested stock options, including the additional incremental fair value expense discussed above. These costs are expected to be recognized over a weighted-average period of approximately two years. There were 111,662 stock options granted during the six months ended June 30,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Awards of Restricted Stock, Performance Stock and Contract Stock</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Performance stock, restricted stock and contract stock awards generally have requisite service periods of three years. Performance stock units are subject to graded vesting conditions, and the Company expenses their fair value over the requisite service period. The Company expenses the fair value of restricted stock and contract stock awards on a straight-line basis over the vesting period or requisite service period, whichever is shorter. As of June 30, 2016, there were approximately $22.2 million of total unrecognized compensation costs related to these unvested awards, including the additional incremental fair value expense discussed above. The Company expects to recognize these costs over a weighted-average period of approximately two years. The Company granted 155,371 restricted stock awards/stock units and 78,177 performance shares during the six months ended June 30, 2016.</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 formal policy related to the repurchase of shares for the purpose of satisfying stock-based compensation obligations.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TREASURY STOCK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October 28, 2014, the Board of Directors authorized a repurchase plan of up to $75.0 million of its outstanding common stock through December 2016.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2016, there remained $75.0 million available for repurchases under this authorization.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cash treasury stock repurchases during the six months ended June 30, 2016 and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17"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effective tax rate: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40" w:type="dxa"/>
            <w:vAlign w:val="bottom"/>
          </w:tcPr>
          <w:p>
            <w:pPr>
              <w:spacing w:after="0"/>
              <w:rPr>
                <w:sz w:val="16"/>
                <w:szCs w:val="16"/>
                <w:color w:val="auto"/>
              </w:rPr>
            </w:pPr>
          </w:p>
        </w:tc>
        <w:tc>
          <w:tcPr>
            <w:tcW w:w="2720" w:type="dxa"/>
            <w:vAlign w:val="bottom"/>
            <w:gridSpan w:val="4"/>
          </w:tcPr>
          <w:p>
            <w:pPr>
              <w:ind w:left="3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160" w:type="dxa"/>
            <w:vAlign w:val="bottom"/>
            <w:gridSpan w:val="3"/>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5540" w:type="dxa"/>
            <w:vAlign w:val="bottom"/>
          </w:tcPr>
          <w:p>
            <w:pPr>
              <w:spacing w:after="0"/>
              <w:rPr>
                <w:sz w:val="22"/>
                <w:szCs w:val="22"/>
                <w:color w:val="auto"/>
              </w:rPr>
            </w:pPr>
          </w:p>
        </w:tc>
        <w:tc>
          <w:tcPr>
            <w:tcW w:w="1200" w:type="dxa"/>
            <w:vAlign w:val="bottom"/>
            <w:tcBorders>
              <w:top w:val="single" w:sz="8" w:color="auto"/>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Pr>
          <w:p>
            <w:pPr>
              <w:spacing w:after="0"/>
              <w:rPr>
                <w:sz w:val="22"/>
                <w:szCs w:val="22"/>
                <w:color w:val="auto"/>
              </w:rPr>
            </w:pPr>
          </w:p>
        </w:tc>
        <w:tc>
          <w:tcPr>
            <w:tcW w:w="1520" w:type="dxa"/>
            <w:vAlign w:val="bottom"/>
            <w:tcBorders>
              <w:top w:val="single" w:sz="8" w:color="auto"/>
              <w:bottom w:val="single" w:sz="8" w:color="auto"/>
            </w:tcBorders>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tcBorders>
          </w:tcPr>
          <w:p>
            <w:pPr>
              <w:spacing w:after="0"/>
              <w:rPr>
                <w:sz w:val="22"/>
                <w:szCs w:val="22"/>
                <w:color w:val="auto"/>
              </w:rPr>
            </w:pPr>
          </w:p>
        </w:tc>
        <w:tc>
          <w:tcPr>
            <w:tcW w:w="152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34"/>
        </w:trPr>
        <w:tc>
          <w:tcPr>
            <w:tcW w:w="55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tcPr>
          <w:p>
            <w:pPr>
              <w:spacing w:after="0"/>
              <w:rPr>
                <w:sz w:val="11"/>
                <w:szCs w:val="11"/>
                <w:color w:val="auto"/>
              </w:rPr>
            </w:pPr>
          </w:p>
        </w:tc>
      </w:tr>
      <w:tr>
        <w:trPr>
          <w:trHeight w:val="243"/>
        </w:trPr>
        <w:tc>
          <w:tcPr>
            <w:tcW w:w="5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Reported tax rate</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2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21"/>
                <w:szCs w:val="21"/>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7"/>
        </w:trPr>
        <w:tc>
          <w:tcPr>
            <w:tcW w:w="55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effective income tax rates for the three months ended June 30, 2016 and 2015 were 14.6% and 33.3%, respectively. In the three months ended June 30, 2016, the primary drivers of the lower tax rate are excess tax benefits of $1.2 million as a result of early adoption of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xml:space="preserve"> and a $0.2 million benefit included for the release of uncertain tax positions. The primary driver of the higher tax rate for the three months ended June 30, 2015, compared to the three months ended June 30, 2016, was $0.4 million expense relating to foreign tax returns filed during the three months ended June 30, 2015 and jurisdiction mix of income earned.</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effective income tax rates for the six months ended June 30, 2016 and 2015 were 12.6% and 33.6%, respectively. In the six months ended June 30, 2016, the primary drivers of the lower tax rate are excess tax benefits of $3.0 million as a result of early adoption of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xml:space="preserve"> and a $0.5 million benefit included for the release of uncertain tax positions. The primary drivers of the higher income tax rate for the six months ended June 30, 2015, compared to the six months ended June 30, 2016, are the $0.6 million expense and $0.4 million expense related to transfer pricing recorded and foreign tax returns filed for the six months ended June 30, 2015, respectively, and jurisdiction mix of income earned.</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its effective income tax rate for the full year to be approximately 20.3%, resulting largely from the release of uncertain tax positions and jurisdiction mix of pre-tax income in U.S.-based operations relative to foreign operations. This estimate could be revised in the future as additional information is presented to the Company.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17"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net income per share was as follows: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353"/>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58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3"/>
        </w:trPr>
        <w:tc>
          <w:tcPr>
            <w:tcW w:w="65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Basic net income per share:</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4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12,755</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12,020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26,173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23,752</w:t>
            </w:r>
          </w:p>
        </w:tc>
      </w:tr>
      <w:tr>
        <w:trPr>
          <w:trHeight w:val="243"/>
        </w:trPr>
        <w:tc>
          <w:tcPr>
            <w:tcW w:w="6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(10,370)</w:t>
            </w: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12,755</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26,173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13,382</w:t>
            </w:r>
          </w:p>
        </w:tc>
      </w:tr>
      <w:tr>
        <w:trPr>
          <w:trHeight w:val="324"/>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37,196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33,032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37,037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32,884</w:t>
            </w:r>
          </w:p>
        </w:tc>
      </w:tr>
      <w:tr>
        <w:trPr>
          <w:trHeight w:val="324"/>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per common share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0.34</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0.72</w:t>
            </w:r>
          </w:p>
        </w:tc>
      </w:tr>
      <w:tr>
        <w:trPr>
          <w:trHeight w:val="243"/>
        </w:trPr>
        <w:tc>
          <w:tcPr>
            <w:tcW w:w="6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Basic net loss per common share from discontinued operations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net income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0.34</w:t>
            </w:r>
          </w:p>
        </w:tc>
        <w:tc>
          <w:tcPr>
            <w:tcW w:w="380" w:type="dxa"/>
            <w:vAlign w:val="bottom"/>
            <w:tcBorders>
              <w:bottom w:val="single" w:sz="8" w:color="CCEEFF"/>
            </w:tcBorders>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0.40</w:t>
            </w:r>
          </w:p>
        </w:tc>
      </w:tr>
      <w:tr>
        <w:trPr>
          <w:trHeight w:val="338"/>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6520" w:type="dxa"/>
            <w:vAlign w:val="bottom"/>
            <w:gridSpan w:val="4"/>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auto"/>
              </w:rPr>
              <w:t>Diluted net income per share:</w:t>
            </w:r>
          </w:p>
        </w:tc>
        <w:tc>
          <w:tcPr>
            <w:tcW w:w="2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42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r>
      <w:tr>
        <w:trPr>
          <w:trHeight w:val="243"/>
        </w:trPr>
        <w:tc>
          <w:tcPr>
            <w:tcW w:w="6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income from continuing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12,755</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12,020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26,173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23,752</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w:t>
            </w:r>
          </w:p>
        </w:tc>
      </w:tr>
      <w:tr>
        <w:trPr>
          <w:trHeight w:val="237"/>
        </w:trPr>
        <w:tc>
          <w:tcPr>
            <w:tcW w:w="6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12,755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26,173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13,382</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42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43"/>
        </w:trPr>
        <w:tc>
          <w:tcPr>
            <w:tcW w:w="6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outstanding — Basic</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37,196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33,032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37,037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32,884</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2016 Convertible notes and warrants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268</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 options and restricted stock</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430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492</w:t>
            </w:r>
          </w:p>
        </w:tc>
      </w:tr>
      <w:tr>
        <w:trPr>
          <w:trHeight w:val="237"/>
        </w:trPr>
        <w:tc>
          <w:tcPr>
            <w:tcW w:w="6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Weighted average common shares for diluted earnings per share</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39,355</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33,939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38,771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33,644</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324"/>
        </w:trPr>
        <w:tc>
          <w:tcPr>
            <w:tcW w:w="40" w:type="dxa"/>
            <w:vAlign w:val="bottom"/>
            <w:shd w:val="clear" w:color="auto" w:fill="CCEEFF"/>
          </w:tcPr>
          <w:p>
            <w:pPr>
              <w:spacing w:after="0"/>
              <w:rPr>
                <w:sz w:val="24"/>
                <w:szCs w:val="24"/>
                <w:color w:val="auto"/>
              </w:rPr>
            </w:pPr>
          </w:p>
        </w:tc>
        <w:tc>
          <w:tcPr>
            <w:tcW w:w="2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42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r>
      <w:tr>
        <w:trPr>
          <w:trHeight w:val="243"/>
        </w:trPr>
        <w:tc>
          <w:tcPr>
            <w:tcW w:w="6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Diluted net income per common share from continuing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0.32</w:t>
            </w:r>
          </w:p>
        </w:tc>
        <w:tc>
          <w:tcPr>
            <w:tcW w:w="3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0.35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0.71</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Diluted net loss per common share from discontinued operations</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r>
      <w:tr>
        <w:trPr>
          <w:trHeight w:val="237"/>
        </w:trPr>
        <w:tc>
          <w:tcPr>
            <w:tcW w:w="652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0.32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0.68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0.40</w:t>
            </w:r>
          </w:p>
        </w:tc>
      </w:tr>
    </w:tbl>
    <w:p>
      <w:pPr>
        <w:spacing w:after="0" w:line="3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the separation of SeaSpine on July 1, 2015 and in accordance with the Employee Matters Agreement the Company made certain adjustments to the exercise price and number of share-based compensation awards with the intention of preserving the intrinsic value of the awards prior to the separation. Stock options issued in 2015 prior to the separation converted to those of the entity where the employee is working post-separation. Stock options issued prior to 2015 converted to both Integra and SeaSpine options such that the holders received stock options in both companies. The exercise price of these outstanding awards was adjusted to preserve the value of the awards immediately prior to the separation. Performance stock, restricted stock, and contract stock were adjusted to provide holders performance stock, restricted stock, and contract stock in the company that employs such employee following the separation.</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Common stock of approximately 0.2 million and 0.1 million of shares at June 30, 2016 and 2015, respectively, that are issuable through exercise or conversion of dilutive securities were not included in the computation of diluted net income per share because their effect, would have been antidilutive.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2016 and 2015, the potential excess conversion value on the 2016 Notes and warrants were included in the Company's dilutive share calculation because the average stock price for the three and six months ended June 30, 2016 and 2015 exceeded the conversion price.</w:t>
      </w:r>
    </w:p>
    <w:p>
      <w:pPr>
        <w:sectPr>
          <w:pgSz w:w="11900" w:h="16838" w:orient="portrait"/>
          <w:cols w:equalWidth="0" w:num="1">
            <w:col w:w="11420"/>
          </w:cols>
          <w:pgMar w:left="240" w:top="117"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117" w:right="2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Restricted Units that entitle the holders to approximately 0.1 million shares of common stock are included in the diluted weighted average shares outstanding calculation.</w:t>
      </w:r>
    </w:p>
    <w:p>
      <w:pPr>
        <w:spacing w:after="0" w:line="158" w:lineRule="exact"/>
        <w:rPr>
          <w:sz w:val="20"/>
          <w:szCs w:val="20"/>
          <w:color w:val="auto"/>
        </w:rPr>
      </w:pPr>
    </w:p>
    <w:p>
      <w:pPr>
        <w:jc w:val="both"/>
        <w:ind w:right="8100" w:firstLine="8"/>
        <w:spacing w:after="0" w:line="380" w:lineRule="auto"/>
        <w:tabs>
          <w:tab w:leader="none" w:pos="27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COMPREHENSIVE INCOME (LOSS) </w:t>
      </w:r>
      <w:r>
        <w:rPr>
          <w:rFonts w:ascii="Times New Roman" w:cs="Times New Roman" w:eastAsia="Times New Roman" w:hAnsi="Times New Roman"/>
          <w:sz w:val="18"/>
          <w:szCs w:val="18"/>
          <w:color w:val="auto"/>
        </w:rPr>
        <w:t>Comprehensive income (loss) was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1"/>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5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12,755</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4,998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26,173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13,382</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7,166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4,675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(17,227)</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unrealized (loss) gain on derivatives, net of tax</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420</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Pension liability adjustment, net of tax</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5,844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12,325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30,499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(3,418)</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by component between December 31, 2015 and June 30, 2016 are presented in the table below, net of tax:</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150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 on Cash Flow</w:t>
            </w:r>
          </w:p>
        </w:tc>
        <w:tc>
          <w:tcPr>
            <w:tcW w:w="140" w:type="dxa"/>
            <w:vAlign w:val="bottom"/>
          </w:tcPr>
          <w:p>
            <w:pPr>
              <w:spacing w:after="0"/>
              <w:rPr>
                <w:sz w:val="13"/>
                <w:szCs w:val="13"/>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60" w:type="dxa"/>
            <w:vAlign w:val="bottom"/>
          </w:tcPr>
          <w:p>
            <w:pPr>
              <w:spacing w:after="0"/>
              <w:rPr>
                <w:sz w:val="13"/>
                <w:szCs w:val="13"/>
                <w:color w:val="auto"/>
              </w:rPr>
            </w:pPr>
          </w:p>
        </w:tc>
        <w:tc>
          <w:tcPr>
            <w:tcW w:w="10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260" w:type="dxa"/>
            <w:vAlign w:val="bottom"/>
          </w:tcPr>
          <w:p>
            <w:pPr>
              <w:spacing w:after="0"/>
              <w:rPr>
                <w:sz w:val="13"/>
                <w:szCs w:val="13"/>
                <w:color w:val="auto"/>
              </w:rPr>
            </w:pPr>
          </w:p>
        </w:tc>
        <w:tc>
          <w:tcPr>
            <w:tcW w:w="88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59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Hedges</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Pension Items</w:t>
            </w:r>
          </w:p>
        </w:tc>
        <w:tc>
          <w:tcPr>
            <w:tcW w:w="13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Currency Items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balance</w:t>
            </w:r>
          </w:p>
        </w:tc>
        <w:tc>
          <w:tcPr>
            <w:tcW w:w="2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(47,911)</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(47,902)</w:t>
            </w:r>
          </w:p>
        </w:tc>
        <w:tc>
          <w:tcPr>
            <w:tcW w:w="0" w:type="dxa"/>
            <w:vAlign w:val="bottom"/>
          </w:tcPr>
          <w:p>
            <w:pPr>
              <w:spacing w:after="0"/>
              <w:rPr>
                <w:sz w:val="1"/>
                <w:szCs w:val="1"/>
                <w:color w:val="auto"/>
              </w:rPr>
            </w:pPr>
          </w:p>
        </w:tc>
      </w:tr>
      <w:tr>
        <w:trPr>
          <w:trHeight w:val="243"/>
        </w:trPr>
        <w:tc>
          <w:tcPr>
            <w:tcW w:w="59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4,675</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4,326</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Ending balance</w:t>
            </w:r>
          </w:p>
        </w:tc>
        <w:tc>
          <w:tcPr>
            <w:tcW w:w="26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(43,236)</w:t>
            </w:r>
          </w:p>
        </w:tc>
        <w:tc>
          <w:tcPr>
            <w:tcW w:w="2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(43,576)</w:t>
            </w: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AND GEOGRAPHIC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internally manages two global reportable segments and reports the results of its businesses to its chief operating decision maker. The two reportable segments and their activities are described below:</w:t>
      </w:r>
    </w:p>
    <w:p>
      <w:pPr>
        <w:spacing w:after="0" w:line="216" w:lineRule="exact"/>
        <w:rPr>
          <w:sz w:val="20"/>
          <w:szCs w:val="20"/>
          <w:color w:val="auto"/>
        </w:rPr>
      </w:pPr>
    </w:p>
    <w:p>
      <w:pPr>
        <w:jc w:val="both"/>
        <w:ind w:left="660" w:hanging="328"/>
        <w:spacing w:after="0" w:line="261"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Specialty Surgical Solutions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60,000 instrument patterns and surgical and lighting products to hospitals, surgery centers, and dental, podiatry, and veterinary offices.</w:t>
      </w:r>
    </w:p>
    <w:p>
      <w:pPr>
        <w:spacing w:after="0" w:line="1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Orthopedics and Tissue Technologies segment includes such offerings as skin and wound repair products, bone and joint fixation implants in the upper and lower extremities, bone grafts, plastic and reconstruction and nerve and tendon repair collagen implants.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Corporate and other category includes (i) various legal, finance, information systems, executive, and human resource functions, (ii) brand management, and (iii) share-based compensation costs.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17"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2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three and six months ended June 30, 2016 and 2015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20" w:type="dxa"/>
            <w:vAlign w:val="bottom"/>
          </w:tcPr>
          <w:p>
            <w:pPr>
              <w:spacing w:after="0"/>
              <w:rPr>
                <w:sz w:val="16"/>
                <w:szCs w:val="16"/>
                <w:color w:val="auto"/>
              </w:rPr>
            </w:pPr>
          </w:p>
        </w:tc>
        <w:tc>
          <w:tcPr>
            <w:tcW w:w="216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50"/>
        </w:trPr>
        <w:tc>
          <w:tcPr>
            <w:tcW w:w="6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10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5"/>
        </w:trPr>
        <w:tc>
          <w:tcPr>
            <w:tcW w:w="65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Segment Net Sales</w:t>
            </w:r>
          </w:p>
        </w:tc>
        <w:tc>
          <w:tcPr>
            <w:tcW w:w="200" w:type="dxa"/>
            <w:vAlign w:val="bottom"/>
            <w:tcBorders>
              <w:bottom w:val="single" w:sz="8" w:color="BFE4FF"/>
            </w:tcBorders>
            <w:shd w:val="clear" w:color="auto" w:fill="BFE4FF"/>
          </w:tcPr>
          <w:p>
            <w:pPr>
              <w:spacing w:after="0"/>
              <w:rPr>
                <w:sz w:val="22"/>
                <w:szCs w:val="22"/>
                <w:color w:val="auto"/>
              </w:rPr>
            </w:pPr>
          </w:p>
        </w:tc>
        <w:tc>
          <w:tcPr>
            <w:tcW w:w="98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spacing w:after="0"/>
              <w:rPr>
                <w:sz w:val="22"/>
                <w:szCs w:val="22"/>
                <w:color w:val="auto"/>
              </w:rPr>
            </w:pPr>
          </w:p>
        </w:tc>
        <w:tc>
          <w:tcPr>
            <w:tcW w:w="86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spacing w:after="0"/>
              <w:rPr>
                <w:sz w:val="22"/>
                <w:szCs w:val="22"/>
                <w:color w:val="auto"/>
              </w:rPr>
            </w:pPr>
          </w:p>
        </w:tc>
        <w:tc>
          <w:tcPr>
            <w:tcW w:w="920" w:type="dxa"/>
            <w:vAlign w:val="bottom"/>
            <w:tcBorders>
              <w:bottom w:val="single" w:sz="8" w:color="BFE4FF"/>
            </w:tcBorders>
            <w:shd w:val="clear" w:color="auto" w:fill="BFE4FF"/>
          </w:tcPr>
          <w:p>
            <w:pPr>
              <w:spacing w:after="0"/>
              <w:rPr>
                <w:sz w:val="22"/>
                <w:szCs w:val="22"/>
                <w:color w:val="auto"/>
              </w:rPr>
            </w:pPr>
          </w:p>
        </w:tc>
        <w:tc>
          <w:tcPr>
            <w:tcW w:w="100" w:type="dxa"/>
            <w:vAlign w:val="bottom"/>
            <w:tcBorders>
              <w:bottom w:val="single" w:sz="8" w:color="BFE4FF"/>
            </w:tcBorders>
            <w:shd w:val="clear" w:color="auto" w:fill="BFE4FF"/>
          </w:tcPr>
          <w:p>
            <w:pPr>
              <w:spacing w:after="0"/>
              <w:rPr>
                <w:sz w:val="22"/>
                <w:szCs w:val="22"/>
                <w:color w:val="auto"/>
              </w:rPr>
            </w:pPr>
          </w:p>
        </w:tc>
        <w:tc>
          <w:tcPr>
            <w:tcW w:w="260" w:type="dxa"/>
            <w:vAlign w:val="bottom"/>
            <w:tcBorders>
              <w:bottom w:val="single" w:sz="8" w:color="BFE4FF"/>
            </w:tcBorders>
            <w:shd w:val="clear" w:color="auto" w:fill="BFE4FF"/>
          </w:tcPr>
          <w:p>
            <w:pPr>
              <w:spacing w:after="0"/>
              <w:rPr>
                <w:sz w:val="22"/>
                <w:szCs w:val="22"/>
                <w:color w:val="auto"/>
              </w:rPr>
            </w:pPr>
          </w:p>
        </w:tc>
        <w:tc>
          <w:tcPr>
            <w:tcW w:w="880" w:type="dxa"/>
            <w:vAlign w:val="bottom"/>
            <w:tcBorders>
              <w:bottom w:val="single" w:sz="8" w:color="BFE4FF"/>
            </w:tcBorders>
            <w:shd w:val="clear" w:color="auto" w:fill="BFE4FF"/>
          </w:tcPr>
          <w:p>
            <w:pPr>
              <w:spacing w:after="0"/>
              <w:rPr>
                <w:sz w:val="22"/>
                <w:szCs w:val="22"/>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Specialty Surgical Solutions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158,163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146,709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309,338</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286,767</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BFE4FF"/>
            </w:tcBorders>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Orthopedics and Tissue Technologies</w:t>
            </w:r>
          </w:p>
        </w:tc>
        <w:tc>
          <w:tcPr>
            <w:tcW w:w="20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91,146</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65,964</w:t>
            </w:r>
          </w:p>
        </w:tc>
        <w:tc>
          <w:tcPr>
            <w:tcW w:w="100" w:type="dxa"/>
            <w:vAlign w:val="bottom"/>
            <w:tcBorders>
              <w:bottom w:val="single" w:sz="8" w:color="BFE4FF"/>
            </w:tcBorders>
            <w:shd w:val="clear" w:color="auto" w:fill="BFE4FF"/>
          </w:tcPr>
          <w:p>
            <w:pPr>
              <w:spacing w:after="0"/>
              <w:rPr>
                <w:sz w:val="23"/>
                <w:szCs w:val="23"/>
                <w:color w:val="auto"/>
              </w:rPr>
            </w:pPr>
          </w:p>
        </w:tc>
        <w:tc>
          <w:tcPr>
            <w:tcW w:w="220" w:type="dxa"/>
            <w:vAlign w:val="bottom"/>
            <w:tcBorders>
              <w:bottom w:val="single" w:sz="8" w:color="BFE4FF"/>
            </w:tcBorders>
            <w:shd w:val="clear" w:color="auto" w:fill="BFE4FF"/>
          </w:tcPr>
          <w:p>
            <w:pPr>
              <w:spacing w:after="0"/>
              <w:rPr>
                <w:sz w:val="23"/>
                <w:szCs w:val="23"/>
                <w:color w:val="auto"/>
              </w:rPr>
            </w:pPr>
          </w:p>
        </w:tc>
        <w:tc>
          <w:tcPr>
            <w:tcW w:w="92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176,741</w:t>
            </w:r>
          </w:p>
        </w:tc>
        <w:tc>
          <w:tcPr>
            <w:tcW w:w="1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128,440</w:t>
            </w:r>
          </w:p>
        </w:tc>
      </w:tr>
      <w:tr>
        <w:trPr>
          <w:trHeight w:val="237"/>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249,309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212,673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486,079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415,207</w:t>
            </w:r>
          </w:p>
        </w:tc>
      </w:tr>
      <w:tr>
        <w:trPr>
          <w:trHeight w:val="67"/>
        </w:trPr>
        <w:tc>
          <w:tcPr>
            <w:tcW w:w="6520" w:type="dxa"/>
            <w:vAlign w:val="bottom"/>
            <w:tcBorders>
              <w:bottom w:val="single" w:sz="8" w:color="BFE4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BFE4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r>
        <w:trPr>
          <w:trHeight w:val="231"/>
        </w:trPr>
        <w:tc>
          <w:tcPr>
            <w:tcW w:w="6520" w:type="dxa"/>
            <w:vAlign w:val="bottom"/>
            <w:tcBorders>
              <w:bottom w:val="single" w:sz="8" w:color="BFE4FF"/>
            </w:tcBorders>
            <w:shd w:val="clear" w:color="auto" w:fill="BFE4FF"/>
          </w:tcPr>
          <w:p>
            <w:pPr>
              <w:ind w:left="40"/>
              <w:spacing w:after="0" w:line="196" w:lineRule="exact"/>
              <w:rPr>
                <w:sz w:val="20"/>
                <w:szCs w:val="20"/>
                <w:color w:val="auto"/>
              </w:rPr>
            </w:pPr>
            <w:r>
              <w:rPr>
                <w:rFonts w:ascii="Times New Roman" w:cs="Times New Roman" w:eastAsia="Times New Roman" w:hAnsi="Times New Roman"/>
                <w:sz w:val="18"/>
                <w:szCs w:val="18"/>
                <w:b w:val="1"/>
                <w:bCs w:val="1"/>
                <w:i w:val="1"/>
                <w:iCs w:val="1"/>
                <w:color w:val="auto"/>
              </w:rPr>
              <w:t>Segment Profit</w:t>
            </w:r>
          </w:p>
        </w:tc>
        <w:tc>
          <w:tcPr>
            <w:tcW w:w="200" w:type="dxa"/>
            <w:vAlign w:val="bottom"/>
            <w:tcBorders>
              <w:bottom w:val="single" w:sz="8" w:color="BFE4FF"/>
            </w:tcBorders>
            <w:shd w:val="clear" w:color="auto" w:fill="BFE4FF"/>
          </w:tcPr>
          <w:p>
            <w:pPr>
              <w:spacing w:after="0"/>
              <w:rPr>
                <w:sz w:val="20"/>
                <w:szCs w:val="20"/>
                <w:color w:val="auto"/>
              </w:rPr>
            </w:pPr>
          </w:p>
        </w:tc>
        <w:tc>
          <w:tcPr>
            <w:tcW w:w="98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80" w:type="dxa"/>
            <w:vAlign w:val="bottom"/>
            <w:tcBorders>
              <w:bottom w:val="single" w:sz="8" w:color="BFE4FF"/>
            </w:tcBorders>
            <w:shd w:val="clear" w:color="auto" w:fill="BFE4FF"/>
          </w:tcPr>
          <w:p>
            <w:pPr>
              <w:spacing w:after="0"/>
              <w:rPr>
                <w:sz w:val="20"/>
                <w:szCs w:val="20"/>
                <w:color w:val="auto"/>
              </w:rPr>
            </w:pPr>
          </w:p>
        </w:tc>
        <w:tc>
          <w:tcPr>
            <w:tcW w:w="86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20" w:type="dxa"/>
            <w:vAlign w:val="bottom"/>
            <w:tcBorders>
              <w:bottom w:val="single" w:sz="8" w:color="BFE4FF"/>
            </w:tcBorders>
            <w:shd w:val="clear" w:color="auto" w:fill="BFE4FF"/>
          </w:tcPr>
          <w:p>
            <w:pPr>
              <w:spacing w:after="0"/>
              <w:rPr>
                <w:sz w:val="20"/>
                <w:szCs w:val="20"/>
                <w:color w:val="auto"/>
              </w:rPr>
            </w:pPr>
          </w:p>
        </w:tc>
        <w:tc>
          <w:tcPr>
            <w:tcW w:w="920" w:type="dxa"/>
            <w:vAlign w:val="bottom"/>
            <w:tcBorders>
              <w:bottom w:val="single" w:sz="8" w:color="BFE4FF"/>
            </w:tcBorders>
            <w:shd w:val="clear" w:color="auto" w:fill="BFE4FF"/>
          </w:tcPr>
          <w:p>
            <w:pPr>
              <w:spacing w:after="0"/>
              <w:rPr>
                <w:sz w:val="20"/>
                <w:szCs w:val="20"/>
                <w:color w:val="auto"/>
              </w:rPr>
            </w:pPr>
          </w:p>
        </w:tc>
        <w:tc>
          <w:tcPr>
            <w:tcW w:w="100" w:type="dxa"/>
            <w:vAlign w:val="bottom"/>
            <w:tcBorders>
              <w:bottom w:val="single" w:sz="8" w:color="BFE4FF"/>
            </w:tcBorders>
            <w:shd w:val="clear" w:color="auto" w:fill="BFE4FF"/>
          </w:tcPr>
          <w:p>
            <w:pPr>
              <w:spacing w:after="0"/>
              <w:rPr>
                <w:sz w:val="20"/>
                <w:szCs w:val="20"/>
                <w:color w:val="auto"/>
              </w:rPr>
            </w:pPr>
          </w:p>
        </w:tc>
        <w:tc>
          <w:tcPr>
            <w:tcW w:w="260" w:type="dxa"/>
            <w:vAlign w:val="bottom"/>
            <w:tcBorders>
              <w:bottom w:val="single" w:sz="8" w:color="BFE4FF"/>
            </w:tcBorders>
            <w:shd w:val="clear" w:color="auto" w:fill="BFE4FF"/>
          </w:tcPr>
          <w:p>
            <w:pPr>
              <w:spacing w:after="0"/>
              <w:rPr>
                <w:sz w:val="20"/>
                <w:szCs w:val="20"/>
                <w:color w:val="auto"/>
              </w:rPr>
            </w:pPr>
          </w:p>
        </w:tc>
        <w:tc>
          <w:tcPr>
            <w:tcW w:w="880" w:type="dxa"/>
            <w:vAlign w:val="bottom"/>
            <w:tcBorders>
              <w:bottom w:val="single" w:sz="8" w:color="BFE4FF"/>
            </w:tcBorders>
            <w:shd w:val="clear" w:color="auto" w:fill="BFE4FF"/>
          </w:tcPr>
          <w:p>
            <w:pPr>
              <w:spacing w:after="0"/>
              <w:rPr>
                <w:sz w:val="20"/>
                <w:szCs w:val="20"/>
                <w:color w:val="auto"/>
              </w:rPr>
            </w:pPr>
          </w:p>
        </w:tc>
      </w:tr>
      <w:tr>
        <w:trPr>
          <w:trHeight w:val="243"/>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Specialty Surgical Solutions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63,397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62,325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120,978</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122,657</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BFE4FF"/>
            </w:tcBorders>
            <w:shd w:val="clear" w:color="auto" w:fill="BFE4FF"/>
          </w:tcPr>
          <w:p>
            <w:pPr>
              <w:ind w:left="380"/>
              <w:spacing w:after="0"/>
              <w:rPr>
                <w:sz w:val="20"/>
                <w:szCs w:val="20"/>
                <w:color w:val="auto"/>
              </w:rPr>
            </w:pPr>
            <w:r>
              <w:rPr>
                <w:rFonts w:ascii="Times New Roman" w:cs="Times New Roman" w:eastAsia="Times New Roman" w:hAnsi="Times New Roman"/>
                <w:sz w:val="18"/>
                <w:szCs w:val="18"/>
                <w:color w:val="auto"/>
              </w:rPr>
              <w:t>Orthopedics and Tissue Technologies</w:t>
            </w:r>
          </w:p>
        </w:tc>
        <w:tc>
          <w:tcPr>
            <w:tcW w:w="20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26,025</w:t>
            </w:r>
          </w:p>
        </w:tc>
        <w:tc>
          <w:tcPr>
            <w:tcW w:w="10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18,428</w:t>
            </w:r>
          </w:p>
        </w:tc>
        <w:tc>
          <w:tcPr>
            <w:tcW w:w="100" w:type="dxa"/>
            <w:vAlign w:val="bottom"/>
            <w:tcBorders>
              <w:bottom w:val="single" w:sz="8" w:color="BFE4FF"/>
            </w:tcBorders>
            <w:shd w:val="clear" w:color="auto" w:fill="BFE4FF"/>
          </w:tcPr>
          <w:p>
            <w:pPr>
              <w:spacing w:after="0"/>
              <w:rPr>
                <w:sz w:val="23"/>
                <w:szCs w:val="23"/>
                <w:color w:val="auto"/>
              </w:rPr>
            </w:pPr>
          </w:p>
        </w:tc>
        <w:tc>
          <w:tcPr>
            <w:tcW w:w="220" w:type="dxa"/>
            <w:vAlign w:val="bottom"/>
            <w:tcBorders>
              <w:bottom w:val="single" w:sz="8" w:color="BFE4FF"/>
            </w:tcBorders>
            <w:shd w:val="clear" w:color="auto" w:fill="BFE4FF"/>
          </w:tcPr>
          <w:p>
            <w:pPr>
              <w:spacing w:after="0"/>
              <w:rPr>
                <w:sz w:val="23"/>
                <w:szCs w:val="23"/>
                <w:color w:val="auto"/>
              </w:rPr>
            </w:pPr>
          </w:p>
        </w:tc>
        <w:tc>
          <w:tcPr>
            <w:tcW w:w="92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46,300</w:t>
            </w:r>
          </w:p>
        </w:tc>
        <w:tc>
          <w:tcPr>
            <w:tcW w:w="100" w:type="dxa"/>
            <w:vAlign w:val="bottom"/>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38,348</w:t>
            </w:r>
          </w:p>
        </w:tc>
      </w:tr>
      <w:tr>
        <w:trPr>
          <w:trHeight w:val="237"/>
        </w:trPr>
        <w:tc>
          <w:tcPr>
            <w:tcW w:w="65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Segment profit</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89,422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80,753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167,278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161,005</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65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Amortization</w:t>
            </w:r>
          </w:p>
        </w:tc>
        <w:tc>
          <w:tcPr>
            <w:tcW w:w="20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(3,471)</w:t>
            </w:r>
          </w:p>
        </w:tc>
        <w:tc>
          <w:tcPr>
            <w:tcW w:w="10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(1,747)</w:t>
            </w:r>
          </w:p>
        </w:tc>
        <w:tc>
          <w:tcPr>
            <w:tcW w:w="10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92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(6,943)</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(3,476)</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(54,661)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(115,859)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(111,944)</w:t>
            </w:r>
          </w:p>
        </w:tc>
      </w:tr>
      <w:tr>
        <w:trPr>
          <w:trHeight w:val="27"/>
        </w:trPr>
        <w:tc>
          <w:tcPr>
            <w:tcW w:w="6520" w:type="dxa"/>
            <w:vAlign w:val="bottom"/>
            <w:tcBorders>
              <w:bottom w:val="single" w:sz="8" w:color="BFE4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BFE4FF"/>
            </w:tcBorders>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Operating income from continuing operations</w:t>
            </w:r>
          </w:p>
        </w:tc>
        <w:tc>
          <w:tcPr>
            <w:tcW w:w="20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22,377</w:t>
            </w:r>
          </w:p>
        </w:tc>
        <w:tc>
          <w:tcPr>
            <w:tcW w:w="100" w:type="dxa"/>
            <w:vAlign w:val="bottom"/>
            <w:tcBorders>
              <w:bottom w:val="single" w:sz="8" w:color="BFE4FF"/>
            </w:tcBorders>
            <w:shd w:val="clear" w:color="auto" w:fill="BFE4FF"/>
          </w:tcPr>
          <w:p>
            <w:pPr>
              <w:spacing w:after="0"/>
              <w:rPr>
                <w:sz w:val="22"/>
                <w:szCs w:val="22"/>
                <w:color w:val="auto"/>
              </w:rPr>
            </w:pPr>
          </w:p>
        </w:tc>
        <w:tc>
          <w:tcPr>
            <w:tcW w:w="280" w:type="dxa"/>
            <w:vAlign w:val="bottom"/>
            <w:tcBorders>
              <w:bottom w:val="single" w:sz="8" w:color="BFE4FF"/>
            </w:tcBorders>
            <w:shd w:val="clear" w:color="auto" w:fill="BFE4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24,345</w:t>
            </w:r>
          </w:p>
        </w:tc>
        <w:tc>
          <w:tcPr>
            <w:tcW w:w="100" w:type="dxa"/>
            <w:vAlign w:val="bottom"/>
            <w:tcBorders>
              <w:bottom w:val="single" w:sz="8" w:color="BFE4FF"/>
            </w:tcBorders>
            <w:shd w:val="clear" w:color="auto" w:fill="BFE4FF"/>
          </w:tcPr>
          <w:p>
            <w:pPr>
              <w:spacing w:after="0"/>
              <w:rPr>
                <w:sz w:val="22"/>
                <w:szCs w:val="22"/>
                <w:color w:val="auto"/>
              </w:rPr>
            </w:pP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BFE4FF"/>
            </w:tcBorders>
            <w:shd w:val="clear" w:color="auto" w:fill="BFE4FF"/>
          </w:tcPr>
          <w:p>
            <w:pPr>
              <w:jc w:val="right"/>
              <w:ind w:right="33"/>
              <w:spacing w:after="0"/>
              <w:rPr>
                <w:sz w:val="20"/>
                <w:szCs w:val="20"/>
                <w:color w:val="auto"/>
              </w:rPr>
            </w:pPr>
            <w:r>
              <w:rPr>
                <w:rFonts w:ascii="Times New Roman" w:cs="Times New Roman" w:eastAsia="Times New Roman" w:hAnsi="Times New Roman"/>
                <w:sz w:val="18"/>
                <w:szCs w:val="18"/>
                <w:color w:val="auto"/>
              </w:rPr>
              <w:t>44,476</w:t>
            </w:r>
          </w:p>
        </w:tc>
        <w:tc>
          <w:tcPr>
            <w:tcW w:w="360" w:type="dxa"/>
            <w:vAlign w:val="bottom"/>
            <w:tcBorders>
              <w:bottom w:val="single" w:sz="8" w:color="BFE4FF"/>
            </w:tcBorders>
            <w:gridSpan w:val="2"/>
            <w:shd w:val="clear" w:color="auto" w:fill="BFE4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BFE4FF"/>
            </w:tcBorders>
            <w:shd w:val="clear" w:color="auto" w:fill="BFE4FF"/>
          </w:tcPr>
          <w:p>
            <w:pPr>
              <w:jc w:val="right"/>
              <w:ind w:right="12"/>
              <w:spacing w:after="0"/>
              <w:rPr>
                <w:sz w:val="20"/>
                <w:szCs w:val="20"/>
                <w:color w:val="auto"/>
              </w:rPr>
            </w:pPr>
            <w:r>
              <w:rPr>
                <w:rFonts w:ascii="Times New Roman" w:cs="Times New Roman" w:eastAsia="Times New Roman" w:hAnsi="Times New Roman"/>
                <w:sz w:val="18"/>
                <w:szCs w:val="18"/>
                <w:color w:val="auto"/>
              </w:rPr>
              <w:t>45,585</w:t>
            </w:r>
          </w:p>
        </w:tc>
      </w:tr>
      <w:tr>
        <w:trPr>
          <w:trHeight w:val="20"/>
        </w:trPr>
        <w:tc>
          <w:tcPr>
            <w:tcW w:w="6520" w:type="dxa"/>
            <w:vAlign w:val="bottom"/>
            <w:tcBorders>
              <w:top w:val="single" w:sz="8" w:color="BFE4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attributes revenues to geographic areas based on the location of the customer. Total revenue by major geographic area consisted of the following:</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6"/>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191,872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162,511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373,101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315,270</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31,663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25,564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61,098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50,700</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25,774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24,598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51,880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49,237</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249,309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212,673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486,079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415,207</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COMMITMENTS AND CONTINGENCIES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4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3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Currently, there are approximately fifty active cases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17"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 (UNAUDITED) (continued)</w:t>
      </w:r>
    </w:p>
    <w:p>
      <w:pPr>
        <w:spacing w:after="0" w:line="3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relating to a variety of matters, including half of certain products liability claims (including those related to the product it manufactures for BSC) not covered by insurance.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Contingent Consideration</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increased the fair value of contingent consideration during the six-month period ended June 30, 2016 to reflect the change in the time value of money during the period. A reconciliation of the opening balances to the closing balances of these Level 3 measurements is as follows (in thousands):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3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in Statement of Operations</w:t>
            </w: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as of January 1, 2016</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21,831</w:t>
            </w:r>
          </w:p>
        </w:tc>
        <w:tc>
          <w:tcPr>
            <w:tcW w:w="364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Loss from increase in fair value of contingent consideration liabilities</w:t>
            </w:r>
          </w:p>
        </w:tc>
        <w:tc>
          <w:tcPr>
            <w:tcW w:w="28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3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r>
      <w:tr>
        <w:trPr>
          <w:trHeight w:val="27"/>
        </w:trPr>
        <w:tc>
          <w:tcPr>
            <w:tcW w:w="67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40" w:type="dxa"/>
            <w:vAlign w:val="bottom"/>
            <w:tcBorders>
              <w:bottom w:val="single" w:sz="8" w:color="CCEEFF"/>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Fair value at June 30, 2016</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22,082</w:t>
            </w:r>
          </w:p>
        </w:tc>
        <w:tc>
          <w:tcPr>
            <w:tcW w:w="3640" w:type="dxa"/>
            <w:vAlign w:val="bottom"/>
            <w:tcBorders>
              <w:bottom w:val="single" w:sz="8" w:color="CCEEFF"/>
            </w:tcBorders>
            <w:shd w:val="clear" w:color="auto" w:fill="CCEEFF"/>
          </w:tcPr>
          <w:p>
            <w:pPr>
              <w:spacing w:after="0"/>
              <w:rPr>
                <w:sz w:val="22"/>
                <w:szCs w:val="22"/>
                <w:color w:val="auto"/>
              </w:rPr>
            </w:pPr>
          </w:p>
        </w:tc>
      </w:tr>
      <w:tr>
        <w:trPr>
          <w:trHeight w:val="20"/>
        </w:trPr>
        <w:tc>
          <w:tcPr>
            <w:tcW w:w="6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r>
    </w:tbl>
    <w:p>
      <w:pPr>
        <w:spacing w:after="0" w:line="6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fair values of contingent consideration were estimated using a discounted cash flow model using discount rate of 2.20%. The Company assesses these assumptions on an ongoing basis as additional information impacting the assumptions is obtained. The entire contingent consideration balance was included in Other liabilities at June 30, 2016 and December 31, 2015.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SUBSEQUENT EVENT</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July 12, 2016, the Company entered into an additional $50.0 million interest rate swap derivative instruments with an effective date of December 31, 2016 to manage its earnings and cash flow exposure to changes in interest rates covering a portion of its floating-rate debt. This interest rate swap expires on June 30, 2019.</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2015 included in our Annual Report on Form 10-K.</w:t>
      </w:r>
    </w:p>
    <w:p>
      <w:pPr>
        <w:spacing w:after="0" w:line="4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under the heading “Risk Factors” in our Annual Report on Form 10-K for the year ended December 31, 2015 and under the heading "Risk Factors" in this report. We undertake no obligation to publicly update or revise any forward-looking statements, whether as a result of new information, future events or otherwise.</w:t>
      </w:r>
    </w:p>
    <w:p>
      <w:pPr>
        <w:spacing w:after="0" w:line="1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Integra is a world leader in medical technology focused on limiting uncertainty for surgeons so that they can concentrate on providing the best patient care. Integra provides customers with clinically relevant, innovative and cost-effective products that improve the quality of life for patients. We focus on cranial procedures, small bone and joint reconstruction, the repair and reconstruction of soft tissue, and instruments for surgery.</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manufacture many of our products in plants located in the United States, Puerto Rico, France, Germany, Ireland, and Mexico. We also source most of our handheld surgical instruments and specialty metal and pyrocarbon implants through specialized third-party vendors.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United States, we have several sales channels. Specialty Surgical Solutions products are sold through a combination of directly employed sales representatives, distributors and wholesalers, depending on the customer call point. Orthopedics and Tissue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17" w:right="23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Technologies products are sold through directly employed sales representatives and specialty distributors focused on their respective surgical specialties. We sell in the international markets through a combination of direct sales organizations and distributors.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market certain products through strategic partners in the United States.</w:t>
      </w:r>
    </w:p>
    <w:p>
      <w:pPr>
        <w:spacing w:after="0" w:line="9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objective is to become a multi-billion dollar diversified global medical technology company that helps patients by limiting uncertainty for medical professionals, and is a high-quality investment for shareholders. We will achieve these goals by delivering on our Brand Promises to our customers so they can concentrate on providing the best care for their patients and by becoming a company recognized as a leader by our customers worldwide in specialty surgical applications, regenerative technologies and extremities orthopedics. Our strategy is built around three pillars - execute, optimize, and accelerate growth. These three pillars support our strategic initiatives to deliver on our commitments through improved planning and communication, optimize our infrastructure, and grow by introducing new products to the market through internal development, geographic expansion, and strategic acquisitions.</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organic growth and through acquisitions), (2) gross margins on total revenues, (3) operating margins (which we aim to continually expand as we leverage our existing infrastructure), (4) earnings before interest, taxes, depreciation, and amortization, and (5) earnings per diluted share of 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we are particularly effective in the following aspects of our business:</w:t>
      </w:r>
    </w:p>
    <w:p>
      <w:pPr>
        <w:spacing w:after="0" w:line="250" w:lineRule="exact"/>
        <w:rPr>
          <w:sz w:val="20"/>
          <w:szCs w:val="20"/>
          <w:color w:val="auto"/>
        </w:rPr>
      </w:pPr>
    </w:p>
    <w:p>
      <w:pPr>
        <w:ind w:left="620" w:hanging="315"/>
        <w:spacing w:after="0" w:line="284"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Regenerative Technology Platform</w:t>
      </w:r>
      <w:r>
        <w:rPr>
          <w:rFonts w:ascii="Times New Roman" w:cs="Times New Roman" w:eastAsia="Times New Roman" w:hAnsi="Times New Roman"/>
          <w:sz w:val="18"/>
          <w:szCs w:val="18"/>
          <w:color w:val="auto"/>
        </w:rPr>
        <w:t>. We have developed numerous product lines through our proprietary collagen and polyethylene glycol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that are sold through all of our sales channels.</w:t>
      </w:r>
    </w:p>
    <w:p>
      <w:pPr>
        <w:spacing w:after="0" w:line="104" w:lineRule="exact"/>
        <w:rPr>
          <w:rFonts w:ascii="Times New Roman" w:cs="Times New Roman" w:eastAsia="Times New Roman" w:hAnsi="Times New Roman"/>
          <w:sz w:val="18"/>
          <w:szCs w:val="18"/>
          <w:color w:val="auto"/>
        </w:rPr>
      </w:pPr>
    </w:p>
    <w:p>
      <w:pPr>
        <w:jc w:val="both"/>
        <w:ind w:left="620" w:hanging="315"/>
        <w:spacing w:after="0" w:line="257"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Diversification and Platform Synergies</w:t>
      </w:r>
      <w:r>
        <w:rPr>
          <w:rFonts w:ascii="Times New Roman" w:cs="Times New Roman" w:eastAsia="Times New Roman" w:hAnsi="Times New Roman"/>
          <w:sz w:val="18"/>
          <w:szCs w:val="18"/>
          <w:color w:val="auto"/>
        </w:rPr>
        <w:t>. The Specialty Surgical Solutions and Orthopedics and Tissue Technologies selling platforms each contribute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different strength to our core business. Specialty Surgical Solutions has a strong presence in the hospital, with market-leading products and comprehensive solutions for surgical specialties, such as neurosurgery, as well as a strong capacity to generate cash flows. Orthopedics and Tissue Technologies enables us to grow our top line by continuing to introduce new, differentiated products in fast-growing markets, such as joint replacement, plastic and reconstruction and advanced wound care, as well as to increase gross margins. We have unique synergies between these platforms, such as our regenerative technology, instrument sourcing capabilities, and enterprise contract management.</w:t>
      </w:r>
    </w:p>
    <w:p>
      <w:pPr>
        <w:spacing w:after="0" w:line="128" w:lineRule="exact"/>
        <w:rPr>
          <w:rFonts w:ascii="Times New Roman" w:cs="Times New Roman" w:eastAsia="Times New Roman" w:hAnsi="Times New Roman"/>
          <w:sz w:val="18"/>
          <w:szCs w:val="18"/>
          <w:color w:val="auto"/>
        </w:rPr>
      </w:pPr>
    </w:p>
    <w:p>
      <w:pPr>
        <w:jc w:val="both"/>
        <w:ind w:left="620" w:hanging="315"/>
        <w:spacing w:after="0" w:line="256"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Specialized Sales Footprint</w:t>
      </w:r>
      <w:r>
        <w:rPr>
          <w:rFonts w:ascii="Times New Roman" w:cs="Times New Roman" w:eastAsia="Times New Roman" w:hAnsi="Times New Roman"/>
          <w:sz w:val="18"/>
          <w:szCs w:val="18"/>
          <w:color w:val="auto"/>
        </w:rPr>
        <w:t>. Our medical technology investment and manufacturing strategy provide us with a specialized set of customer call-points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synergies. We have market-leading products across our portfolios that provide both scale and depth in solutions for a broad set of clinical needs. We also have clinical expertise across all of our channels in the United States, and an opportunity to expand and leverage this expertise in markets worldwide. Many of our customers are facing pressure placed upon them by healthcare reform worldwide. In response to our customers’ needs for clinical and technical solutions across multiple departments and clinical areas, we have developed and deployed our Enterprise Selling initiative to bring unique clinical solutions to even the most difficult healthcare issues in key accounts across multiple sites and multi-hospital integrated delivery networks.</w:t>
      </w:r>
    </w:p>
    <w:p>
      <w:pPr>
        <w:spacing w:after="0" w:line="129" w:lineRule="exact"/>
        <w:rPr>
          <w:rFonts w:ascii="Times New Roman" w:cs="Times New Roman" w:eastAsia="Times New Roman" w:hAnsi="Times New Roman"/>
          <w:sz w:val="18"/>
          <w:szCs w:val="18"/>
          <w:color w:val="auto"/>
        </w:rPr>
      </w:pPr>
    </w:p>
    <w:p>
      <w:pPr>
        <w:jc w:val="both"/>
        <w:ind w:left="620" w:hanging="315"/>
        <w:spacing w:after="0" w:line="267" w:lineRule="auto"/>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Ability to Change and Adapt</w:t>
      </w:r>
      <w:r>
        <w:rPr>
          <w:rFonts w:ascii="Times New Roman" w:cs="Times New Roman" w:eastAsia="Times New Roman" w:hAnsi="Times New Roman"/>
          <w:sz w:val="18"/>
          <w:szCs w:val="18"/>
          <w:color w:val="auto"/>
        </w:rPr>
        <w:t>. Our corporate culture is what enables us to adapt and evolve. We have demonstrated that we can quickly and profitably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integrate new products and businesses. This core strength has made it possible for us to grow over the years, and is key to our ability to grow into a multi-billion dollar company.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Tekmed</w:t>
      </w:r>
    </w:p>
    <w:p>
      <w:pPr>
        <w:spacing w:after="0" w:line="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15, 2015, the Company acquired the assets of Tekmed Instruments S.p.A ("Tekmed") for an aggregate purchase price of $14.1 million. Tekmed was a distributor of the Company's products in Italy and has a specialty focus on neurosurgery and neurotrauma, along with representation in plastic and reconstructive surgery, cardiovascular surgery, image diagnostics, general surgery, anesthesia and intensive care, interventional radiology, and proton therapy. This acquisition enables the Company to support Specialty Surgical Solutions growth in Italy along with other key Integra franchises.</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Tornier's United States Toe &amp; Ankle Business</w:t>
      </w:r>
    </w:p>
    <w:p>
      <w:pPr>
        <w:spacing w:after="0" w:line="173"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On October 2, 2015, the Company acquired the United States rights to Tornier's Salto Talaris® and Salto Talaris® XT ankle replacement products and Tornier's Futura</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silastic toe replacement products (the "Salto and Futura") for $6.0 million in cash. The estimated fair value of the net assets acquired exceeded the purchase price for the Salto and Futura product lines and resulted in the Company recording a gain of $1.1 million for the year-ended December 31, 2015 in Other Income. The acquired toe and ankle products enhance the Company's lower extremities product offering and accelerates its entry into the U.S. total ankle replacement market.</w:t>
      </w: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TEI Biosciences, Inc. and TEI Medical, Inc.</w:t>
      </w:r>
    </w:p>
    <w:p>
      <w:pPr>
        <w:spacing w:after="0" w:line="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2015, we executed the two merger agreements (collectively, the "Agreements") under which we acquired TEI Biosciences, Inc., a Delaware corporation ("TEI Bio"), and TEI Medical Inc., a Delaware corporation ("TEI Med"). Under the terms of the Agreements, we paid $312.2 million ($210.9 million for TEI Bio and $101.3 million for TEI Med) including working capital and purchase price adjustment of $0.2 million ($0.5 million for TEI Bio offset by $0.7 million cash received for TEI Med) which was recorded as a reduction from goodwill. The purchase price consists of a cash payment to the former shareholders of TEI Bio and TEI Med of approximately $312.4 million upon the closing of the transaction, net of $1.2 million of acquired cash.</w:t>
      </w:r>
    </w:p>
    <w:p>
      <w:pPr>
        <w:spacing w:after="0" w:line="13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TEI Bio is in the business of developing and commercializing biologic devices for soft tissue repair and regenerative applications, including dura and hernia repair and plastic and reconstructive surgery. TEI Med holds a license to TEI Bio’s regenerative technology in the fields of wound healing and orthopedics.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and Product Development Activities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July 2014, we completed our multi-center clinical trial evaluating the safety and effectiveness of the INTEGRA® Dermal Regeneration Template for the Treatment of Diabetic Foot Ulcers (“DFU”). The data collected formed the foundation for the Premarket Approval ("PMA") Supplement application that we filed with the FDA. The FDA approved the PMA on January 7, 2016, and the Company commenced commercialization of the resulting DFU product, Omnigraft TM, in May 2016. We are also investing in next generation nerve products, additional clinical studies for indications to support existing products, and longer term research programs to evaluate combination products.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Separation of the Spine Business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2014, we announced a plan to spin off our spine business into a stand-alone public company ("SeaSpine"). On July 1, 2015, we completed the distribution of 100% of the outstanding common shares of SeaSpine to Integra's stockholders, who received one share of SeaSpine common stock for every three shares of Integra held as of the close of business on the record date, June 19, 2015. We incurred separation expenses of approximately $10.0 million and $14.8 million in the three and six months ended June 30, 2015. Separation costs includes all incremental expenses that we incurred in order to effect the separation and the cost of all new employees recruited to operate the two separate companies. The separation costs through June 30, 2015 are reported within the discontinued operations.</w:t>
      </w:r>
    </w:p>
    <w:p>
      <w:pPr>
        <w:spacing w:after="0" w:line="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indicated otherwise, the information in the management discussion and analysis of financial condition and results of operations relates to the Company’s continuing operations. Further information regarding the SeaSpine separation and discontinued operations reporting may be found in Note 2 - Discontinued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for the three months ended June 30, 2016, was $12.8 million, or $0.32 per diluted share as compared to $12.0 million or $0.35 per diluted share for the three months ended June 30, 2015.</w:t>
      </w:r>
    </w:p>
    <w:p>
      <w:pPr>
        <w:spacing w:after="0" w:line="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income for the six months ended June 30, 2016, was $26.2 million, or $0.68 per diluted share as compared to $23.8 million or $0.71 per diluted share for the six months ended June 30, 2015.</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income for the six months ended June 30, 2016 increased from the same period last year primarily as a result of increased revenues partially offset by investments in our growing sales channel and research and development. The operations reflect full inclusion of the Tekmed, Tornier's U.S. Foot and Ankle, and TEI activities as well as strong growth in our dural repair and regenerative technology franchises.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before taxes includes the following special charges: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6"/>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 ERP implementation charges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9,020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7,423</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1,838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3,641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3,547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5,418</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Certain employee severance charges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1,299</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 charges</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12,061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6,428</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debt non-cash interest</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3,686</w:t>
            </w:r>
          </w:p>
        </w:tc>
      </w:tr>
      <w:tr>
        <w:trPr>
          <w:trHeight w:val="237"/>
        </w:trPr>
        <w:tc>
          <w:tcPr>
            <w:tcW w:w="6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16,275</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12,723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30,063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24,254</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items reported above are reflected in the condensed consolidated statements of operations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6"/>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5,969</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2,634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10,817</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6,371</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21"/>
                <w:szCs w:val="21"/>
                <w:color w:val="auto"/>
              </w:rPr>
            </w:pPr>
          </w:p>
        </w:tc>
        <w:tc>
          <w:tcPr>
            <w:tcW w:w="98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8,202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8,204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15,078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14,575</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4,168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3,686</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w:t>
            </w:r>
          </w:p>
        </w:tc>
      </w:tr>
      <w:tr>
        <w:trPr>
          <w:trHeight w:val="27"/>
        </w:trPr>
        <w:tc>
          <w:tcPr>
            <w:tcW w:w="65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from continuing operations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16,275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12,723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30,063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24,254</w:t>
            </w: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certain of the special charges discussed above could recur with similar materiality in the future. We are engaged in a multi-year implementation of a new global enterprise resource planning ("ERP") system to improve our operational efficiency and have made progress in implementing the ERP across multiple sites. We expect the additional capital and integration expense associated with our ERP system to be completed over the next year.</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comparing our operating performance from period to period, assessing the business model objectives that management has established, and comparing our results against those of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Remediation Activities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an outstanding FDA warning letter related to TEI, acquired by Integra on July 17, 2015. TEI received a Warning Letter from the FDA dated May 29, 2015 for promoting the product SurgiMend for breast surgery applications that were not cleared in the 510(k) process and do not have a PMA Approval for the indication. The FDA requested that TEI immediately cease all activities that resulted in misbranding or adulteration of the product in commercial distribution. The FDA also required TEI to cease all violations regarding promotion of the product for an indication that was not cleared or approved. TEI responded with a corrective action plan to the FDA and took action to address the issues prior to the completion of the acquisition. We will continue to monitor this activity and address all corrective actions submitted to the FDA. The FDA may not accept our corrective action plan or it may choose to scrutinize other promotional claims on products and require additional corrective actions. We do not expect to incur material operating expenses to complete the corrective action plan.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material remediation expenses incurred in the three and six months ended June 30, 2016.</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revenues and gross margin on product revenues were as follows: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2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00" w:type="dxa"/>
            <w:vAlign w:val="bottom"/>
          </w:tcPr>
          <w:p>
            <w:pPr>
              <w:spacing w:after="0"/>
              <w:rPr>
                <w:sz w:val="16"/>
                <w:szCs w:val="16"/>
                <w:color w:val="auto"/>
              </w:rPr>
            </w:pPr>
          </w:p>
        </w:tc>
        <w:tc>
          <w:tcPr>
            <w:tcW w:w="228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62"/>
        </w:trPr>
        <w:tc>
          <w:tcPr>
            <w:tcW w:w="51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2015</w:t>
            </w:r>
          </w:p>
        </w:tc>
        <w:tc>
          <w:tcPr>
            <w:tcW w:w="0" w:type="dxa"/>
            <w:vAlign w:val="bottom"/>
          </w:tcPr>
          <w:p>
            <w:pPr>
              <w:spacing w:after="0"/>
              <w:rPr>
                <w:sz w:val="1"/>
                <w:szCs w:val="1"/>
                <w:color w:val="auto"/>
              </w:rPr>
            </w:pPr>
          </w:p>
        </w:tc>
      </w:tr>
      <w:tr>
        <w:trPr>
          <w:trHeight w:val="252"/>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Segment Net Sales</w:t>
            </w:r>
          </w:p>
        </w:tc>
        <w:tc>
          <w:tcPr>
            <w:tcW w:w="2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38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Specialty Surgical Solutions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158,163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146,709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309,338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286,767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Orthopedics &amp; Tissue Technologies</w:t>
            </w:r>
          </w:p>
        </w:tc>
        <w:tc>
          <w:tcPr>
            <w:tcW w:w="24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91,146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65,964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176,741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128,440</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249,309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212,673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486,079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415,207</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1"/>
                <w:szCs w:val="21"/>
                <w:color w:val="auto"/>
              </w:rPr>
            </w:pPr>
          </w:p>
        </w:tc>
        <w:tc>
          <w:tcPr>
            <w:tcW w:w="9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89,565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75,251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174,338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150,472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margin on total revenues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159,744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137,422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311,741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264,735</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Gross margin as a percentage of total revenues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June 30, 2016 as Compared to Three Months Ended June 30, 2015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June 30, 2016 total revenues increased by $36.6 million to $249.3 million from $212.7 million for the same period in 2015.</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Specialty Surgical Solutions revenues were $158.2 million, an increase of 7.8% from the prior-year period. The increase resulted from the growth in all of our major franchises, led by our dural repair products, which increased in the mid double digits for the quarter and precision tools and instruments which increased mid-single digits. This increase is above the market growth rate driven by new product introductions.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Orthopedics and Tissue Technologies revenues were $91.1 million, an increase of 38.2% from the prior-year period. The increase resulted from the impact of TEI, Salto and Futura product sales arising out of the acquisitions which added $15.8 million in the quarter. Non-acquired product growth was led by strong demand and market adoption in our regenerative products, which comprise over 70% of sales in this segment, driven by success from commercial and channel investments, as well as increased end user market demand in certain parts of our private label business.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Gross margin increased to $159.7 million for the three-month period ended June 30, 2016, up from $137.4 million for the same period last year. Gross margin as a percentage of total revenue decreased to 64.1% for the second quarter of 2016 from 64.6% for the same period last year. The decline in gross margin percentage resulted from an increase in inventory step-up charges and intangible assets amortization resulting from the TEI, Salto and Futura acquisitions, and start-up cost of our collagen manufacturing center. An increase in sales of higher margin products such as Dural Repair, skin and wound products, and improvements in the utilization of our manufacturing facilities, helped offset that slight decline.</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consolidated gross margin percentage for the full year 2016 to be approximately 64.5% to 65.0%. We expect the increase in gross margin to occur because of the full-year contribution from TEI and continued favorable product mix, which will more than offset the costs associated with operating our new collagen manufacturing center.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operating expenses as a percent of total revenues:</w:t>
      </w:r>
    </w:p>
    <w:p>
      <w:pPr>
        <w:spacing w:after="0" w:line="165" w:lineRule="exact"/>
        <w:rPr>
          <w:sz w:val="20"/>
          <w:szCs w:val="20"/>
          <w:color w:val="auto"/>
        </w:rPr>
      </w:pPr>
    </w:p>
    <w:p>
      <w:pPr>
        <w:ind w:left="88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24765</wp:posOffset>
            </wp:positionV>
            <wp:extent cx="2101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80" w:type="dxa"/>
            <w:vAlign w:val="bottom"/>
            <w:gridSpan w:val="2"/>
          </w:tcPr>
          <w:p>
            <w:pPr>
              <w:ind w:left="8740"/>
              <w:spacing w:after="0"/>
              <w:rPr>
                <w:sz w:val="20"/>
                <w:szCs w:val="20"/>
                <w:color w:val="auto"/>
              </w:rPr>
            </w:pPr>
            <w:r>
              <w:rPr>
                <w:rFonts w:ascii="Times New Roman" w:cs="Times New Roman" w:eastAsia="Times New Roman" w:hAnsi="Times New Roman"/>
                <w:sz w:val="14"/>
                <w:szCs w:val="14"/>
                <w:b w:val="1"/>
                <w:bCs w:val="1"/>
                <w:color w:val="auto"/>
              </w:rPr>
              <w:t>2016</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249"/>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90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 amortization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37"/>
        </w:trPr>
        <w:tc>
          <w:tcPr>
            <w:tcW w:w="81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r>
      <w:tr>
        <w:trPr>
          <w:trHeight w:val="27"/>
        </w:trPr>
        <w:tc>
          <w:tcPr>
            <w:tcW w:w="8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operating expenses, which consist of research and development expenses, selling, general and administrative expenses, and amortization expense, increased $24.3 million, or 21.5%, to $137.4 million in the three months ended June 30, 2016, compared to $113.1 million in the same period last year.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in the second quarter of 2016 increased compared to the same period last year. This increase primarily resulted from additional spending on new product development and clinical studies. We expect full-year 2016 spending on research and development to be between 5.5% and 6.0% of total revenues.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expenses in the second quarter of 2016 increased by $19.9 million to $119.2 million compared to $99.3 million in the same period last year. Selling and marketing expenses increased by $19.0 million, resulting from higher headcount in our sales force compared to last year resulting primarily from the TEI acquisition, and additional investments in adding direct sales representatives and distributors. General and administrative costs increased by $0.9 million, resulting from increases in ongoing projects, employee compensation, and benefit plans offset by the elimination of the Medical Device Excise Tax expense, which was $2.5 million in the second quarter of 2015. We expect full year selling, general and administrative expenses to be between 45.5% and 46.0% of revenue in 2016, as we make additional investments in our commercial channels as a result of the benefit of the Medical Device Excise Tax suspension.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Amortization expense as a percentage of revenues in the second quarter of 2016 increased compared to the same period last year. This was primarily related to the increase in intangibles from the three acquisitions in the second half of 2015.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non-operating income and expenses: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3200" w:type="dxa"/>
            <w:vAlign w:val="bottom"/>
            <w:tcBorders>
              <w:bottom w:val="single" w:sz="8" w:color="auto"/>
            </w:tcBorders>
            <w:gridSpan w:val="3"/>
          </w:tcPr>
          <w:p>
            <w:pPr>
              <w:jc w:val="center"/>
              <w:ind w:left="62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11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2016</w:t>
            </w:r>
          </w:p>
        </w:tc>
        <w:tc>
          <w:tcPr>
            <w:tcW w:w="7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680" w:type="dxa"/>
            <w:vAlign w:val="bottom"/>
            <w:tcBorders>
              <w:bottom w:val="single" w:sz="8" w:color="auto"/>
            </w:tcBorders>
          </w:tcPr>
          <w:p>
            <w:pPr>
              <w:spacing w:after="0"/>
              <w:rPr>
                <w:sz w:val="22"/>
                <w:szCs w:val="22"/>
                <w:color w:val="auto"/>
              </w:rPr>
            </w:pPr>
          </w:p>
        </w:tc>
      </w:tr>
      <w:tr>
        <w:trPr>
          <w:trHeight w:val="196"/>
        </w:trPr>
        <w:tc>
          <w:tcPr>
            <w:tcW w:w="7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40" w:type="dxa"/>
            <w:vAlign w:val="bottom"/>
            <w:gridSpan w:val="2"/>
          </w:tcPr>
          <w:p>
            <w:pPr>
              <w:jc w:val="center"/>
              <w:ind w:right="3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7"/>
                <w:szCs w:val="17"/>
                <w:color w:val="auto"/>
              </w:rPr>
            </w:pPr>
          </w:p>
        </w:tc>
      </w:tr>
      <w:tr>
        <w:trPr>
          <w:trHeight w:val="255"/>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w:t>
            </w:r>
          </w:p>
        </w:tc>
        <w:tc>
          <w:tcPr>
            <w:tcW w:w="126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16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(6,588)</w:t>
            </w:r>
          </w:p>
        </w:tc>
        <w:tc>
          <w:tcPr>
            <w:tcW w:w="1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(5,485)</w:t>
            </w:r>
          </w:p>
        </w:tc>
      </w:tr>
      <w:tr>
        <w:trPr>
          <w:trHeight w:val="27"/>
        </w:trPr>
        <w:tc>
          <w:tcPr>
            <w:tcW w:w="7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(852)</w:t>
            </w:r>
          </w:p>
        </w:tc>
        <w:tc>
          <w:tcPr>
            <w:tcW w:w="1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(860)</w:t>
            </w:r>
          </w:p>
        </w:tc>
      </w:tr>
      <w:tr>
        <w:trPr>
          <w:trHeight w:val="27"/>
        </w:trPr>
        <w:tc>
          <w:tcPr>
            <w:tcW w:w="7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Interest Expense</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 the three months ended June 30, 2016 increased by $1.1 million, primarily due to increased borrowings and higher effective borrowing rates on our Senior Credit Facility compared to the prior year. Our reported interest expense for the three-month periods ended June 30, 2016 and 2015 includes non-cash interest related to the accounting for convertible securities of $2.1 million and $1.9 million,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was negligible for the three months ended June 30, 2016 and 2015.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p>
      <w:pPr>
        <w:spacing w:after="0" w:line="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Other income (expense) for the three months ended June 30, 2016 includes $1.1 million loss on disposal of property and equipment. Other income for the three months ended June 30, 2016 and 2015 also includes the impact of transactional foreign exchange gains and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20" w:type="dxa"/>
            <w:vAlign w:val="bottom"/>
          </w:tcPr>
          <w:p>
            <w:pPr>
              <w:spacing w:after="0"/>
              <w:rPr>
                <w:sz w:val="16"/>
                <w:szCs w:val="16"/>
                <w:color w:val="auto"/>
              </w:rPr>
            </w:pPr>
          </w:p>
        </w:tc>
        <w:tc>
          <w:tcPr>
            <w:tcW w:w="3260" w:type="dxa"/>
            <w:vAlign w:val="bottom"/>
            <w:tcBorders>
              <w:bottom w:val="single" w:sz="8" w:color="auto"/>
            </w:tcBorders>
            <w:gridSpan w:val="3"/>
          </w:tcPr>
          <w:p>
            <w:pPr>
              <w:jc w:val="center"/>
              <w:ind w:left="682"/>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40" w:type="dxa"/>
            <w:vAlign w:val="bottom"/>
            <w:tcBorders>
              <w:bottom w:val="single" w:sz="8" w:color="auto"/>
            </w:tcBorders>
          </w:tcPr>
          <w:p>
            <w:pPr>
              <w:spacing w:after="0"/>
              <w:rPr>
                <w:sz w:val="16"/>
                <w:szCs w:val="16"/>
                <w:color w:val="auto"/>
              </w:rPr>
            </w:pPr>
          </w:p>
        </w:tc>
      </w:tr>
      <w:tr>
        <w:trPr>
          <w:trHeight w:val="264"/>
        </w:trPr>
        <w:tc>
          <w:tcPr>
            <w:tcW w:w="7420" w:type="dxa"/>
            <w:vAlign w:val="bottom"/>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8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740" w:type="dxa"/>
            <w:vAlign w:val="bottom"/>
            <w:tcBorders>
              <w:bottom w:val="single" w:sz="8" w:color="auto"/>
            </w:tcBorders>
          </w:tcPr>
          <w:p>
            <w:pPr>
              <w:spacing w:after="0"/>
              <w:rPr>
                <w:sz w:val="22"/>
                <w:szCs w:val="22"/>
                <w:color w:val="auto"/>
              </w:rPr>
            </w:pPr>
          </w:p>
        </w:tc>
      </w:tr>
      <w:tr>
        <w:trPr>
          <w:trHeight w:val="196"/>
        </w:trPr>
        <w:tc>
          <w:tcPr>
            <w:tcW w:w="7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100" w:type="dxa"/>
            <w:vAlign w:val="bottom"/>
            <w:gridSpan w:val="2"/>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7"/>
                <w:szCs w:val="17"/>
                <w:color w:val="auto"/>
              </w:rPr>
            </w:pPr>
          </w:p>
        </w:tc>
      </w:tr>
      <w:tr>
        <w:trPr>
          <w:trHeight w:val="255"/>
        </w:trPr>
        <w:tc>
          <w:tcPr>
            <w:tcW w:w="74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14,943</w:t>
            </w:r>
          </w:p>
        </w:tc>
        <w:tc>
          <w:tcPr>
            <w:tcW w:w="1260" w:type="dxa"/>
            <w:vAlign w:val="bottom"/>
            <w:tcBorders>
              <w:bottom w:val="single" w:sz="8" w:color="CCEEFF"/>
            </w:tcBorders>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18,008</w:t>
            </w:r>
          </w:p>
        </w:tc>
      </w:tr>
      <w:tr>
        <w:trPr>
          <w:trHeight w:val="243"/>
        </w:trPr>
        <w:tc>
          <w:tcPr>
            <w:tcW w:w="74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1160" w:type="dxa"/>
            <w:vAlign w:val="bottom"/>
          </w:tcPr>
          <w:p>
            <w:pPr>
              <w:spacing w:after="0"/>
              <w:rPr>
                <w:sz w:val="21"/>
                <w:szCs w:val="21"/>
                <w:color w:val="auto"/>
              </w:rPr>
            </w:pPr>
          </w:p>
        </w:tc>
        <w:tc>
          <w:tcPr>
            <w:tcW w:w="8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2,188</w:t>
            </w:r>
          </w:p>
        </w:tc>
        <w:tc>
          <w:tcPr>
            <w:tcW w:w="126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5,988</w:t>
            </w:r>
          </w:p>
        </w:tc>
      </w:tr>
      <w:tr>
        <w:trPr>
          <w:trHeight w:val="27"/>
        </w:trPr>
        <w:tc>
          <w:tcPr>
            <w:tcW w:w="7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7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11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14.6%</w:t>
            </w:r>
          </w:p>
        </w:tc>
        <w:tc>
          <w:tcPr>
            <w:tcW w:w="1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r>
      <w:tr>
        <w:trPr>
          <w:trHeight w:val="27"/>
        </w:trPr>
        <w:tc>
          <w:tcPr>
            <w:tcW w:w="74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effective income tax rates for the three months ended June 30, 2016 and 2015 were 14.6% and 33.3%, respectively. In the three months ended June 30, 2016, the primary drivers of the lower tax rate are excess tax benefits of $1.2 million as a result of early adoption of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xml:space="preserve"> and a $0.2 million benefit included for the release of uncertain tax positions. The primary driver of the higher tax rate for the three months ended June 30, 2015, compared to the three months ended June 30, 2016, was the $0.4 million expenses relating to foreign tax returns filed during the three months ended June 30, 2015 and jurisdiction mix of income earned.</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expects its effective income tax rate for the full year to be approximately 20.3%, resulting largely from the release of uncertain tax positions and the jurisdictional mix of pretax income in U.S.-based operations relative to foreign operations. This estimate could be revised in the future as additional information is presented to the Company.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our history of generating taxable earnings, in assessing our ability to realize tax assets on a quarterly basis.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we expect to pay in the coming year, which would be classified as current income taxes payable.</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Six Months Ended June 30, 2016 as Compared to Six Months Ended June 30, 2015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six months ended June 30, 2016, total revenues increased by $70.9 million to $486.1 million from $415.2 million during the prior-year period.</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Specialty Surgical Solutions revenues were $309.3 million, an increase of 7.9% from the prior-year period. Our dural repair franchise performed very well as demand for our products continued to rise. Revenue in our Precision Tools and Instruments business, which includes the former Instruments product portfolio as well as our cranial stabilization and stereotaxy product lines, also increased in part due to new product introductions. Neuro critical care revenues remained relatively flat year over year.</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Orthopedics and Tissue Technologies revenues were $176.7 million, an increase of 37.6% from the prior-year period. The increase partially resulted from the impact of the TEI, Salto and Futura product sales arising out of the acquisitions, which added $33.2 million for the six months ended June 30, 2016. The increase was also driven by strong demand in our regenerative technologies franchise as a result of additional headcount in our sales force, a steady increase in market adoption of regenerative products and end user demand in certain parts of our private label business. Excluding acquisitions, our extremity franchises were relatively flat.</w:t>
      </w:r>
    </w:p>
    <w:p>
      <w:pPr>
        <w:spacing w:after="0" w:line="13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Gross margin increased to $311.7 million for the six-month period ended June 30, 2016 from $264.7 million for the same period last year. Gross margin as a percentage of total revenue increased to 64.1% for the year to date period from 63.8% for the same period last year. The increase in gross margin percentage resulted primarily from an increase in sales of higher margin products such as DuraSeal, DuraGen, skin and wound products.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operating expenses as a percent of total revenues: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7229475"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Selling, general and administrative</w:t>
      </w:r>
    </w:p>
    <w:p>
      <w:pPr>
        <w:spacing w:after="0" w:line="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Intangible asset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29475" cy="1885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24765</wp:posOffset>
            </wp:positionV>
            <wp:extent cx="1663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103"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4"/>
          <w:szCs w:val="14"/>
          <w:b w:val="1"/>
          <w:bCs w:val="1"/>
          <w:color w:val="auto"/>
        </w:rPr>
        <w:t>2016</w:t>
      </w:r>
      <w:r>
        <w:rPr>
          <w:sz w:val="20"/>
          <w:szCs w:val="20"/>
          <w:color w:val="auto"/>
        </w:rPr>
        <w:tab/>
      </w:r>
      <w:r>
        <w:rPr>
          <w:rFonts w:ascii="Times New Roman" w:cs="Times New Roman" w:eastAsia="Times New Roman" w:hAnsi="Times New Roman"/>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24765</wp:posOffset>
            </wp:positionV>
            <wp:extent cx="1663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41" w:lineRule="exact"/>
        <w:rPr>
          <w:sz w:val="20"/>
          <w:szCs w:val="20"/>
          <w:color w:val="auto"/>
        </w:rPr>
      </w:pPr>
    </w:p>
    <w:p>
      <w:pPr>
        <w:jc w:val="right"/>
        <w:ind w:right="60"/>
        <w:spacing w:after="0"/>
        <w:tabs>
          <w:tab w:leader="none" w:pos="360" w:val="left"/>
        </w:tabs>
        <w:rPr>
          <w:sz w:val="20"/>
          <w:szCs w:val="20"/>
          <w:color w:val="auto"/>
        </w:rPr>
      </w:pPr>
      <w:r>
        <w:rPr>
          <w:rFonts w:ascii="Times New Roman" w:cs="Times New Roman" w:eastAsia="Times New Roman" w:hAnsi="Times New Roman"/>
          <w:sz w:val="18"/>
          <w:szCs w:val="18"/>
          <w:color w:val="auto"/>
        </w:rPr>
        <w:t>6.0%</w:t>
      </w:r>
      <w:r>
        <w:rPr>
          <w:sz w:val="20"/>
          <w:szCs w:val="20"/>
          <w:color w:val="auto"/>
        </w:rPr>
        <w:tab/>
      </w:r>
      <w:r>
        <w:rPr>
          <w:rFonts w:ascii="Times New Roman" w:cs="Times New Roman" w:eastAsia="Times New Roman" w:hAnsi="Times New Roman"/>
          <w:sz w:val="18"/>
          <w:szCs w:val="18"/>
          <w:color w:val="auto"/>
        </w:rPr>
        <w:t>5.6%</w:t>
      </w:r>
    </w:p>
    <w:p>
      <w:pPr>
        <w:spacing w:after="0" w:line="63" w:lineRule="exact"/>
        <w:rPr>
          <w:sz w:val="20"/>
          <w:szCs w:val="20"/>
          <w:color w:val="auto"/>
        </w:rPr>
      </w:pPr>
    </w:p>
    <w:p>
      <w:pPr>
        <w:jc w:val="right"/>
        <w:ind w:right="60"/>
        <w:spacing w:after="0"/>
        <w:tabs>
          <w:tab w:leader="none" w:pos="460" w:val="left"/>
        </w:tabs>
        <w:rPr>
          <w:sz w:val="20"/>
          <w:szCs w:val="20"/>
          <w:color w:val="auto"/>
        </w:rPr>
      </w:pPr>
      <w:r>
        <w:rPr>
          <w:rFonts w:ascii="Times New Roman" w:cs="Times New Roman" w:eastAsia="Times New Roman" w:hAnsi="Times New Roman"/>
          <w:sz w:val="18"/>
          <w:szCs w:val="18"/>
          <w:color w:val="auto"/>
        </w:rPr>
        <w:t>47.6%</w:t>
      </w:r>
      <w:r>
        <w:rPr>
          <w:sz w:val="20"/>
          <w:szCs w:val="20"/>
          <w:color w:val="auto"/>
        </w:rPr>
        <w:tab/>
      </w:r>
      <w:r>
        <w:rPr>
          <w:rFonts w:ascii="Times New Roman" w:cs="Times New Roman" w:eastAsia="Times New Roman" w:hAnsi="Times New Roman"/>
          <w:sz w:val="18"/>
          <w:szCs w:val="18"/>
          <w:color w:val="auto"/>
        </w:rPr>
        <w:t>46.4%</w:t>
      </w:r>
    </w:p>
    <w:p>
      <w:pPr>
        <w:spacing w:after="0" w:line="63" w:lineRule="exact"/>
        <w:rPr>
          <w:sz w:val="20"/>
          <w:szCs w:val="20"/>
          <w:color w:val="auto"/>
        </w:rPr>
      </w:pPr>
    </w:p>
    <w:p>
      <w:pPr>
        <w:jc w:val="right"/>
        <w:ind w:right="60"/>
        <w:spacing w:after="0"/>
        <w:tabs>
          <w:tab w:leader="none" w:pos="36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8"/>
          <w:szCs w:val="18"/>
          <w:color w:val="auto"/>
        </w:rPr>
        <w:t>0.8%</w:t>
      </w:r>
    </w:p>
    <w:p>
      <w:pPr>
        <w:spacing w:after="0" w:line="77" w:lineRule="exact"/>
        <w:rPr>
          <w:sz w:val="20"/>
          <w:szCs w:val="20"/>
          <w:color w:val="auto"/>
        </w:rPr>
      </w:pPr>
    </w:p>
    <w:p>
      <w:pPr>
        <w:jc w:val="right"/>
        <w:ind w:right="60"/>
        <w:spacing w:after="0"/>
        <w:tabs>
          <w:tab w:leader="none" w:pos="460" w:val="left"/>
        </w:tabs>
        <w:rPr>
          <w:sz w:val="20"/>
          <w:szCs w:val="20"/>
          <w:color w:val="auto"/>
        </w:rPr>
      </w:pPr>
      <w:r>
        <w:rPr>
          <w:rFonts w:ascii="Times New Roman" w:cs="Times New Roman" w:eastAsia="Times New Roman" w:hAnsi="Times New Roman"/>
          <w:sz w:val="18"/>
          <w:szCs w:val="18"/>
          <w:color w:val="auto"/>
        </w:rPr>
        <w:t>55.0%</w:t>
      </w:r>
      <w:r>
        <w:rPr>
          <w:sz w:val="20"/>
          <w:szCs w:val="20"/>
          <w:color w:val="auto"/>
        </w:rPr>
        <w:tab/>
      </w:r>
      <w:r>
        <w:rPr>
          <w:rFonts w:ascii="Times New Roman" w:cs="Times New Roman" w:eastAsia="Times New Roman" w:hAnsi="Times New Roman"/>
          <w:sz w:val="18"/>
          <w:szCs w:val="18"/>
          <w:color w:val="auto"/>
        </w:rPr>
        <w:t>52.8%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wp:posOffset>
            </wp:positionH>
            <wp:positionV relativeFrom="paragraph">
              <wp:posOffset>51435</wp:posOffset>
            </wp:positionV>
            <wp:extent cx="1663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520" w:space="720"/>
            <w:col w:w="2180"/>
          </w:cols>
          <w:pgMar w:left="240" w:top="121" w:right="239" w:bottom="1440" w:gutter="0" w:footer="0" w:header="0"/>
          <w:type w:val="continuous"/>
        </w:sectPr>
      </w:pPr>
    </w:p>
    <w:p>
      <w:pPr>
        <w:spacing w:after="0" w:line="9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Total operating expenses, which consist of research and development expenses, selling, general and administrative expenses, and amortization expense, increased $48.1 million, or 21.9%, to $267.3 million in the first six months of 2016, compared to $219.2 million in the same period last year.</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 the first six months of 2016 increased approximately $6.0 million and increased as a percentage of sales from 5.6% to 6.0%. This increase resulted from additional spending on new product development and clinical studies.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121" w:right="239" w:bottom="1440" w:gutter="0" w:footer="0" w:header="0"/>
          <w:type w:val="continuous"/>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in the first six months of 2016 increased by $38.6 million to $231.2 million compared to $192.6 million in the same period last year. Selling and marketing expenses increased by $37.7 million, primarily resulting from higher commissions and TEI acquisition-related expenses, including the addition of sales representatives. General and administrative costs increased $0.9 million resulting from increase in ongoing projects, employee compensation, and benefit plan mostly offset by elimination of the Medical Device Excise Tax expense of $4.5 million for the six months period ended June 30, 2015. In addition, we experienced higher incentive compensation costs for our sales forces for the six months period ended June 30, 2016.</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in the first six months of 2016 increased by $3.5 million to $6.9 million, compared to $3.5 million in the same period last year.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in the first six months of 2016 reflects the increase in intangibles due to the three acquisitions in the second half of 2015.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and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non-operating income and expenses: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center"/>
              <w:ind w:right="13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90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4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w w:val="99"/>
              </w:rPr>
              <w:t>2015</w:t>
            </w:r>
          </w:p>
        </w:tc>
      </w:tr>
      <w:tr>
        <w:trPr>
          <w:trHeight w:val="196"/>
        </w:trPr>
        <w:tc>
          <w:tcPr>
            <w:tcW w:w="9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gridSpan w:val="2"/>
          </w:tcPr>
          <w:p>
            <w:pPr>
              <w:jc w:val="center"/>
              <w:ind w:left="43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40" w:type="dxa"/>
            <w:vAlign w:val="bottom"/>
          </w:tcPr>
          <w:p>
            <w:pPr>
              <w:spacing w:after="0"/>
              <w:rPr>
                <w:sz w:val="17"/>
                <w:szCs w:val="17"/>
                <w:color w:val="auto"/>
              </w:rPr>
            </w:pPr>
          </w:p>
        </w:tc>
      </w:tr>
      <w:tr>
        <w:trPr>
          <w:trHeight w:val="255"/>
        </w:trPr>
        <w:tc>
          <w:tcPr>
            <w:tcW w:w="9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9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9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(12,961)</w:t>
            </w:r>
          </w:p>
        </w:tc>
        <w:tc>
          <w:tcPr>
            <w:tcW w:w="4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(10,957)</w:t>
            </w:r>
          </w:p>
        </w:tc>
      </w:tr>
      <w:tr>
        <w:trPr>
          <w:trHeight w:val="27"/>
        </w:trPr>
        <w:tc>
          <w:tcPr>
            <w:tcW w:w="9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90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(1,590)</w:t>
            </w:r>
          </w:p>
        </w:tc>
        <w:tc>
          <w:tcPr>
            <w:tcW w:w="46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1,157</w:t>
            </w:r>
          </w:p>
        </w:tc>
      </w:tr>
      <w:tr>
        <w:trPr>
          <w:trHeight w:val="27"/>
        </w:trPr>
        <w:tc>
          <w:tcPr>
            <w:tcW w:w="90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and Interest Expense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expense in the six-month period ended June 30, 2016 increased by $2.0 million primarily due to increased borrowings and higher effective borrowing rates on our Senior Credit facility compared to the prior year. Our reported interest expense for the six-month periods ended June 30, 2016 and 2015 includes non-cash interest related to the accounting for convertible securities of $4.2 million and $3.7 million, respectively.</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was negligible for the six months ended June 30, 2016 and 2015.</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income for the six months ended June 30, 2016 includes $1.2 million loss on disposal of property and equipment. Other income for the six months ended June 30, 2016 and 2015 also includes the impact of transactional foreign exchange gains and losses.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ind w:right="1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87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6"/>
        </w:trPr>
        <w:tc>
          <w:tcPr>
            <w:tcW w:w="8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80" w:type="dxa"/>
            <w:vAlign w:val="bottom"/>
            <w:gridSpan w:val="3"/>
          </w:tcPr>
          <w:p>
            <w:pPr>
              <w:jc w:val="center"/>
              <w:ind w:left="45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7"/>
                <w:szCs w:val="17"/>
                <w:color w:val="auto"/>
              </w:rPr>
            </w:pPr>
          </w:p>
        </w:tc>
      </w:tr>
      <w:tr>
        <w:trPr>
          <w:trHeight w:val="255"/>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29,937</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35,798</w:t>
            </w:r>
          </w:p>
        </w:tc>
      </w:tr>
      <w:tr>
        <w:trPr>
          <w:trHeight w:val="243"/>
        </w:trPr>
        <w:tc>
          <w:tcPr>
            <w:tcW w:w="8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80" w:type="dxa"/>
            <w:vAlign w:val="bottom"/>
          </w:tcPr>
          <w:p>
            <w:pPr>
              <w:spacing w:after="0"/>
              <w:rPr>
                <w:sz w:val="21"/>
                <w:szCs w:val="21"/>
                <w:color w:val="auto"/>
              </w:rPr>
            </w:pPr>
          </w:p>
        </w:tc>
        <w:tc>
          <w:tcPr>
            <w:tcW w:w="940" w:type="dxa"/>
            <w:vAlign w:val="bottom"/>
          </w:tcPr>
          <w:p>
            <w:pPr>
              <w:jc w:val="right"/>
              <w:ind w:right="99"/>
              <w:spacing w:after="0"/>
              <w:rPr>
                <w:sz w:val="20"/>
                <w:szCs w:val="20"/>
                <w:color w:val="auto"/>
              </w:rPr>
            </w:pPr>
            <w:r>
              <w:rPr>
                <w:rFonts w:ascii="Times New Roman" w:cs="Times New Roman" w:eastAsia="Times New Roman" w:hAnsi="Times New Roman"/>
                <w:sz w:val="18"/>
                <w:szCs w:val="18"/>
                <w:color w:val="auto"/>
              </w:rPr>
              <w:t>3,764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12,046</w:t>
            </w:r>
          </w:p>
        </w:tc>
      </w:tr>
      <w:tr>
        <w:trPr>
          <w:trHeight w:val="27"/>
        </w:trPr>
        <w:tc>
          <w:tcPr>
            <w:tcW w:w="8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8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r>
      <w:tr>
        <w:trPr>
          <w:trHeight w:val="27"/>
        </w:trPr>
        <w:tc>
          <w:tcPr>
            <w:tcW w:w="87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effective income tax rates for the six months ended June 30, 2016 and 2015 were 12.6% and 33.6% , respectively. In the six months ended June 30, 2016, the primary drivers of the lower tax rate are excess tax benefits of $3.0 million were included as a result of early adoption of </w:t>
      </w:r>
      <w:r>
        <w:rPr>
          <w:rFonts w:ascii="Times New Roman" w:cs="Times New Roman" w:eastAsia="Times New Roman" w:hAnsi="Times New Roman"/>
          <w:sz w:val="18"/>
          <w:szCs w:val="18"/>
          <w:i w:val="1"/>
          <w:iCs w:val="1"/>
          <w:color w:val="auto"/>
        </w:rPr>
        <w:t>ASU 2016-09</w:t>
      </w:r>
      <w:r>
        <w:rPr>
          <w:rFonts w:ascii="Times New Roman" w:cs="Times New Roman" w:eastAsia="Times New Roman" w:hAnsi="Times New Roman"/>
          <w:sz w:val="18"/>
          <w:szCs w:val="18"/>
          <w:color w:val="auto"/>
        </w:rPr>
        <w:t xml:space="preserve"> and a $0.5 million benefit included for the release of uncertain tax positions. The primary drivers of the higher income tax rate for the six months ended June 30, 2015, compared to the six months ended June 30, 2016, are the $0.6 million expense and $0.4 million expense related to transfer pricing recorded and foreign tax returns filed for the six months ended June 30, 2015, respectively, and jurisdiction mix of income earned.</w:t>
      </w:r>
    </w:p>
    <w:p>
      <w:pPr>
        <w:spacing w:after="0" w:line="1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expects its effective income tax rate for the full year to be approximately 20.3%, resulting largely from release of uncertain tax positions and jurisdictional mix of pretax income in U.S.-based operations relative to foreign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5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effective tax rate may vary from period to period depending on, among other factors, the geographic and business mix of taxable earnings and losses, tax planning and settlements with the various taxing authorities. We consider these factors and others, including our history of generating taxable earnings, in assessing our ability to realize deferred tax assets on a quarterly basis.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it expects to pay in the coming year which are classified as current income taxes payable.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GEOGRAPHIC PRODUCT REVENUES AND OPERATIONS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attribute revenues to geographic areas based on the location of the customer. Total revenue by major geographic area consisted of the following:</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14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64"/>
        </w:trPr>
        <w:tc>
          <w:tcPr>
            <w:tcW w:w="6520" w:type="dxa"/>
            <w:vAlign w:val="bottom"/>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bottom w:val="single" w:sz="8" w:color="auto"/>
            </w:tcBorders>
          </w:tcPr>
          <w:p>
            <w:pPr>
              <w:spacing w:after="0"/>
              <w:rPr>
                <w:sz w:val="22"/>
                <w:szCs w:val="22"/>
                <w:color w:val="auto"/>
              </w:rPr>
            </w:pPr>
          </w:p>
        </w:tc>
        <w:tc>
          <w:tcPr>
            <w:tcW w:w="2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2015</w:t>
            </w:r>
          </w:p>
        </w:tc>
      </w:tr>
      <w:tr>
        <w:trPr>
          <w:trHeight w:val="196"/>
        </w:trPr>
        <w:tc>
          <w:tcPr>
            <w:tcW w:w="6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55"/>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191,872</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162,511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373,101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315,270</w:t>
            </w:r>
          </w:p>
        </w:tc>
      </w:tr>
      <w:tr>
        <w:trPr>
          <w:trHeight w:val="243"/>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Europe</w:t>
            </w:r>
          </w:p>
        </w:tc>
        <w:tc>
          <w:tcPr>
            <w:tcW w:w="200" w:type="dxa"/>
            <w:vAlign w:val="bottom"/>
          </w:tcPr>
          <w:p>
            <w:pPr>
              <w:spacing w:after="0"/>
              <w:rPr>
                <w:sz w:val="21"/>
                <w:szCs w:val="21"/>
                <w:color w:val="auto"/>
              </w:rPr>
            </w:pPr>
          </w:p>
        </w:tc>
        <w:tc>
          <w:tcPr>
            <w:tcW w:w="9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31,663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25,564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61,098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50,700</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 of World</w:t>
            </w:r>
          </w:p>
        </w:tc>
        <w:tc>
          <w:tcPr>
            <w:tcW w:w="2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25,774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24,598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51,880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49,237</w:t>
            </w:r>
          </w:p>
        </w:tc>
      </w:tr>
      <w:tr>
        <w:trPr>
          <w:trHeight w:val="237"/>
        </w:trPr>
        <w:tc>
          <w:tcPr>
            <w:tcW w:w="6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249,309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212,673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486,079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415,207</w:t>
            </w:r>
          </w:p>
        </w:tc>
      </w:tr>
      <w:tr>
        <w:trPr>
          <w:trHeight w:val="27"/>
        </w:trPr>
        <w:tc>
          <w:tcPr>
            <w:tcW w:w="65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revenues increased to $191.9 million, or 77.0% of total revenues, for the three months ended June 30, 2016 from $162.5 million, or 76.4% of total revenues, for the three months ended June 30, 2015. International revenues increased to $57.4 million from $50.2 million in the prior-year period, an increase of 14.5%.</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Domestic revenues increased to $373.1 million, or 76.8% of total revenues, for the six months ended June 30, 2016 from $315.3 million, or 75.9% of total revenues, for the six months ended June 30, 2015. International revenues increased to $113.0 million from $99.9 million in the prior-year period, an increase of 13.0%.</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Marketable Securities</w:t>
      </w:r>
    </w:p>
    <w:p>
      <w:pPr>
        <w:spacing w:after="0" w:line="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had cash and cash equivalents totaling approximately $86.8 million and $48.1 million at June 30, 2016 and December 31, 2015, respectively, which are valued based on Level 1 measurements in the fair value hierarchy. At June 30, 2016, our non-U.S. subsidiaries held approximately $58.1 million of cash and cash equivalents that are available for use by our operations outside of the United States. If cash and cash equivalents held by our non-U.S. subsidiaries were repatriated to the United States, or used for United States operations, certain amounts could be subject to tax in the United States for the incremental amount in excess of the foreign tax paid.</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121"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00" w:type="dxa"/>
            <w:vAlign w:val="bottom"/>
          </w:tcPr>
          <w:p>
            <w:pPr>
              <w:spacing w:after="0"/>
              <w:rPr>
                <w:sz w:val="16"/>
                <w:szCs w:val="16"/>
                <w:color w:val="auto"/>
              </w:rPr>
            </w:pPr>
          </w:p>
        </w:tc>
        <w:tc>
          <w:tcPr>
            <w:tcW w:w="3020" w:type="dxa"/>
            <w:vAlign w:val="bottom"/>
            <w:tcBorders>
              <w:bottom w:val="single" w:sz="8" w:color="auto"/>
            </w:tcBorders>
            <w:gridSpan w:val="3"/>
          </w:tcPr>
          <w:p>
            <w:pPr>
              <w:jc w:val="center"/>
              <w:ind w:left="66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0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2016</w:t>
            </w:r>
          </w:p>
        </w:tc>
        <w:tc>
          <w:tcPr>
            <w:tcW w:w="7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2015</w:t>
            </w:r>
          </w:p>
        </w:tc>
        <w:tc>
          <w:tcPr>
            <w:tcW w:w="70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20" w:type="dxa"/>
            <w:vAlign w:val="bottom"/>
            <w:gridSpan w:val="2"/>
          </w:tcPr>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7"/>
                <w:szCs w:val="17"/>
                <w:color w:val="auto"/>
              </w:rPr>
            </w:pPr>
          </w:p>
        </w:tc>
      </w:tr>
      <w:tr>
        <w:trPr>
          <w:trHeight w:val="255"/>
        </w:trPr>
        <w:tc>
          <w:tcPr>
            <w:tcW w:w="7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100" w:type="dxa"/>
            <w:vAlign w:val="bottom"/>
            <w:tcBorders>
              <w:bottom w:val="single" w:sz="8" w:color="CCEEFF"/>
            </w:tcBorders>
            <w:shd w:val="clear" w:color="auto" w:fill="CCEEFF"/>
          </w:tcPr>
          <w:p>
            <w:pPr>
              <w:jc w:val="right"/>
              <w:ind w:right="90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63,109</w:t>
            </w:r>
          </w:p>
        </w:tc>
        <w:tc>
          <w:tcPr>
            <w:tcW w:w="1160" w:type="dxa"/>
            <w:vAlign w:val="bottom"/>
            <w:tcBorders>
              <w:bottom w:val="single" w:sz="8" w:color="CCEEFF"/>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71,812</w:t>
            </w:r>
          </w:p>
        </w:tc>
      </w:tr>
      <w:tr>
        <w:trPr>
          <w:trHeight w:val="243"/>
        </w:trPr>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10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(14,773)</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(11,684)</w:t>
            </w:r>
          </w:p>
        </w:tc>
      </w:tr>
      <w:tr>
        <w:trPr>
          <w:trHeight w:val="27"/>
        </w:trPr>
        <w:tc>
          <w:tcPr>
            <w:tcW w:w="7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1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(9,082)</w:t>
            </w:r>
          </w:p>
        </w:tc>
        <w:tc>
          <w:tcPr>
            <w:tcW w:w="1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20,590</w:t>
            </w:r>
          </w:p>
        </w:tc>
      </w:tr>
      <w:tr>
        <w:trPr>
          <w:trHeight w:val="243"/>
        </w:trPr>
        <w:tc>
          <w:tcPr>
            <w:tcW w:w="7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exchange rate fluctuations on cash</w:t>
            </w:r>
          </w:p>
        </w:tc>
        <w:tc>
          <w:tcPr>
            <w:tcW w:w="1100" w:type="dxa"/>
            <w:vAlign w:val="bottom"/>
          </w:tcPr>
          <w:p>
            <w:pPr>
              <w:spacing w:after="0"/>
              <w:rPr>
                <w:sz w:val="21"/>
                <w:szCs w:val="21"/>
                <w:color w:val="auto"/>
              </w:rPr>
            </w:pPr>
          </w:p>
        </w:tc>
        <w:tc>
          <w:tcPr>
            <w:tcW w:w="7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(583)</w:t>
            </w:r>
          </w:p>
        </w:tc>
        <w:tc>
          <w:tcPr>
            <w:tcW w:w="1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w:t>
            </w:r>
          </w:p>
        </w:tc>
      </w:tr>
    </w:tbl>
    <w:p>
      <w:pPr>
        <w:spacing w:after="0" w:line="3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2016, we anticipate that our principal uses of cash will include approximately $40.0 million of capital expenditures primarily for support and maintenance in our existing plants for facility automation, our enterprise resource planning system implementation, and additions to our instrument kits used in sales of orthopedic products.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Provided by Operating Activities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generated operating cash flows of $63.1 million and $71.8 million for the six months ended June 30, 2016 and 2015, respectively.</w:t>
      </w:r>
    </w:p>
    <w:p>
      <w:pPr>
        <w:spacing w:after="0" w:line="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cash flows for the six months ended June 30, 2016 decreased compared to the same period in 2015. Net income increased compared to the same period of the prior year. Changes in non-cash adjustments included in net income increased cash flows for the six months ended June 30, 2016 by approximately $13.9 million compared to the same period in 2015, which resulted primarily from the increase in depreciation and amortization. Changes in working capital decreased cash flows for the six months ended June 30, 2016 by approximately $11.8 million. Among the changes in working capital, accounts receivable used $13.5 million of cash, inventory used $7.4 million of cash, prepaid expenses and other current assets provided $4.4 million of cash and accounts payable, and accrued expenses and other current liabilities provided $2.2 million of cash. Increases in accounts receivables and inventories are consistent with increase in revenue.</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cash flow for the six months ended June 30, 2015 benefited from an increase in net income of $16.9 million compared to the same period in 2014. Changes in working capital increased cash flows by approximately $12.7 million. Among the changes in working capital, accounts receivable used $5.2 million of cash, inventory used $6.1 million of cash, prepaid expenses and other current assets provided $0.9 million of cash and accounts payable, accrued expenses and other current liabilities provided $24.0 million of cash.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Used in Investing Activities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2016, we paid $19.2 million for capital expenditures, most of which was directed to our global enterprise system implementation and commercial expansion. We also received $4.2 million of restricted cash which was released from restrictions.</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2015, we received cash of $1.4 million related to the sale of our Andover, U.K. facility and $1.8 million related to a working capital adjustment from the MicroFrance acquisition. We also paid $15.0 million for capital expenditures, most of which was directed to the expansion of our new collagen manufacturing center and global enterprise system implementation.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(Used in) Provided by Financing Activities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source of cash from financing activities in the six months ended June 30, 2016 was a $15.0 million borrowing under our Senior Credit Facility for general operating purposes and proceeds we received from stock option exercises of $9.3 million. Additionally, we made a repayment of $28.8 million on the revolving portion of our Senior Credit Facility.</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principal use of cash for financing activities in the six months ended June 30, 2015 was a repayment of $15.0 million on the revolving portion under our Senior Credit Facility. Additionally, we received proceeds related to stock option exercises of $7.3 million and borrowed $35.0 million under our Senior Credit Facility to fund SeaSpine in conjunction in the spin-off.</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Working Capital</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June 30, 2016 and December 31, 2015, working capital was $344.2 million and $299.4 million, respectively. Working capital is defined as net of total current assets less total current liabilities.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Debt Maturities</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1.625% senior convertible notes mature in 2016. The Company considers the balance to be long term in nature based on its current intent and ability to refinance the borrowing prior to its maturity. The Company may attempt to refinance, extend, or use available borrowing capacity under the Senior Credit Facility to settle this obligation, depending on prevailing market conditions. Our ability to refinance or extend this obligation will depend on our operating and financial performance, which in turn is subject to prevailing economic conditions and financial, business and other factors beyond our control. Any disruptions in our operations, the financial markets, or overall economy may adversely affect the availability and cost of credit to 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Senior Credit Agreement, Convertible Debt and Related Hedging Activities</w:t>
      </w:r>
    </w:p>
    <w:p>
      <w:pPr>
        <w:spacing w:after="0" w:line="254"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See Note 6 </w:t>
      </w:r>
      <w:r>
        <w:rPr>
          <w:rFonts w:ascii="Times New Roman" w:cs="Times New Roman" w:eastAsia="Times New Roman" w:hAnsi="Times New Roman"/>
          <w:sz w:val="18"/>
          <w:szCs w:val="18"/>
          <w:i w:val="1"/>
          <w:iCs w:val="1"/>
          <w:color w:val="auto"/>
        </w:rPr>
        <w:t>- Debt</w:t>
      </w:r>
      <w:r>
        <w:rPr>
          <w:rFonts w:ascii="Times New Roman" w:cs="Times New Roman" w:eastAsia="Times New Roman" w:hAnsi="Times New Roman"/>
          <w:sz w:val="18"/>
          <w:szCs w:val="18"/>
          <w:color w:val="auto"/>
        </w:rPr>
        <w:t xml:space="preserve"> to the current period’s condensed consolidated financial statements for a discussion of our (i) amended and restated Senior Credit Agreement, and (ii) convertible debt and related hedging activities.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Plan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2014, our Board of Directors authorized a repurchase plan of up to $75.0 million of outstanding common stock through December 2016. Shares may be repurchased either in the open market or in privately negotiated transactions. There were no shares repurchased under this program through June 30, 2016 and $75.0 million remains available under the authorization.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9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our cash and available borrowings under the Senior Credit Facility are sufficient to finance our operations and capital expenditures. The Company considers all such outstanding amounts to be long term in nature based on its current intent and ability to repay the borrowings outside of the next twelve-month period.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June 30, 2016, we were obligated to pay the following amounts under various agreements: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Payments Due by Calendar Year</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196"/>
        </w:trPr>
        <w:tc>
          <w:tcPr>
            <w:tcW w:w="35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Remaining 2016</w:t>
            </w:r>
          </w:p>
        </w:tc>
        <w:tc>
          <w:tcPr>
            <w:tcW w:w="1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2017-2018</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2019-2020</w:t>
            </w:r>
          </w:p>
        </w:tc>
        <w:tc>
          <w:tcPr>
            <w:tcW w:w="3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Thereafter</w:t>
            </w:r>
          </w:p>
        </w:tc>
      </w:tr>
      <w:tr>
        <w:trPr>
          <w:trHeight w:val="250"/>
        </w:trPr>
        <w:tc>
          <w:tcPr>
            <w:tcW w:w="35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Convertible Securities (1)</w:t>
            </w: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227.1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227.1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Credit Facility (2)</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3"/>
              </w:rPr>
              <w:t>140.0</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140.0</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Term Loan</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342.5</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273.8</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(3)</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21.5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13.1</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2.9</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Employment Agreements (4)</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Leases</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33.0</w:t>
            </w:r>
          </w:p>
        </w:tc>
      </w:tr>
      <w:tr>
        <w:trPr>
          <w:trHeight w:val="27"/>
        </w:trPr>
        <w:tc>
          <w:tcPr>
            <w:tcW w:w="354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Purchase Obligations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1.3</w:t>
            </w:r>
          </w:p>
        </w:tc>
        <w:tc>
          <w:tcPr>
            <w:tcW w:w="3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0.1</w:t>
            </w:r>
          </w:p>
        </w:tc>
      </w:tr>
      <w:tr>
        <w:trPr>
          <w:trHeight w:val="27"/>
        </w:trPr>
        <w:tc>
          <w:tcPr>
            <w:tcW w:w="354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93"/>
              </w:rPr>
              <w:t>808.3</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254.1</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92.6</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428.5</w:t>
            </w:r>
          </w:p>
        </w:tc>
        <w:tc>
          <w:tcPr>
            <w:tcW w:w="3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33.1</w:t>
            </w:r>
          </w:p>
        </w:tc>
      </w:tr>
      <w:tr>
        <w:trPr>
          <w:trHeight w:val="20"/>
        </w:trPr>
        <w:tc>
          <w:tcPr>
            <w:tcW w:w="35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left="840" w:right="20" w:hanging="293"/>
        <w:spacing w:after="0" w:line="266"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debt service obligation of the senior convertible securities includes interest expense representing the amortization of the discount on the liability component of the senior convertible notes in accordance with the authoritative guidance. See Note 6 -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xml:space="preserve"> of our condensed consolidated financial statements for additional information.</w:t>
      </w:r>
    </w:p>
    <w:p>
      <w:pPr>
        <w:spacing w:after="0" w:line="14" w:lineRule="exact"/>
        <w:rPr>
          <w:rFonts w:ascii="Times New Roman" w:cs="Times New Roman" w:eastAsia="Times New Roman" w:hAnsi="Times New Roman"/>
          <w:sz w:val="18"/>
          <w:szCs w:val="18"/>
          <w:color w:val="auto"/>
        </w:rPr>
      </w:pPr>
    </w:p>
    <w:p>
      <w:pPr>
        <w:jc w:val="both"/>
        <w:ind w:left="840" w:right="40" w:hanging="293"/>
        <w:spacing w:after="0" w:line="266"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borrow and make payments against the revolving credit portion of its Senior Credit Facility from time to time and considers all of the outstanding amounts to be long term based on its current intent and ability to repay the borrowing outside of the next twelve-month period.</w:t>
      </w:r>
    </w:p>
    <w:p>
      <w:pPr>
        <w:spacing w:after="0" w:line="14" w:lineRule="exact"/>
        <w:rPr>
          <w:rFonts w:ascii="Times New Roman" w:cs="Times New Roman" w:eastAsia="Times New Roman" w:hAnsi="Times New Roman"/>
          <w:sz w:val="18"/>
          <w:szCs w:val="18"/>
          <w:color w:val="auto"/>
        </w:rPr>
      </w:pPr>
    </w:p>
    <w:p>
      <w:pPr>
        <w:ind w:left="840" w:right="40" w:hanging="293"/>
        <w:spacing w:after="0" w:line="281"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is calculated on the term loan portion of the Senior Credit Facility and convertible securities based on current interest rates paid by the Company. As the revolving credit facility can be repaid at any time, no interest has been included in the calculation.</w:t>
      </w:r>
    </w:p>
    <w:p>
      <w:pPr>
        <w:spacing w:after="0" w:line="1" w:lineRule="exact"/>
        <w:rPr>
          <w:rFonts w:ascii="Times New Roman" w:cs="Times New Roman" w:eastAsia="Times New Roman" w:hAnsi="Times New Roman"/>
          <w:sz w:val="18"/>
          <w:szCs w:val="18"/>
          <w:color w:val="auto"/>
        </w:rPr>
      </w:pPr>
    </w:p>
    <w:p>
      <w:pPr>
        <w:ind w:left="840" w:hanging="293"/>
        <w:spacing w:after="0"/>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shown under Employment Agreements do not include compensation resulting from a change in control.</w:t>
      </w:r>
    </w:p>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excluded contingent consideration obligations related to prior acquisitions from the contractual obligations table above; these liabilities had a fair value of $22.1 million at June 30, 2016. These liabilities have been excluded because the amounts to be paid and the potential payment dates are not fixed.</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also excluded the liability for uncertain tax benefits from the contractual obligations table above, including interest and penalties, totaling $0.6 million at June 30, 2016. This liability for uncertain tax benefits has been excluded because we cannot make a reliable estimate of the period in which the uncertain tax benefits may be realized.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were no off-balance sheet arrangements during the six months ended June 30, 2016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critical accounting estimates included in our Annual Report on Form 10-K for the fiscal year ended December 31, 2015, have not materially changed, except as noted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92" w:lineRule="exact"/>
        <w:rPr>
          <w:sz w:val="20"/>
          <w:szCs w:val="20"/>
          <w:color w:val="auto"/>
        </w:rPr>
      </w:pPr>
    </w:p>
    <w:p>
      <w:pPr>
        <w:ind w:right="120"/>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new accounting pronouncements is included in Note 1 </w:t>
      </w:r>
      <w:r>
        <w:rPr>
          <w:rFonts w:ascii="Times New Roman" w:cs="Times New Roman" w:eastAsia="Times New Roman" w:hAnsi="Times New Roman"/>
          <w:sz w:val="18"/>
          <w:szCs w:val="18"/>
          <w:i w:val="1"/>
          <w:iCs w:val="1"/>
          <w:color w:val="auto"/>
        </w:rPr>
        <w:t>- Basis of Presentation</w:t>
      </w:r>
      <w:r>
        <w:rPr>
          <w:rFonts w:ascii="Times New Roman" w:cs="Times New Roman" w:eastAsia="Times New Roman" w:hAnsi="Times New Roman"/>
          <w:sz w:val="18"/>
          <w:szCs w:val="18"/>
          <w:color w:val="auto"/>
        </w:rPr>
        <w:t xml:space="preserve"> to the current period’s condensed consolidated financial statements.</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and Other Rate Risks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due to exchange rate movements, because gains and losses on these contracts offset gains and losses on the assets, liabilities or transactions being hedged.</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9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are exposed to the risk of interest rate fluctuations on the interest income earned on our cash and cash equivalents.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hypothetical 100 basis point movement in interest rates applicable to our cash and cash equivalents outstanding at June 30, 2016 would increase interest income by approximately $0.9 million on an annual basis</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No significant decrease in interest income would be expected as our cash balances are earning interest at rates of approximately one basis point. We are subject to foreign currency exchange risk with respect to cash balances maintained in foreign currencies.</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Senior Credit Facility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Our interest rate risk relates primarily to U.S. dollar LIBOR-indexed borrowings. We have used an interest rate derivative instrument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manage our earnings and cash flow exposure to changes in interest rates. This interest rate swap fixes the interest rate on a portion of our expected LIBOR-indexed floating-rate borrowings beginning on December 31, 2016.</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Based on our outstanding borrowings at June 30, 2016, a one-percentage point increase in interest rates would have affected interest expense on the debt by $3.8 million on an annualized basis. A one-percentage point decrease in interest rates would have affected interest expense on the debt by $4.3 million on an annualized basis.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June 30, 2016. Based upon this evaluation, our principal executive officer and principal financial officer concluded that our disclosure controls and procedures were effective as of June 30, 2016 to provide such reasonable assurance.</w:t>
      </w:r>
    </w:p>
    <w:p>
      <w:pPr>
        <w:spacing w:after="0" w:line="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previously disclosed, the Company is in the process of a multi-year implementation of a global enterprise resource planning system. In addition, in response to business integration activities, the Company has and will continue to further align and streamline the design and operation of the financial control environment to be responsive to the changing business model.</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under the Exchange Act) that occurred during the quarter ended June 30, 2016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Various lawsuits, claims and proceedings are pending or have been settled by us; the most significant of which are described below.</w:t>
      </w:r>
    </w:p>
    <w:p>
      <w:pPr>
        <w:spacing w:after="0" w:line="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Currently, there are approximately fifty active cases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 Factors included in our Annual Report on Form 10-K for the fiscal year ended December 31, 2015 have not materially changed.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28, 2014, our Board of Directors terminated the previous share repurchase plan dated October 2012, and authorized a new repurchase of up to $75.0 million of outstanding common stock through December 2016. Shares may be repurchased either in the open market or in privately negotiated transactions.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repurchases of our common stock during the three months ended June 30, 2016 under this program.</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u w:val="single" w:color="auto"/>
          <w:color w:val="auto"/>
        </w:rPr>
        <w:t>Exhibits</w:t>
      </w:r>
    </w:p>
    <w:p>
      <w:pPr>
        <w:spacing w:after="0" w:line="333" w:lineRule="exact"/>
        <w:rPr>
          <w:sz w:val="20"/>
          <w:szCs w:val="20"/>
          <w:color w:val="auto"/>
        </w:rPr>
      </w:pPr>
    </w:p>
    <w:tbl>
      <w:tblPr>
        <w:tblLayout w:type="fixed"/>
        <w:tblInd w:w="380" w:type="dxa"/>
        <w:tblCellMar>
          <w:top w:w="0" w:type="dxa"/>
          <w:left w:w="0" w:type="dxa"/>
          <w:bottom w:w="0" w:type="dxa"/>
          <w:right w:w="0" w:type="dxa"/>
        </w:tblCellMar>
      </w:tblPr>
      <w:tr>
        <w:trPr>
          <w:trHeight w:val="234"/>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*31.1</w:t>
            </w: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*31.2</w:t>
            </w: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*32.1</w:t>
            </w: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*32.2</w:t>
            </w: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*†101.INS</w:t>
            </w: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9"/>
              </w:rPr>
              <w:t>*†101.SCH</w:t>
            </w: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*†101.CAL</w:t>
            </w: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*†101.DEF</w:t>
            </w: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*†101.LAB</w:t>
            </w: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540"/>
        </w:trPr>
        <w:tc>
          <w:tcPr>
            <w:tcW w:w="10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*†101.PRE</w:t>
            </w:r>
          </w:p>
        </w:tc>
        <w:tc>
          <w:tcPr>
            <w:tcW w:w="7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387" w:lineRule="exact"/>
        <w:rPr>
          <w:sz w:val="20"/>
          <w:szCs w:val="20"/>
          <w:color w:val="auto"/>
        </w:rPr>
      </w:pPr>
    </w:p>
    <w:p>
      <w:pPr>
        <w:ind w:left="720" w:hanging="685"/>
        <w:spacing w:after="0"/>
        <w:tabs>
          <w:tab w:leader="none" w:pos="7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2" w:lineRule="exact"/>
        <w:rPr>
          <w:rFonts w:ascii="Times New Roman" w:cs="Times New Roman" w:eastAsia="Times New Roman" w:hAnsi="Times New Roman"/>
          <w:sz w:val="18"/>
          <w:szCs w:val="18"/>
          <w:color w:val="auto"/>
        </w:rPr>
      </w:pPr>
    </w:p>
    <w:p>
      <w:pPr>
        <w:ind w:left="500" w:hanging="492"/>
        <w:spacing w:after="0" w:line="258" w:lineRule="auto"/>
        <w:tabs>
          <w:tab w:leader="none" w:pos="18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of Integra LifeSciences Holdings Corporation Quarterly Report on Form 10-Q for the quarter ended June 30, 2016 filed on July 28, 2016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INTEGRA LIFESCIENCES HOLDINGS CORPORATION</w:t>
            </w:r>
          </w:p>
        </w:tc>
      </w:tr>
      <w:tr>
        <w:trPr>
          <w:trHeight w:val="59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July 28, 2016</w:t>
            </w:r>
          </w:p>
        </w:tc>
        <w:tc>
          <w:tcPr>
            <w:tcW w:w="258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Peter J. Arduini</w:t>
            </w:r>
          </w:p>
        </w:tc>
      </w:tr>
      <w:tr>
        <w:trPr>
          <w:trHeight w:val="27"/>
        </w:trPr>
        <w:tc>
          <w:tcPr>
            <w:tcW w:w="4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Peter J. Arduini</w:t>
            </w:r>
          </w:p>
        </w:tc>
      </w:tr>
      <w:tr>
        <w:trPr>
          <w:trHeight w:val="270"/>
        </w:trPr>
        <w:tc>
          <w:tcPr>
            <w:tcW w:w="4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594"/>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July 28, 2016</w:t>
            </w:r>
          </w:p>
        </w:tc>
        <w:tc>
          <w:tcPr>
            <w:tcW w:w="258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Glenn G. Coleman</w:t>
            </w:r>
          </w:p>
        </w:tc>
      </w:tr>
      <w:tr>
        <w:trPr>
          <w:trHeight w:val="27"/>
        </w:trPr>
        <w:tc>
          <w:tcPr>
            <w:tcW w:w="480" w:type="dxa"/>
            <w:vAlign w:val="bottom"/>
          </w:tcPr>
          <w:p>
            <w:pPr>
              <w:spacing w:after="0"/>
              <w:rPr>
                <w:sz w:val="2"/>
                <w:szCs w:val="2"/>
                <w:color w:val="auto"/>
              </w:rPr>
            </w:pPr>
          </w:p>
        </w:tc>
        <w:tc>
          <w:tcPr>
            <w:tcW w:w="3080" w:type="dxa"/>
            <w:vAlign w:val="bottom"/>
          </w:tcPr>
          <w:p>
            <w:pPr>
              <w:spacing w:after="0"/>
              <w:rPr>
                <w:sz w:val="2"/>
                <w:szCs w:val="2"/>
                <w:color w:val="auto"/>
              </w:rPr>
            </w:pPr>
          </w:p>
        </w:tc>
        <w:tc>
          <w:tcPr>
            <w:tcW w:w="258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Glenn G. Coleman</w:t>
            </w:r>
          </w:p>
        </w:tc>
      </w:tr>
      <w:tr>
        <w:trPr>
          <w:trHeight w:val="270"/>
        </w:trPr>
        <w:tc>
          <w:tcPr>
            <w:tcW w:w="480" w:type="dxa"/>
            <w:vAlign w:val="bottom"/>
          </w:tcPr>
          <w:p>
            <w:pPr>
              <w:spacing w:after="0"/>
              <w:rPr>
                <w:sz w:val="23"/>
                <w:szCs w:val="23"/>
                <w:color w:val="auto"/>
              </w:rPr>
            </w:pPr>
          </w:p>
        </w:tc>
        <w:tc>
          <w:tcPr>
            <w:tcW w:w="3080" w:type="dxa"/>
            <w:vAlign w:val="bottom"/>
          </w:tcPr>
          <w:p>
            <w:pPr>
              <w:spacing w:after="0"/>
              <w:rPr>
                <w:sz w:val="23"/>
                <w:szCs w:val="23"/>
                <w:color w:val="auto"/>
              </w:rPr>
            </w:pPr>
          </w:p>
        </w:tc>
        <w:tc>
          <w:tcPr>
            <w:tcW w:w="258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Vice President and Chief Financial Officer</w:t>
            </w:r>
          </w:p>
        </w:tc>
      </w:tr>
      <w:tr>
        <w:trPr>
          <w:trHeight w:val="702"/>
        </w:trPr>
        <w:tc>
          <w:tcPr>
            <w:tcW w:w="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5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39</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4"/>
          </w:tcPr>
          <w:p>
            <w:pPr>
              <w:spacing w:after="0"/>
              <w:rPr>
                <w:rFonts w:ascii="Times New Roman" w:cs="Times New Roman" w:eastAsia="Times New Roman" w:hAnsi="Times New Roman"/>
                <w:sz w:val="18"/>
                <w:szCs w:val="18"/>
                <w:color w:val="0000EE"/>
              </w:rPr>
            </w:pPr>
            <w:hyperlink w:anchor="page2">
              <w:r>
                <w:rPr>
                  <w:rFonts w:ascii="Times New Roman" w:cs="Times New Roman" w:eastAsia="Times New Roman" w:hAnsi="Times New Roman"/>
                  <w:sz w:val="18"/>
                  <w:szCs w:val="18"/>
                  <w:color w:val="0000EE"/>
                </w:rPr>
                <w:t>Table of Contents</w:t>
              </w:r>
            </w:hyperlink>
          </w:p>
        </w:tc>
        <w:tc>
          <w:tcPr>
            <w:tcW w:w="7540" w:type="dxa"/>
            <w:vAlign w:val="bottom"/>
          </w:tcPr>
          <w:p>
            <w:pPr>
              <w:spacing w:after="0"/>
              <w:rPr>
                <w:sz w:val="17"/>
                <w:szCs w:val="17"/>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439"/>
        </w:trPr>
        <w:tc>
          <w:tcPr>
            <w:tcW w:w="14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7540" w:type="dxa"/>
            <w:vAlign w:val="bottom"/>
          </w:tcPr>
          <w:p>
            <w:pPr>
              <w:spacing w:after="0"/>
              <w:rPr>
                <w:sz w:val="24"/>
                <w:szCs w:val="24"/>
                <w:color w:val="auto"/>
              </w:rPr>
            </w:pPr>
          </w:p>
        </w:tc>
      </w:tr>
      <w:tr>
        <w:trPr>
          <w:trHeight w:val="574"/>
        </w:trPr>
        <w:tc>
          <w:tcPr>
            <w:tcW w:w="6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Exhibits</w:t>
            </w:r>
          </w:p>
        </w:tc>
        <w:tc>
          <w:tcPr>
            <w:tcW w:w="1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561"/>
        </w:trPr>
        <w:tc>
          <w:tcPr>
            <w:tcW w:w="66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Section 302 of the Sarbanes-Oxley Act of 2002</w:t>
            </w:r>
          </w:p>
        </w:tc>
      </w:tr>
      <w:tr>
        <w:trPr>
          <w:trHeight w:val="540"/>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302 of the Sarbanes-Oxley Act of 2002</w:t>
            </w:r>
          </w:p>
        </w:tc>
      </w:tr>
      <w:tr>
        <w:trPr>
          <w:trHeight w:val="540"/>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99"/>
              </w:rPr>
              <w:t>Certification of Principal Executive Officer Pursuant to Section 906 of the Sarbanes-Oxley Act of 2002</w:t>
            </w:r>
          </w:p>
        </w:tc>
      </w:tr>
      <w:tr>
        <w:trPr>
          <w:trHeight w:val="540"/>
        </w:trPr>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Section 906 of the Sarbanes-Oxley Act of 2002</w:t>
            </w:r>
          </w:p>
        </w:tc>
      </w:tr>
      <w:tr>
        <w:trPr>
          <w:trHeight w:val="540"/>
        </w:trPr>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*†101.INS</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540"/>
        </w:trPr>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*†101.SCH</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40"/>
        </w:trPr>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*†101.CAL</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40"/>
        </w:trPr>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*†101.DEF</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Definition Linkbase Document</w:t>
            </w:r>
          </w:p>
        </w:tc>
      </w:tr>
      <w:tr>
        <w:trPr>
          <w:trHeight w:val="540"/>
        </w:trPr>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*†101.LAB</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Labels Linkbase Document</w:t>
            </w:r>
          </w:p>
        </w:tc>
      </w:tr>
      <w:tr>
        <w:trPr>
          <w:trHeight w:val="540"/>
        </w:trPr>
        <w:tc>
          <w:tcPr>
            <w:tcW w:w="14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*†101.PRE</w:t>
            </w:r>
          </w:p>
        </w:tc>
        <w:tc>
          <w:tcPr>
            <w:tcW w:w="7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387" w:lineRule="exact"/>
        <w:rPr>
          <w:sz w:val="20"/>
          <w:szCs w:val="20"/>
          <w:color w:val="auto"/>
        </w:rPr>
      </w:pPr>
    </w:p>
    <w:p>
      <w:pPr>
        <w:ind w:left="720" w:hanging="685"/>
        <w:spacing w:after="0"/>
        <w:tabs>
          <w:tab w:leader="none" w:pos="7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rFonts w:ascii="Times New Roman" w:cs="Times New Roman" w:eastAsia="Times New Roman" w:hAnsi="Times New Roman"/>
          <w:sz w:val="18"/>
          <w:szCs w:val="18"/>
          <w:color w:val="auto"/>
        </w:rPr>
      </w:pPr>
    </w:p>
    <w:p>
      <w:pPr>
        <w:ind w:left="500" w:hanging="492"/>
        <w:spacing w:after="0" w:line="258" w:lineRule="auto"/>
        <w:tabs>
          <w:tab w:leader="none" w:pos="1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information of Integra LifeSciences Holdings Corporation Quarterly Report on Form 10-Q for the quarter ended June 30, 2016 filed on July 28, 2016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08" w:right="2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ind w:left="920"/>
        <w:spacing w:after="0"/>
        <w:tabs>
          <w:tab w:leader="none" w:pos="6240" w:val="left"/>
        </w:tabs>
        <w:rPr>
          <w:sz w:val="20"/>
          <w:szCs w:val="20"/>
          <w:color w:val="auto"/>
        </w:rPr>
      </w:pPr>
      <w:r>
        <w:rPr>
          <w:rFonts w:ascii="Times New Roman" w:cs="Times New Roman" w:eastAsia="Times New Roman" w:hAnsi="Times New Roman"/>
          <w:sz w:val="18"/>
          <w:szCs w:val="18"/>
          <w:color w:val="auto"/>
        </w:rPr>
        <w:t>Date: July 28, 2016</w:t>
      </w:r>
      <w:r>
        <w:rPr>
          <w:sz w:val="20"/>
          <w:szCs w:val="20"/>
          <w:color w:val="auto"/>
        </w:rPr>
        <w:tab/>
      </w:r>
      <w:r>
        <w:rPr>
          <w:rFonts w:ascii="Times New Roman" w:cs="Times New Roman" w:eastAsia="Times New Roman" w:hAnsi="Times New Roman"/>
          <w:sz w:val="18"/>
          <w:szCs w:val="18"/>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34290</wp:posOffset>
            </wp:positionV>
            <wp:extent cx="29756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Peter J. Arduini</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420"/>
          </w:cols>
          <w:pgMar w:left="240" w:top="117" w:right="2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302 of 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Integra LifeSciences Holdings Corporation;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8"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ind w:left="540"/>
        <w:spacing w:after="0"/>
        <w:tabs>
          <w:tab w:leader="none" w:pos="1360" w:val="left"/>
          <w:tab w:leader="none" w:pos="6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28, 2016</w:t>
      </w:r>
      <w:r>
        <w:rPr>
          <w:sz w:val="20"/>
          <w:szCs w:val="20"/>
          <w:color w:val="auto"/>
        </w:rPr>
        <w:tab/>
      </w:r>
      <w:r>
        <w:rPr>
          <w:rFonts w:ascii="Times New Roman" w:cs="Times New Roman" w:eastAsia="Times New Roman" w:hAnsi="Times New Roman"/>
          <w:sz w:val="18"/>
          <w:szCs w:val="18"/>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34290</wp:posOffset>
            </wp:positionV>
            <wp:extent cx="29673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Glenn G. Coleman</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Corporate Vice President and Chief Financial Officer</w:t>
      </w:r>
    </w:p>
    <w:p>
      <w:pPr>
        <w:sectPr>
          <w:pgSz w:w="11900" w:h="16838" w:orient="portrait"/>
          <w:cols w:equalWidth="0" w:num="1">
            <w:col w:w="11420"/>
          </w:cols>
          <w:pgMar w:left="240" w:top="117" w:right="2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Peter J. Arduini, President and Chief Executive Officer of Integra LifeSciences Holdings Corporation (the “Company”), hereby certify that, to my knowledge:</w:t>
      </w:r>
    </w:p>
    <w:p>
      <w:pPr>
        <w:spacing w:after="0" w:line="54" w:lineRule="exact"/>
        <w:rPr>
          <w:sz w:val="20"/>
          <w:szCs w:val="20"/>
          <w:color w:val="auto"/>
        </w:rPr>
      </w:pPr>
    </w:p>
    <w:p>
      <w:pPr>
        <w:ind w:left="66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2016 (the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620"/>
        <w:spacing w:after="0"/>
        <w:tabs>
          <w:tab w:leader="none" w:pos="1240" w:val="left"/>
          <w:tab w:leader="none" w:pos="6140" w:val="left"/>
        </w:tabs>
        <w:rPr>
          <w:sz w:val="20"/>
          <w:szCs w:val="20"/>
          <w:color w:val="auto"/>
        </w:rPr>
      </w:pPr>
      <w:r>
        <w:rPr>
          <w:rFonts w:ascii="Times New Roman" w:cs="Times New Roman" w:eastAsia="Times New Roman" w:hAnsi="Times New Roman"/>
          <w:sz w:val="18"/>
          <w:szCs w:val="18"/>
          <w:color w:val="auto"/>
        </w:rPr>
        <w:t>Date:</w:t>
        <w:tab/>
        <w:t>July 28, 2016</w:t>
      </w:r>
      <w:r>
        <w:rPr>
          <w:sz w:val="20"/>
          <w:szCs w:val="20"/>
          <w:color w:val="auto"/>
        </w:rPr>
        <w:tab/>
      </w:r>
      <w:r>
        <w:rPr>
          <w:rFonts w:ascii="Times New Roman" w:cs="Times New Roman" w:eastAsia="Times New Roman" w:hAnsi="Times New Roman"/>
          <w:sz w:val="17"/>
          <w:szCs w:val="17"/>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34290</wp:posOffset>
            </wp:positionV>
            <wp:extent cx="298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Peter J. Arduini</w:t>
      </w:r>
    </w:p>
    <w:p>
      <w:pPr>
        <w:spacing w:after="0" w:line="6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ectPr>
          <w:pgSz w:w="11900" w:h="16838" w:orient="portrait"/>
          <w:cols w:equalWidth="0" w:num="1">
            <w:col w:w="11420"/>
          </w:cols>
          <w:pgMar w:left="240" w:top="117" w:right="2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15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 Glenn G. Coleman, Corporate Vice President and Chief Financial Officer of Integra LifeSciences Holdings Corporation (the “Company”), hereby certify that, to my knowledge:</w:t>
      </w:r>
    </w:p>
    <w:p>
      <w:pPr>
        <w:spacing w:after="0" w:line="54" w:lineRule="exact"/>
        <w:rPr>
          <w:sz w:val="20"/>
          <w:szCs w:val="20"/>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June 30, 2016 (the “Report”) fully complies with the requirement of Section 13(a) or Section 15(d), as applicable, of the Securities Exchange Act of 1934, as amended; and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0" w:lineRule="exact"/>
        <w:rPr>
          <w:sz w:val="20"/>
          <w:szCs w:val="20"/>
          <w:color w:val="auto"/>
        </w:rPr>
      </w:pPr>
    </w:p>
    <w:p>
      <w:pPr>
        <w:ind w:left="620"/>
        <w:spacing w:after="0"/>
        <w:tabs>
          <w:tab w:leader="none" w:pos="1320" w:val="left"/>
          <w:tab w:leader="none" w:pos="624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July 28, 2016</w:t>
      </w:r>
      <w:r>
        <w:rPr>
          <w:sz w:val="20"/>
          <w:szCs w:val="20"/>
          <w:color w:val="auto"/>
        </w:rPr>
        <w:tab/>
      </w:r>
      <w:r>
        <w:rPr>
          <w:rFonts w:ascii="Times New Roman" w:cs="Times New Roman" w:eastAsia="Times New Roman" w:hAnsi="Times New Roman"/>
          <w:sz w:val="18"/>
          <w:szCs w:val="18"/>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34290</wp:posOffset>
            </wp:positionV>
            <wp:extent cx="29241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color w:val="auto"/>
        </w:rPr>
        <w:t>Glenn G. Coleman</w:t>
      </w:r>
    </w:p>
    <w:p>
      <w:pPr>
        <w:spacing w:after="0" w:line="61" w:lineRule="exact"/>
        <w:rPr>
          <w:sz w:val="20"/>
          <w:szCs w:val="20"/>
          <w:color w:val="auto"/>
        </w:rPr>
      </w:pPr>
    </w:p>
    <w:p>
      <w:pPr>
        <w:ind w:left="6260"/>
        <w:spacing w:after="0"/>
        <w:rPr>
          <w:sz w:val="20"/>
          <w:szCs w:val="20"/>
          <w:color w:val="auto"/>
        </w:rPr>
      </w:pPr>
      <w:r>
        <w:rPr>
          <w:rFonts w:ascii="Times New Roman" w:cs="Times New Roman" w:eastAsia="Times New Roman" w:hAnsi="Times New Roman"/>
          <w:sz w:val="18"/>
          <w:szCs w:val="18"/>
          <w:i w:val="1"/>
          <w:iCs w:val="1"/>
          <w:color w:val="auto"/>
        </w:rPr>
        <w:t>Corporate Vice President and Chief Financial Officer</w:t>
      </w:r>
    </w:p>
    <w:sectPr>
      <w:pgSz w:w="11900" w:h="16838" w:orient="portrait"/>
      <w:cols w:equalWidth="0" w:num="1">
        <w:col w:w="11420"/>
      </w:cols>
      <w:pgMar w:left="240" w:top="1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3"/>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lowerRoman"/>
      <w:start w:val="1"/>
    </w:lvl>
  </w:abstractNum>
  <w:abstractNum w:abstractNumId="6">
    <w:nsid w:val="3352255A"/>
    <w:multiLevelType w:val="hybridMultilevel"/>
    <w:lvl w:ilvl="0">
      <w:lvlJc w:val="left"/>
      <w:lvlText w:val="%1."/>
      <w:numFmt w:val="lowerRoman"/>
      <w:start w:val="1"/>
    </w:lvl>
    <w:lvl w:ilvl="1">
      <w:lvlJc w:val="left"/>
      <w:lvlText w:val="%2."/>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2"/>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
      <w:numFmt w:val="bullet"/>
      <w:start w:val="1"/>
    </w:lvl>
    <w:lvl w:ilvl="1">
      <w:lvlJc w:val="left"/>
      <w:lvlText w:val="*"/>
      <w:numFmt w:val="bullet"/>
      <w:start w:val="1"/>
    </w:lvl>
  </w:abstractNum>
  <w:abstractNum w:abstractNumId="14">
    <w:nsid w:val="25E45D32"/>
    <w:multiLevelType w:val="hybridMultilevel"/>
    <w:lvl w:ilvl="0">
      <w:lvlJc w:val="left"/>
      <w:lvlText w:val="†"/>
      <w:numFmt w:val="bullet"/>
      <w:start w:val="1"/>
    </w:lvl>
    <w:lvl w:ilvl="1">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2019-12-29T11:39:02Z</dcterms:created>
  <dcterms:modified xsi:type="dcterms:W3CDTF">2019-12-29T11:39:02Z</dcterms:modified>
</cp:coreProperties>
</file>