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7"/>
          <w:szCs w:val="27"/>
          <w:b w:val="1"/>
          <w:bCs w:val="1"/>
          <w:color w:val="auto"/>
        </w:rPr>
        <w:t>UNITED STATES</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24" w:lineRule="exact"/>
        <w:rPr>
          <w:sz w:val="24"/>
          <w:szCs w:val="24"/>
          <w:color w:val="auto"/>
        </w:rPr>
      </w:pPr>
    </w:p>
    <w:p>
      <w:pPr>
        <w:ind w:left="680" w:hanging="438"/>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3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For the quarterly period ended September 30, 2022</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or</w:t>
      </w:r>
    </w:p>
    <w:p>
      <w:pPr>
        <w:spacing w:after="0" w:line="115" w:lineRule="exact"/>
        <w:rPr>
          <w:sz w:val="24"/>
          <w:szCs w:val="24"/>
          <w:color w:val="auto"/>
        </w:rPr>
      </w:pPr>
    </w:p>
    <w:p>
      <w:pPr>
        <w:ind w:left="680" w:hanging="438"/>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3" w:lineRule="exact"/>
        <w:rPr>
          <w:sz w:val="24"/>
          <w:szCs w:val="24"/>
          <w:color w:val="auto"/>
        </w:rPr>
      </w:pPr>
    </w:p>
    <w:p>
      <w:pPr>
        <w:ind w:left="4020"/>
        <w:spacing w:after="0"/>
        <w:tabs>
          <w:tab w:leader="none" w:pos="65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NO. 0-26224</w:t>
      </w: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INTEGRA LIFESCIENCES HOLDINGS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333" w:lineRule="exact"/>
        <w:rPr>
          <w:sz w:val="24"/>
          <w:szCs w:val="24"/>
          <w:color w:val="auto"/>
        </w:rPr>
      </w:pPr>
    </w:p>
    <w:tbl>
      <w:tblPr>
        <w:tblLayout w:type="fixed"/>
        <w:tblInd w:w="1100" w:type="dxa"/>
        <w:tblCellMar>
          <w:top w:w="0" w:type="dxa"/>
          <w:left w:w="0" w:type="dxa"/>
          <w:bottom w:w="0" w:type="dxa"/>
          <w:right w:w="0" w:type="dxa"/>
        </w:tblCellMar>
      </w:tblPr>
      <w:tr>
        <w:trPr>
          <w:trHeight w:val="215"/>
        </w:trPr>
        <w:tc>
          <w:tcPr>
            <w:tcW w:w="4880" w:type="dxa"/>
            <w:vAlign w:val="bottom"/>
          </w:tcPr>
          <w:p>
            <w:pPr>
              <w:jc w:val="center"/>
              <w:ind w:right="1563"/>
              <w:spacing w:after="0"/>
              <w:rPr>
                <w:sz w:val="20"/>
                <w:szCs w:val="20"/>
                <w:color w:val="auto"/>
              </w:rPr>
            </w:pPr>
            <w:r>
              <w:rPr>
                <w:rFonts w:ascii="Arial" w:cs="Arial" w:eastAsia="Arial" w:hAnsi="Arial"/>
                <w:sz w:val="17"/>
                <w:szCs w:val="17"/>
                <w:b w:val="1"/>
                <w:bCs w:val="1"/>
                <w:color w:val="auto"/>
                <w:w w:val="91"/>
              </w:rPr>
              <w:t>Delaware</w:t>
            </w:r>
          </w:p>
        </w:tc>
        <w:tc>
          <w:tcPr>
            <w:tcW w:w="3160" w:type="dxa"/>
            <w:vAlign w:val="bottom"/>
          </w:tcPr>
          <w:p>
            <w:pPr>
              <w:jc w:val="right"/>
              <w:ind w:right="264"/>
              <w:spacing w:after="0"/>
              <w:rPr>
                <w:sz w:val="20"/>
                <w:szCs w:val="20"/>
                <w:color w:val="auto"/>
              </w:rPr>
            </w:pPr>
            <w:r>
              <w:rPr>
                <w:rFonts w:ascii="Arial" w:cs="Arial" w:eastAsia="Arial" w:hAnsi="Arial"/>
                <w:sz w:val="17"/>
                <w:szCs w:val="17"/>
                <w:b w:val="1"/>
                <w:bCs w:val="1"/>
                <w:color w:val="auto"/>
              </w:rPr>
              <w:t>51-0317849</w:t>
            </w:r>
          </w:p>
        </w:tc>
        <w:tc>
          <w:tcPr>
            <w:tcW w:w="0" w:type="dxa"/>
            <w:vAlign w:val="bottom"/>
          </w:tcPr>
          <w:p>
            <w:pPr>
              <w:spacing w:after="0"/>
              <w:rPr>
                <w:sz w:val="1"/>
                <w:szCs w:val="1"/>
                <w:color w:val="auto"/>
              </w:rPr>
            </w:pPr>
          </w:p>
        </w:tc>
      </w:tr>
      <w:tr>
        <w:trPr>
          <w:trHeight w:val="142"/>
        </w:trPr>
        <w:tc>
          <w:tcPr>
            <w:tcW w:w="4880" w:type="dxa"/>
            <w:vAlign w:val="bottom"/>
          </w:tcPr>
          <w:p>
            <w:pPr>
              <w:jc w:val="center"/>
              <w:ind w:right="1563"/>
              <w:spacing w:after="0" w:line="142" w:lineRule="exact"/>
              <w:rPr>
                <w:sz w:val="20"/>
                <w:szCs w:val="20"/>
                <w:color w:val="auto"/>
              </w:rPr>
            </w:pPr>
            <w:r>
              <w:rPr>
                <w:rFonts w:ascii="Arial" w:cs="Arial" w:eastAsia="Arial" w:hAnsi="Arial"/>
                <w:sz w:val="14"/>
                <w:szCs w:val="14"/>
                <w:b w:val="1"/>
                <w:bCs w:val="1"/>
                <w:color w:val="auto"/>
                <w:w w:val="99"/>
              </w:rPr>
              <w:t>(STATE OR OTHER JURISDICTION OF</w:t>
            </w:r>
          </w:p>
        </w:tc>
        <w:tc>
          <w:tcPr>
            <w:tcW w:w="3160" w:type="dxa"/>
            <w:vAlign w:val="bottom"/>
          </w:tcPr>
          <w:p>
            <w:pPr>
              <w:jc w:val="center"/>
              <w:ind w:left="1584"/>
              <w:spacing w:after="0" w:line="142" w:lineRule="exact"/>
              <w:rPr>
                <w:sz w:val="20"/>
                <w:szCs w:val="20"/>
                <w:color w:val="auto"/>
              </w:rPr>
            </w:pPr>
            <w:r>
              <w:rPr>
                <w:rFonts w:ascii="Arial" w:cs="Arial" w:eastAsia="Arial" w:hAnsi="Arial"/>
                <w:sz w:val="14"/>
                <w:szCs w:val="14"/>
                <w:b w:val="1"/>
                <w:bCs w:val="1"/>
                <w:color w:val="auto"/>
                <w:w w:val="99"/>
              </w:rPr>
              <w:t>(I.R.S. EMPLOYER</w:t>
            </w:r>
          </w:p>
        </w:tc>
        <w:tc>
          <w:tcPr>
            <w:tcW w:w="0" w:type="dxa"/>
            <w:vAlign w:val="bottom"/>
          </w:tcPr>
          <w:p>
            <w:pPr>
              <w:spacing w:after="0"/>
              <w:rPr>
                <w:sz w:val="1"/>
                <w:szCs w:val="1"/>
                <w:color w:val="auto"/>
              </w:rPr>
            </w:pPr>
          </w:p>
        </w:tc>
      </w:tr>
      <w:tr>
        <w:trPr>
          <w:trHeight w:val="178"/>
        </w:trPr>
        <w:tc>
          <w:tcPr>
            <w:tcW w:w="4880" w:type="dxa"/>
            <w:vAlign w:val="bottom"/>
          </w:tcPr>
          <w:p>
            <w:pPr>
              <w:jc w:val="center"/>
              <w:ind w:right="1563"/>
              <w:spacing w:after="0"/>
              <w:rPr>
                <w:sz w:val="20"/>
                <w:szCs w:val="20"/>
                <w:color w:val="auto"/>
              </w:rPr>
            </w:pPr>
            <w:r>
              <w:rPr>
                <w:rFonts w:ascii="Arial" w:cs="Arial" w:eastAsia="Arial" w:hAnsi="Arial"/>
                <w:sz w:val="14"/>
                <w:szCs w:val="14"/>
                <w:b w:val="1"/>
                <w:bCs w:val="1"/>
                <w:color w:val="auto"/>
                <w:w w:val="99"/>
              </w:rPr>
              <w:t>INCORPORATION OR ORGANIZATION)</w:t>
            </w:r>
          </w:p>
        </w:tc>
        <w:tc>
          <w:tcPr>
            <w:tcW w:w="3160" w:type="dxa"/>
            <w:vAlign w:val="bottom"/>
          </w:tcPr>
          <w:p>
            <w:pPr>
              <w:jc w:val="center"/>
              <w:ind w:left="158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83"/>
        </w:trPr>
        <w:tc>
          <w:tcPr>
            <w:tcW w:w="4880" w:type="dxa"/>
            <w:vAlign w:val="bottom"/>
          </w:tcPr>
          <w:p>
            <w:pPr>
              <w:jc w:val="center"/>
              <w:ind w:right="1583"/>
              <w:spacing w:after="0"/>
              <w:rPr>
                <w:sz w:val="20"/>
                <w:szCs w:val="20"/>
                <w:color w:val="auto"/>
              </w:rPr>
            </w:pPr>
            <w:r>
              <w:rPr>
                <w:rFonts w:ascii="Arial" w:cs="Arial" w:eastAsia="Arial" w:hAnsi="Arial"/>
                <w:sz w:val="17"/>
                <w:szCs w:val="17"/>
                <w:b w:val="1"/>
                <w:bCs w:val="1"/>
                <w:color w:val="auto"/>
                <w:w w:val="90"/>
              </w:rPr>
              <w:t>1100 Campus Road</w:t>
            </w:r>
          </w:p>
        </w:tc>
        <w:tc>
          <w:tcPr>
            <w:tcW w:w="3160" w:type="dxa"/>
            <w:vAlign w:val="bottom"/>
          </w:tcPr>
          <w:p>
            <w:pPr>
              <w:jc w:val="right"/>
              <w:ind w:right="464"/>
              <w:spacing w:after="0"/>
              <w:rPr>
                <w:sz w:val="20"/>
                <w:szCs w:val="20"/>
                <w:color w:val="auto"/>
              </w:rPr>
            </w:pPr>
            <w:r>
              <w:rPr>
                <w:rFonts w:ascii="Arial" w:cs="Arial" w:eastAsia="Arial" w:hAnsi="Arial"/>
                <w:sz w:val="17"/>
                <w:szCs w:val="17"/>
                <w:b w:val="1"/>
                <w:bCs w:val="1"/>
                <w:color w:val="auto"/>
              </w:rPr>
              <w:t>08540</w:t>
            </w:r>
          </w:p>
        </w:tc>
        <w:tc>
          <w:tcPr>
            <w:tcW w:w="0" w:type="dxa"/>
            <w:vAlign w:val="bottom"/>
          </w:tcPr>
          <w:p>
            <w:pPr>
              <w:spacing w:after="0"/>
              <w:rPr>
                <w:sz w:val="1"/>
                <w:szCs w:val="1"/>
                <w:color w:val="auto"/>
              </w:rPr>
            </w:pPr>
          </w:p>
        </w:tc>
      </w:tr>
      <w:tr>
        <w:trPr>
          <w:trHeight w:val="215"/>
        </w:trPr>
        <w:tc>
          <w:tcPr>
            <w:tcW w:w="4880" w:type="dxa"/>
            <w:vAlign w:val="bottom"/>
          </w:tcPr>
          <w:p>
            <w:pPr>
              <w:jc w:val="center"/>
              <w:ind w:right="1583"/>
              <w:spacing w:after="0"/>
              <w:rPr>
                <w:sz w:val="20"/>
                <w:szCs w:val="20"/>
                <w:color w:val="auto"/>
              </w:rPr>
            </w:pPr>
            <w:r>
              <w:rPr>
                <w:rFonts w:ascii="Arial" w:cs="Arial" w:eastAsia="Arial" w:hAnsi="Arial"/>
                <w:sz w:val="17"/>
                <w:szCs w:val="17"/>
                <w:b w:val="1"/>
                <w:bCs w:val="1"/>
                <w:color w:val="auto"/>
                <w:w w:val="91"/>
              </w:rPr>
              <w:t>Princeton ,  New Jersey</w:t>
            </w:r>
          </w:p>
        </w:tc>
        <w:tc>
          <w:tcPr>
            <w:tcW w:w="3160" w:type="dxa"/>
            <w:vAlign w:val="bottom"/>
            <w:vMerge w:val="restart"/>
          </w:tcPr>
          <w:p>
            <w:pPr>
              <w:jc w:val="center"/>
              <w:ind w:left="1584"/>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75"/>
        </w:trPr>
        <w:tc>
          <w:tcPr>
            <w:tcW w:w="4880" w:type="dxa"/>
            <w:vAlign w:val="bottom"/>
            <w:vMerge w:val="restart"/>
          </w:tcPr>
          <w:p>
            <w:pPr>
              <w:jc w:val="center"/>
              <w:ind w:right="1563"/>
              <w:spacing w:after="0"/>
              <w:rPr>
                <w:sz w:val="20"/>
                <w:szCs w:val="20"/>
                <w:color w:val="auto"/>
              </w:rPr>
            </w:pPr>
            <w:r>
              <w:rPr>
                <w:rFonts w:ascii="Arial" w:cs="Arial" w:eastAsia="Arial" w:hAnsi="Arial"/>
                <w:sz w:val="14"/>
                <w:szCs w:val="14"/>
                <w:b w:val="1"/>
                <w:bCs w:val="1"/>
                <w:color w:val="auto"/>
                <w:w w:val="98"/>
              </w:rPr>
              <w:t>(ADDRESS OF PRINCIPAL EXECUTIVE OFFICES)</w:t>
            </w: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488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Registrant's Telephone Number, Including Area Code: (609) 275-0500</w:t>
      </w:r>
    </w:p>
    <w:p>
      <w:pPr>
        <w:spacing w:after="0" w:line="111"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Former Name, Former Address and Former Fiscal Year, if Changed Since Last Report:</w:t>
      </w:r>
    </w:p>
    <w:p>
      <w:pPr>
        <w:spacing w:after="0" w:line="111"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180"/>
          </w:cols>
          <w:pgMar w:left="320" w:top="997" w:right="399" w:bottom="1440" w:gutter="0" w:footer="0" w:header="0"/>
        </w:sectPr>
      </w:pPr>
    </w:p>
    <w:p>
      <w:pPr>
        <w:spacing w:after="0" w:line="163" w:lineRule="exact"/>
        <w:rPr>
          <w:sz w:val="24"/>
          <w:szCs w:val="24"/>
          <w:color w:val="auto"/>
        </w:rPr>
      </w:pPr>
    </w:p>
    <w:p>
      <w:pPr>
        <w:ind w:left="9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40" w:lineRule="exact"/>
        <w:rPr>
          <w:sz w:val="24"/>
          <w:szCs w:val="24"/>
          <w:color w:val="auto"/>
        </w:rPr>
      </w:pPr>
    </w:p>
    <w:p>
      <w:pPr>
        <w:sectPr>
          <w:pgSz w:w="11900" w:h="16838" w:orient="portrait"/>
          <w:cols w:equalWidth="0" w:num="3">
            <w:col w:w="3260" w:space="720"/>
            <w:col w:w="1780" w:space="720"/>
            <w:col w:w="4700"/>
          </w:cols>
          <w:pgMar w:left="320" w:top="997" w:right="399" w:bottom="1440" w:gutter="0" w:footer="0" w:header="0"/>
          <w:type w:val="continuous"/>
        </w:sectPr>
      </w:pPr>
    </w:p>
    <w:p>
      <w:pPr>
        <w:ind w:left="500"/>
        <w:spacing w:after="0"/>
        <w:rPr>
          <w:sz w:val="20"/>
          <w:szCs w:val="20"/>
          <w:color w:val="auto"/>
        </w:rPr>
      </w:pPr>
      <w:r>
        <w:rPr>
          <w:rFonts w:ascii="Arial" w:cs="Arial" w:eastAsia="Arial" w:hAnsi="Arial"/>
          <w:sz w:val="13"/>
          <w:szCs w:val="13"/>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11" w:lineRule="exact"/>
        <w:rPr>
          <w:sz w:val="24"/>
          <w:szCs w:val="24"/>
          <w:color w:val="auto"/>
        </w:rPr>
      </w:pPr>
    </w:p>
    <w:p>
      <w:pPr>
        <w:sectPr>
          <w:pgSz w:w="11900" w:h="16838" w:orient="portrait"/>
          <w:cols w:equalWidth="0" w:num="3">
            <w:col w:w="3800" w:space="720"/>
            <w:col w:w="2360" w:space="720"/>
            <w:col w:w="3580"/>
          </w:cols>
          <w:pgMar w:left="320" w:top="997" w:right="399" w:bottom="1440" w:gutter="0" w:footer="0" w:header="0"/>
          <w:type w:val="continuous"/>
        </w:sectPr>
      </w:pPr>
    </w:p>
    <w:p>
      <w:pPr>
        <w:spacing w:after="0" w:line="105" w:lineRule="exact"/>
        <w:rPr>
          <w:sz w:val="24"/>
          <w:szCs w:val="24"/>
          <w:color w:val="auto"/>
        </w:rPr>
      </w:pPr>
    </w:p>
    <w:p>
      <w:pPr>
        <w:ind w:right="14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9" w:lineRule="exact"/>
        <w:rPr>
          <w:sz w:val="24"/>
          <w:szCs w:val="24"/>
          <w:color w:val="auto"/>
        </w:rPr>
      </w:pPr>
    </w:p>
    <w:p>
      <w:pPr>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923290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97" w:right="39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44"/>
        </w:trPr>
        <w:tc>
          <w:tcPr>
            <w:tcW w:w="22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8"/>
        </w:trPr>
        <w:tc>
          <w:tcPr>
            <w:tcW w:w="226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8"/>
        </w:trPr>
        <w:tc>
          <w:tcPr>
            <w:tcW w:w="22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89" w:lineRule="exact"/>
        <w:rPr>
          <w:sz w:val="20"/>
          <w:szCs w:val="20"/>
          <w:color w:val="auto"/>
        </w:rPr>
      </w:pPr>
    </w:p>
    <w:p>
      <w:pPr>
        <w:ind w:right="80"/>
        <w:spacing w:after="0" w:line="20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1" w:lineRule="exact"/>
        <w:rPr>
          <w:sz w:val="20"/>
          <w:szCs w:val="20"/>
          <w:color w:val="auto"/>
        </w:rPr>
      </w:pPr>
    </w:p>
    <w:p>
      <w:pPr>
        <w:ind w:right="3020"/>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$0.01 par value, outstanding as of October 24, 2022 was 83,518,163.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735965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966" w:right="7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80" w:type="dxa"/>
            <w:vAlign w:val="bottom"/>
            <w:gridSpan w:val="8"/>
          </w:tcPr>
          <w:p>
            <w:pPr>
              <w:jc w:val="center"/>
              <w:ind w:right="1180"/>
              <w:spacing w:after="0"/>
              <w:rPr>
                <w:sz w:val="20"/>
                <w:szCs w:val="20"/>
                <w:color w:val="auto"/>
              </w:rPr>
            </w:pPr>
            <w:r>
              <w:rPr>
                <w:rFonts w:ascii="Arial" w:cs="Arial" w:eastAsia="Arial" w:hAnsi="Arial"/>
                <w:sz w:val="17"/>
                <w:szCs w:val="17"/>
                <w:b w:val="1"/>
                <w:bCs w:val="1"/>
                <w:color w:val="auto"/>
              </w:rPr>
              <w:t>INTEGRA LIFESCIENCES HOLDINGS CORPORATION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gridSpan w:val="6"/>
          </w:tcPr>
          <w:p>
            <w:pPr>
              <w:jc w:val="center"/>
              <w:ind w:right="2960"/>
              <w:spacing w:after="0"/>
              <w:rPr>
                <w:sz w:val="20"/>
                <w:szCs w:val="20"/>
                <w:color w:val="auto"/>
              </w:rPr>
            </w:pPr>
            <w:r>
              <w:rPr>
                <w:rFonts w:ascii="Arial" w:cs="Arial" w:eastAsia="Arial" w:hAnsi="Arial"/>
                <w:sz w:val="17"/>
                <w:szCs w:val="17"/>
                <w:b w:val="1"/>
                <w:bCs w:val="1"/>
                <w:color w:val="auto"/>
              </w:rPr>
              <w:t>INDEX</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5"/>
                <w:szCs w:val="15"/>
                <w:b w:val="1"/>
                <w:bCs w:val="1"/>
                <w:color w:val="auto"/>
              </w:rPr>
              <w:t>Number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940" w:type="dxa"/>
            <w:vAlign w:val="bottom"/>
            <w:gridSpan w:val="17"/>
          </w:tcPr>
          <w:p>
            <w:pPr>
              <w:spacing w:after="0" w:line="152" w:lineRule="exact"/>
              <w:rPr>
                <w:sz w:val="20"/>
                <w:szCs w:val="20"/>
                <w:color w:val="auto"/>
              </w:rPr>
            </w:pPr>
            <w:r>
              <w:rPr>
                <w:rFonts w:ascii="Arial" w:cs="Arial" w:eastAsia="Arial" w:hAnsi="Arial"/>
                <w:sz w:val="15"/>
                <w:szCs w:val="15"/>
                <w:color w:val="0000FF"/>
              </w:rPr>
              <w:t>PART I. FINANCIAL INFORMATION</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w w:val="92"/>
              </w:rPr>
              <w:t>Item 1. Financial Statements</w:t>
            </w:r>
          </w:p>
        </w:tc>
        <w:tc>
          <w:tcPr>
            <w:tcW w:w="680" w:type="dxa"/>
            <w:vAlign w:val="bottom"/>
            <w:tcBorders>
              <w:top w:val="single" w:sz="8" w:color="0000FF"/>
            </w:tcBorders>
            <w:gridSpan w:val="3"/>
          </w:tcPr>
          <w:p>
            <w:pPr>
              <w:spacing w:after="0"/>
              <w:rPr>
                <w:sz w:val="20"/>
                <w:szCs w:val="20"/>
                <w:color w:val="auto"/>
              </w:rPr>
            </w:pPr>
          </w:p>
        </w:tc>
        <w:tc>
          <w:tcPr>
            <w:tcW w:w="7480" w:type="dxa"/>
            <w:vAlign w:val="bottom"/>
            <w:gridSpan w:val="8"/>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gridSpan w:val="17"/>
          </w:tcPr>
          <w:p>
            <w:pPr>
              <w:spacing w:after="0"/>
              <w:rPr>
                <w:sz w:val="20"/>
                <w:szCs w:val="20"/>
                <w:color w:val="auto"/>
              </w:rPr>
            </w:pPr>
            <w:r>
              <w:rPr>
                <w:rFonts w:ascii="Arial" w:cs="Arial" w:eastAsia="Arial" w:hAnsi="Arial"/>
                <w:sz w:val="15"/>
                <w:szCs w:val="15"/>
                <w:color w:val="0000FF"/>
                <w:w w:val="99"/>
              </w:rPr>
              <w:t>Condensed Consolidated Statements of Operations and Comprehensive Income for the Three and Nine Months Ended September 30, 2022 and 2021</w:t>
            </w:r>
          </w:p>
        </w:tc>
        <w:tc>
          <w:tcPr>
            <w:tcW w:w="1280" w:type="dxa"/>
            <w:vAlign w:val="bottom"/>
            <w:gridSpan w:val="3"/>
            <w:vMerge w:val="restart"/>
          </w:tcPr>
          <w:p>
            <w:pPr>
              <w:jc w:val="right"/>
              <w:ind w:right="20"/>
              <w:spacing w:after="0"/>
              <w:rPr>
                <w:sz w:val="20"/>
                <w:szCs w:val="20"/>
                <w:color w:val="auto"/>
              </w:rPr>
            </w:pPr>
            <w:r>
              <w:rPr>
                <w:rFonts w:ascii="Arial" w:cs="Arial" w:eastAsia="Arial" w:hAnsi="Arial"/>
                <w:sz w:val="15"/>
                <w:szCs w:val="15"/>
                <w:color w:val="0000FF"/>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0" w:type="dxa"/>
            <w:vAlign w:val="bottom"/>
            <w:tcBorders>
              <w:top w:val="single" w:sz="8" w:color="0000FF"/>
            </w:tcBorders>
            <w:gridSpan w:val="16"/>
          </w:tcPr>
          <w:p>
            <w:pPr>
              <w:spacing w:after="0" w:line="135" w:lineRule="exact"/>
              <w:rPr>
                <w:sz w:val="20"/>
                <w:szCs w:val="20"/>
                <w:color w:val="auto"/>
              </w:rPr>
            </w:pPr>
            <w:r>
              <w:rPr>
                <w:rFonts w:ascii="Arial" w:cs="Arial" w:eastAsia="Arial" w:hAnsi="Arial"/>
                <w:sz w:val="15"/>
                <w:szCs w:val="15"/>
                <w:color w:val="0000FF"/>
              </w:rPr>
              <w:t>(Unaudited)</w:t>
            </w:r>
          </w:p>
        </w:tc>
        <w:tc>
          <w:tcPr>
            <w:tcW w:w="7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600" w:type="dxa"/>
            <w:vAlign w:val="bottom"/>
            <w:gridSpan w:val="14"/>
          </w:tcPr>
          <w:p>
            <w:pPr>
              <w:spacing w:after="0"/>
              <w:rPr>
                <w:sz w:val="20"/>
                <w:szCs w:val="20"/>
                <w:color w:val="auto"/>
              </w:rPr>
            </w:pPr>
            <w:r>
              <w:rPr>
                <w:rFonts w:ascii="Arial" w:cs="Arial" w:eastAsia="Arial" w:hAnsi="Arial"/>
                <w:sz w:val="15"/>
                <w:szCs w:val="15"/>
                <w:color w:val="0000FF"/>
              </w:rPr>
              <w:t>Condensed Consolidated Balance Sheets as of September 30, 2022 and December 31, 2021 (Unaudited)</w:t>
            </w:r>
          </w:p>
        </w:tc>
        <w:tc>
          <w:tcPr>
            <w:tcW w:w="2340" w:type="dxa"/>
            <w:vAlign w:val="bottom"/>
            <w:gridSpan w:val="3"/>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gridSpan w:val="17"/>
          </w:tcPr>
          <w:p>
            <w:pPr>
              <w:spacing w:after="0"/>
              <w:rPr>
                <w:sz w:val="20"/>
                <w:szCs w:val="20"/>
                <w:color w:val="auto"/>
              </w:rPr>
            </w:pPr>
            <w:r>
              <w:rPr>
                <w:rFonts w:ascii="Arial" w:cs="Arial" w:eastAsia="Arial" w:hAnsi="Arial"/>
                <w:sz w:val="15"/>
                <w:szCs w:val="15"/>
                <w:color w:val="0000FF"/>
              </w:rPr>
              <w:t>Condensed Consolidated Statements of Cash Flows for the Nine Months Ended September 30, 2022 and 2021 (Unaudited)</w:t>
            </w: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900" w:type="dxa"/>
            <w:vAlign w:val="bottom"/>
            <w:gridSpan w:val="15"/>
          </w:tcPr>
          <w:p>
            <w:pPr>
              <w:spacing w:after="0"/>
              <w:rPr>
                <w:sz w:val="20"/>
                <w:szCs w:val="20"/>
                <w:color w:val="auto"/>
              </w:rPr>
            </w:pPr>
            <w:r>
              <w:rPr>
                <w:rFonts w:ascii="Arial" w:cs="Arial" w:eastAsia="Arial" w:hAnsi="Arial"/>
                <w:sz w:val="15"/>
                <w:szCs w:val="15"/>
                <w:color w:val="0000FF"/>
                <w:w w:val="92"/>
              </w:rPr>
              <w:t>Condensed Consolidated Statements of Changes in Shareholders' Equity for the Nine Months Ended September 30, 2022 and 2021 (Unaudited)</w:t>
            </w:r>
          </w:p>
        </w:tc>
        <w:tc>
          <w:tcPr>
            <w:tcW w:w="1040" w:type="dxa"/>
            <w:vAlign w:val="bottom"/>
            <w:gridSpan w:val="2"/>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gridSpan w:val="10"/>
          </w:tcPr>
          <w:p>
            <w:pPr>
              <w:spacing w:after="0"/>
              <w:rPr>
                <w:sz w:val="20"/>
                <w:szCs w:val="20"/>
                <w:color w:val="auto"/>
              </w:rPr>
            </w:pPr>
            <w:r>
              <w:rPr>
                <w:rFonts w:ascii="Arial" w:cs="Arial" w:eastAsia="Arial" w:hAnsi="Arial"/>
                <w:sz w:val="15"/>
                <w:szCs w:val="15"/>
                <w:color w:val="0000FF"/>
                <w:w w:val="92"/>
              </w:rPr>
              <w:t>Notes to Unaudited Condensed Consolidated Financial Statements</w:t>
            </w:r>
          </w:p>
        </w:tc>
        <w:tc>
          <w:tcPr>
            <w:tcW w:w="4780" w:type="dxa"/>
            <w:vAlign w:val="bottom"/>
            <w:gridSpan w:val="5"/>
          </w:tcPr>
          <w:p>
            <w:pPr>
              <w:spacing w:after="0"/>
              <w:rPr>
                <w:sz w:val="20"/>
                <w:szCs w:val="20"/>
                <w:color w:val="auto"/>
              </w:rPr>
            </w:pPr>
          </w:p>
        </w:tc>
        <w:tc>
          <w:tcPr>
            <w:tcW w:w="1040" w:type="dxa"/>
            <w:vAlign w:val="bottom"/>
            <w:gridSpan w:val="2"/>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gridSpan w:val="17"/>
          </w:tcPr>
          <w:p>
            <w:pPr>
              <w:spacing w:after="0"/>
              <w:rPr>
                <w:sz w:val="20"/>
                <w:szCs w:val="20"/>
                <w:color w:val="auto"/>
              </w:rPr>
            </w:pPr>
            <w:r>
              <w:rPr>
                <w:rFonts w:ascii="Arial" w:cs="Arial" w:eastAsia="Arial" w:hAnsi="Arial"/>
                <w:sz w:val="15"/>
                <w:szCs w:val="15"/>
                <w:color w:val="0000FF"/>
              </w:rPr>
              <w:t>Item 2. Management’s Discussion and Analysis of Financial Condition and Results of Operations</w:t>
            </w: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20" w:type="dxa"/>
            <w:vAlign w:val="bottom"/>
            <w:gridSpan w:val="12"/>
          </w:tcPr>
          <w:p>
            <w:pPr>
              <w:spacing w:after="0"/>
              <w:rPr>
                <w:sz w:val="20"/>
                <w:szCs w:val="20"/>
                <w:color w:val="auto"/>
              </w:rPr>
            </w:pPr>
            <w:r>
              <w:rPr>
                <w:rFonts w:ascii="Arial" w:cs="Arial" w:eastAsia="Arial" w:hAnsi="Arial"/>
                <w:sz w:val="15"/>
                <w:szCs w:val="15"/>
                <w:color w:val="0000FF"/>
              </w:rPr>
              <w:t>Item 3. Quantitative and Qualitative Disclosures About Market Risk</w:t>
            </w:r>
          </w:p>
        </w:tc>
        <w:tc>
          <w:tcPr>
            <w:tcW w:w="3920" w:type="dxa"/>
            <w:vAlign w:val="bottom"/>
            <w:gridSpan w:val="5"/>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5"/>
                <w:szCs w:val="15"/>
                <w:color w:val="0000FF"/>
                <w:w w:val="90"/>
              </w:rPr>
              <w:t>Item 4. Controls and Procedures</w:t>
            </w:r>
          </w:p>
        </w:tc>
        <w:tc>
          <w:tcPr>
            <w:tcW w:w="2220" w:type="dxa"/>
            <w:vAlign w:val="bottom"/>
            <w:gridSpan w:val="4"/>
          </w:tcPr>
          <w:p>
            <w:pPr>
              <w:spacing w:after="0"/>
              <w:rPr>
                <w:sz w:val="20"/>
                <w:szCs w:val="20"/>
                <w:color w:val="auto"/>
              </w:rPr>
            </w:pPr>
          </w:p>
        </w:tc>
        <w:tc>
          <w:tcPr>
            <w:tcW w:w="5720" w:type="dxa"/>
            <w:vAlign w:val="bottom"/>
            <w:gridSpan w:val="6"/>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Borders>
              <w:bottom w:val="single" w:sz="8" w:color="0000FF"/>
            </w:tcBorders>
            <w:gridSpan w:val="8"/>
          </w:tcPr>
          <w:p>
            <w:pPr>
              <w:spacing w:after="0"/>
              <w:rPr>
                <w:sz w:val="20"/>
                <w:szCs w:val="20"/>
                <w:color w:val="auto"/>
              </w:rPr>
            </w:pPr>
            <w:r>
              <w:rPr>
                <w:rFonts w:ascii="Arial" w:cs="Arial" w:eastAsia="Arial" w:hAnsi="Arial"/>
                <w:sz w:val="15"/>
                <w:szCs w:val="15"/>
                <w:color w:val="0000FF"/>
                <w:w w:val="98"/>
              </w:rPr>
              <w:t>PART II. OTHER INFORMATION</w:t>
            </w:r>
          </w:p>
        </w:tc>
        <w:tc>
          <w:tcPr>
            <w:tcW w:w="7720" w:type="dxa"/>
            <w:vAlign w:val="bottom"/>
            <w:gridSpan w:val="9"/>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5"/>
                <w:szCs w:val="15"/>
                <w:color w:val="0000FF"/>
              </w:rPr>
              <w:t>Item 1. Legal Proceedings</w:t>
            </w:r>
          </w:p>
        </w:tc>
        <w:tc>
          <w:tcPr>
            <w:tcW w:w="7940" w:type="dxa"/>
            <w:vAlign w:val="bottom"/>
            <w:gridSpan w:val="10"/>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5"/>
                <w:szCs w:val="15"/>
                <w:color w:val="0000FF"/>
              </w:rPr>
              <w:t>Item 1A. Risk Factors</w:t>
            </w:r>
          </w:p>
        </w:tc>
        <w:tc>
          <w:tcPr>
            <w:tcW w:w="7940" w:type="dxa"/>
            <w:vAlign w:val="bottom"/>
            <w:gridSpan w:val="10"/>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gridSpan w:val="11"/>
          </w:tcPr>
          <w:p>
            <w:pPr>
              <w:spacing w:after="0"/>
              <w:rPr>
                <w:sz w:val="20"/>
                <w:szCs w:val="20"/>
                <w:color w:val="auto"/>
              </w:rPr>
            </w:pPr>
            <w:r>
              <w:rPr>
                <w:rFonts w:ascii="Arial" w:cs="Arial" w:eastAsia="Arial" w:hAnsi="Arial"/>
                <w:sz w:val="15"/>
                <w:szCs w:val="15"/>
                <w:color w:val="0000FF"/>
                <w:w w:val="92"/>
              </w:rPr>
              <w:t>Item 2. Unregistered Sales of Equity Securities and Use of Proceeds</w:t>
            </w:r>
          </w:p>
        </w:tc>
        <w:tc>
          <w:tcPr>
            <w:tcW w:w="5720" w:type="dxa"/>
            <w:vAlign w:val="bottom"/>
            <w:gridSpan w:val="6"/>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tcBorders>
            <w:gridSpan w:val="4"/>
            <w:shd w:val="clear" w:color="auto" w:fill="0000FF"/>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5"/>
                <w:szCs w:val="15"/>
                <w:color w:val="0000FF"/>
                <w:w w:val="92"/>
              </w:rPr>
              <w:t>Item 4. Mine Safety Disclosures</w:t>
            </w:r>
          </w:p>
        </w:tc>
        <w:tc>
          <w:tcPr>
            <w:tcW w:w="2220" w:type="dxa"/>
            <w:vAlign w:val="bottom"/>
            <w:gridSpan w:val="4"/>
          </w:tcPr>
          <w:p>
            <w:pPr>
              <w:spacing w:after="0"/>
              <w:rPr>
                <w:sz w:val="20"/>
                <w:szCs w:val="20"/>
                <w:color w:val="auto"/>
              </w:rPr>
            </w:pPr>
          </w:p>
        </w:tc>
        <w:tc>
          <w:tcPr>
            <w:tcW w:w="5720" w:type="dxa"/>
            <w:vAlign w:val="bottom"/>
            <w:gridSpan w:val="6"/>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94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5"/>
                <w:szCs w:val="15"/>
                <w:color w:val="0000FF"/>
              </w:rPr>
              <w:t>Item 5. Other Information</w:t>
            </w:r>
          </w:p>
        </w:tc>
        <w:tc>
          <w:tcPr>
            <w:tcW w:w="7940" w:type="dxa"/>
            <w:vAlign w:val="bottom"/>
            <w:gridSpan w:val="10"/>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5"/>
                <w:szCs w:val="15"/>
                <w:color w:val="0000FF"/>
                <w:w w:val="93"/>
              </w:rPr>
              <w:t>Item 6. Exhibits</w:t>
            </w:r>
          </w:p>
        </w:tc>
        <w:tc>
          <w:tcPr>
            <w:tcW w:w="600" w:type="dxa"/>
            <w:vAlign w:val="bottom"/>
            <w:gridSpan w:val="2"/>
          </w:tcPr>
          <w:p>
            <w:pPr>
              <w:spacing w:after="0"/>
              <w:rPr>
                <w:sz w:val="20"/>
                <w:szCs w:val="20"/>
                <w:color w:val="auto"/>
              </w:rPr>
            </w:pPr>
          </w:p>
        </w:tc>
        <w:tc>
          <w:tcPr>
            <w:tcW w:w="8340" w:type="dxa"/>
            <w:vAlign w:val="bottom"/>
            <w:gridSpan w:val="13"/>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940" w:type="dxa"/>
            <w:vAlign w:val="bottom"/>
            <w:gridSpan w:val="1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5"/>
                <w:szCs w:val="15"/>
                <w:color w:val="0000FF"/>
                <w:w w:val="98"/>
              </w:rPr>
              <w:t>SIGNATURES</w:t>
            </w:r>
          </w:p>
        </w:tc>
        <w:tc>
          <w:tcPr>
            <w:tcW w:w="8940" w:type="dxa"/>
            <w:vAlign w:val="bottom"/>
            <w:gridSpan w:val="15"/>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5"/>
                <w:szCs w:val="15"/>
                <w:color w:val="0000FF"/>
              </w:rPr>
              <w:t>51</w:t>
            </w:r>
          </w:p>
        </w:tc>
        <w:tc>
          <w:tcPr>
            <w:tcW w:w="0" w:type="dxa"/>
            <w:vAlign w:val="bottom"/>
          </w:tcPr>
          <w:p>
            <w:pPr>
              <w:spacing w:after="0"/>
              <w:rPr>
                <w:sz w:val="1"/>
                <w:szCs w:val="1"/>
                <w:color w:val="auto"/>
              </w:rPr>
            </w:pPr>
          </w:p>
        </w:tc>
      </w:tr>
      <w:tr>
        <w:trPr>
          <w:trHeight w:val="1185"/>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30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8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5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revenue, net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385,191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386,861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1,159,644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1,136,924</w:t>
            </w:r>
          </w:p>
        </w:tc>
      </w:tr>
      <w:tr>
        <w:trPr>
          <w:trHeight w:val="206"/>
        </w:trPr>
        <w:tc>
          <w:tcPr>
            <w:tcW w:w="5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Costs and expenses:</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Cost of goods sold</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148,445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144,468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439,418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441,558</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68,326</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143,820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156,010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464,397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475,195</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 amortization</w:t>
            </w: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12,838</w:t>
            </w:r>
          </w:p>
        </w:tc>
      </w:tr>
      <w:tr>
        <w:trPr>
          <w:trHeight w:val="196"/>
        </w:trPr>
        <w:tc>
          <w:tcPr>
            <w:tcW w:w="526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costs and expenses</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320,142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330,422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988,564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997,917</w:t>
            </w:r>
          </w:p>
        </w:tc>
      </w:tr>
      <w:tr>
        <w:trPr>
          <w:trHeight w:val="202"/>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139,007</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6,606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5,298</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(12,809)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(38,270)</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Gain (loss) from the sale of businesses</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41,967</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14,888</w:t>
            </w:r>
          </w:p>
        </w:tc>
      </w:tr>
      <w:tr>
        <w:trPr>
          <w:trHeight w:val="196"/>
        </w:trPr>
        <w:tc>
          <w:tcPr>
            <w:tcW w:w="5260" w:type="dxa"/>
            <w:vAlign w:val="bottom"/>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58,796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50,788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149,686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162,890</w:t>
            </w: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39,199</w:t>
            </w:r>
          </w:p>
        </w:tc>
      </w:tr>
      <w:tr>
        <w:trPr>
          <w:trHeight w:val="202"/>
        </w:trPr>
        <w:tc>
          <w:tcPr>
            <w:tcW w:w="52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49,915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127,604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123,691</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4"/>
        </w:trPr>
        <w:tc>
          <w:tcPr>
            <w:tcW w:w="5260" w:type="dxa"/>
            <w:vAlign w:val="bottom"/>
          </w:tcPr>
          <w:p>
            <w:pPr>
              <w:ind w:left="20"/>
              <w:spacing w:after="0"/>
              <w:rPr>
                <w:sz w:val="20"/>
                <w:szCs w:val="20"/>
                <w:color w:val="auto"/>
              </w:rPr>
            </w:pPr>
            <w:r>
              <w:rPr>
                <w:rFonts w:ascii="Arial" w:cs="Arial" w:eastAsia="Arial" w:hAnsi="Arial"/>
                <w:sz w:val="15"/>
                <w:szCs w:val="15"/>
                <w:b w:val="1"/>
                <w:bCs w:val="1"/>
                <w:color w:val="auto"/>
              </w:rPr>
              <w:t>Net income per share</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Basic</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Diluted</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0.60</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0.51</w:t>
            </w: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261"/>
        </w:trPr>
        <w:tc>
          <w:tcPr>
            <w:tcW w:w="5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04"/>
        </w:trPr>
        <w:tc>
          <w:tcPr>
            <w:tcW w:w="5260" w:type="dxa"/>
            <w:vAlign w:val="bottom"/>
          </w:tcPr>
          <w:p>
            <w:pPr>
              <w:ind w:left="20"/>
              <w:spacing w:after="0"/>
              <w:rPr>
                <w:sz w:val="20"/>
                <w:szCs w:val="20"/>
                <w:color w:val="auto"/>
              </w:rPr>
            </w:pPr>
            <w:r>
              <w:rPr>
                <w:rFonts w:ascii="Arial" w:cs="Arial" w:eastAsia="Arial" w:hAnsi="Arial"/>
                <w:sz w:val="15"/>
                <w:szCs w:val="15"/>
                <w:b w:val="1"/>
                <w:bCs w:val="1"/>
                <w:color w:val="auto"/>
              </w:rPr>
              <w:t>Weighted average common shares outstanding (See Note 13):</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84,647</w:t>
            </w:r>
          </w:p>
        </w:tc>
      </w:tr>
      <w:tr>
        <w:trPr>
          <w:trHeight w:val="203"/>
        </w:trPr>
        <w:tc>
          <w:tcPr>
            <w:tcW w:w="5260" w:type="dxa"/>
            <w:vAlign w:val="bottom"/>
          </w:tcPr>
          <w:p>
            <w:pPr>
              <w:ind w:left="320"/>
              <w:spacing w:after="0"/>
              <w:rPr>
                <w:sz w:val="20"/>
                <w:szCs w:val="20"/>
                <w:color w:val="auto"/>
              </w:rPr>
            </w:pPr>
            <w:r>
              <w:rPr>
                <w:rFonts w:ascii="Arial" w:cs="Arial" w:eastAsia="Arial" w:hAnsi="Arial"/>
                <w:sz w:val="15"/>
                <w:szCs w:val="15"/>
                <w:color w:val="auto"/>
              </w:rPr>
              <w:t>Diluted</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83,399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85,447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83,476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85,391</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 (See Note 14)</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150,975</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511,937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513,448</w:t>
            </w: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Arial" w:cs="Arial" w:eastAsia="Arial" w:hAnsi="Arial"/>
                <w:sz w:val="15"/>
                <w:szCs w:val="15"/>
                <w:color w:val="auto"/>
              </w:rPr>
              <w:t>Trade accounts receivable, net of allowances of $3,958 and $4,735</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248,268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231,831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Inventories,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311,060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317,386</w:t>
            </w: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123,357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91,051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Assets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7840" w:type="dxa"/>
            <w:vAlign w:val="bottom"/>
          </w:tcPr>
          <w:p>
            <w:pPr>
              <w:ind w:left="440"/>
              <w:spacing w:after="0"/>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1,196,453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1,153,716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300,729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311,703</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Arial" w:cs="Arial" w:eastAsia="Arial" w:hAnsi="Arial"/>
                <w:sz w:val="15"/>
                <w:szCs w:val="15"/>
                <w:color w:val="auto"/>
              </w:rPr>
              <w:t>Right of use asset - operating leases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148,270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84,543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1,054,035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1,145,573</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977,860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1,013,458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51,768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56,950</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77,898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16,440</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3,807,013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3,782,383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Arial" w:cs="Arial" w:eastAsia="Arial" w:hAnsi="Arial"/>
                <w:sz w:val="15"/>
                <w:szCs w:val="15"/>
                <w:color w:val="auto"/>
              </w:rPr>
              <w:t>Current portion of borrowings under senior credit facility</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56,250</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45,000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portion of lease liability - operating leases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13,488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14,775</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Arial" w:cs="Arial" w:eastAsia="Arial" w:hAnsi="Arial"/>
                <w:sz w:val="15"/>
                <w:szCs w:val="15"/>
                <w:color w:val="auto"/>
              </w:rPr>
              <w:t>Accounts payable, trade</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80,732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61,837</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Contract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5,295</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Arial" w:cs="Arial" w:eastAsia="Arial" w:hAnsi="Arial"/>
                <w:sz w:val="15"/>
                <w:szCs w:val="15"/>
                <w:color w:val="auto"/>
              </w:rPr>
              <w:t>Accrued compensation</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68,626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92,656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expenses and 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78,992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120,458</w:t>
            </w:r>
          </w:p>
        </w:tc>
        <w:tc>
          <w:tcPr>
            <w:tcW w:w="0" w:type="dxa"/>
            <w:vAlign w:val="bottom"/>
          </w:tcPr>
          <w:p>
            <w:pPr>
              <w:spacing w:after="0"/>
              <w:rPr>
                <w:sz w:val="1"/>
                <w:szCs w:val="1"/>
                <w:color w:val="auto"/>
              </w:rPr>
            </w:pPr>
          </w:p>
        </w:tc>
      </w:tr>
      <w:tr>
        <w:trPr>
          <w:trHeight w:val="196"/>
        </w:trPr>
        <w:tc>
          <w:tcPr>
            <w:tcW w:w="784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304,452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340,021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borrowings under senior credit facility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814,530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824,257</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Arial" w:cs="Arial" w:eastAsia="Arial" w:hAnsi="Arial"/>
                <w:sz w:val="15"/>
                <w:szCs w:val="15"/>
                <w:color w:val="auto"/>
              </w:rPr>
              <w:t>Long-term borrowings under securitization facility</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106,000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112,500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convertible securities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566,612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564,426</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Arial" w:cs="Arial" w:eastAsia="Arial" w:hAnsi="Arial"/>
                <w:sz w:val="15"/>
                <w:szCs w:val="15"/>
                <w:color w:val="auto"/>
              </w:rPr>
              <w:t>Lease liability - operating leases</w:t>
            </w:r>
          </w:p>
        </w:tc>
        <w:tc>
          <w:tcPr>
            <w:tcW w:w="1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157,533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90,329</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69,743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45,788</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63,729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120,258</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2,082,599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2,097,579</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stock; no par value; 15,000 authorized shares; none outstanding</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7840" w:type="dxa"/>
            <w:vAlign w:val="bottom"/>
          </w:tcPr>
          <w:p>
            <w:pPr>
              <w:ind w:left="320"/>
              <w:spacing w:after="0" w:line="160" w:lineRule="exact"/>
              <w:rPr>
                <w:sz w:val="20"/>
                <w:szCs w:val="20"/>
                <w:color w:val="auto"/>
              </w:rPr>
            </w:pPr>
            <w:r>
              <w:rPr>
                <w:rFonts w:ascii="Arial" w:cs="Arial" w:eastAsia="Arial" w:hAnsi="Arial"/>
                <w:sz w:val="15"/>
                <w:szCs w:val="15"/>
                <w:color w:val="auto"/>
                <w:w w:val="98"/>
              </w:rPr>
              <w:t>Common stock; $0.01 par value; 240,000 authorized shares; 90,341 and 89,600 issued at September 30, 2022 and</w:t>
            </w:r>
          </w:p>
        </w:tc>
        <w:tc>
          <w:tcPr>
            <w:tcW w:w="180" w:type="dxa"/>
            <w:vAlign w:val="bottom"/>
          </w:tcPr>
          <w:p>
            <w:pPr>
              <w:spacing w:after="0"/>
              <w:rPr>
                <w:sz w:val="13"/>
                <w:szCs w:val="13"/>
                <w:color w:val="auto"/>
              </w:rPr>
            </w:pPr>
          </w:p>
        </w:tc>
        <w:tc>
          <w:tcPr>
            <w:tcW w:w="1480" w:type="dxa"/>
            <w:vAlign w:val="bottom"/>
            <w:vMerge w:val="restart"/>
          </w:tcPr>
          <w:p>
            <w:pPr>
              <w:jc w:val="right"/>
              <w:ind w:right="3"/>
              <w:spacing w:after="0"/>
              <w:rPr>
                <w:sz w:val="20"/>
                <w:szCs w:val="20"/>
                <w:color w:val="auto"/>
              </w:rPr>
            </w:pPr>
            <w:r>
              <w:rPr>
                <w:rFonts w:ascii="Arial" w:cs="Arial" w:eastAsia="Arial" w:hAnsi="Arial"/>
                <w:sz w:val="15"/>
                <w:szCs w:val="15"/>
                <w:color w:val="auto"/>
              </w:rPr>
              <w:t>903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896</w:t>
            </w:r>
          </w:p>
        </w:tc>
        <w:tc>
          <w:tcPr>
            <w:tcW w:w="0" w:type="dxa"/>
            <w:vAlign w:val="bottom"/>
          </w:tcPr>
          <w:p>
            <w:pPr>
              <w:spacing w:after="0"/>
              <w:rPr>
                <w:sz w:val="1"/>
                <w:szCs w:val="1"/>
                <w:color w:val="auto"/>
              </w:rPr>
            </w:pPr>
          </w:p>
        </w:tc>
      </w:tr>
      <w:tr>
        <w:trPr>
          <w:trHeight w:val="199"/>
        </w:trPr>
        <w:tc>
          <w:tcPr>
            <w:tcW w:w="7840" w:type="dxa"/>
            <w:vAlign w:val="bottom"/>
          </w:tcPr>
          <w:p>
            <w:pPr>
              <w:ind w:left="480"/>
              <w:spacing w:after="0"/>
              <w:rPr>
                <w:sz w:val="20"/>
                <w:szCs w:val="20"/>
                <w:color w:val="auto"/>
              </w:rPr>
            </w:pPr>
            <w:r>
              <w:rPr>
                <w:rFonts w:ascii="Arial" w:cs="Arial" w:eastAsia="Arial" w:hAnsi="Arial"/>
                <w:sz w:val="15"/>
                <w:szCs w:val="15"/>
                <w:color w:val="auto"/>
              </w:rPr>
              <w:t>December 31, 2021, respectively</w:t>
            </w:r>
          </w:p>
        </w:tc>
        <w:tc>
          <w:tcPr>
            <w:tcW w:w="1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1,267,641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1,264,943</w:t>
            </w: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Arial" w:cs="Arial" w:eastAsia="Arial" w:hAnsi="Arial"/>
                <w:sz w:val="15"/>
                <w:szCs w:val="15"/>
                <w:color w:val="auto"/>
                <w:w w:val="96"/>
              </w:rPr>
              <w:t>Treasury stock, at cost; 6,823 shares and 4,899 shares at September 30, 2022 and December 31, 2021, respectively</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(362,863)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(234,448)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(45,155)</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Retained earnings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826,172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698,568</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1,724,414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1,684,804</w:t>
            </w:r>
          </w:p>
        </w:tc>
        <w:tc>
          <w:tcPr>
            <w:tcW w:w="0" w:type="dxa"/>
            <w:vAlign w:val="bottom"/>
          </w:tcPr>
          <w:p>
            <w:pPr>
              <w:spacing w:after="0"/>
              <w:rPr>
                <w:sz w:val="1"/>
                <w:szCs w:val="1"/>
                <w:color w:val="auto"/>
              </w:rPr>
            </w:pPr>
          </w:p>
        </w:tc>
      </w:tr>
      <w:tr>
        <w:trPr>
          <w:trHeight w:val="202"/>
        </w:trPr>
        <w:tc>
          <w:tcPr>
            <w:tcW w:w="784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3,807,013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3,782,383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9"/>
        </w:trPr>
        <w:tc>
          <w:tcPr>
            <w:tcW w:w="78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80" w:type="dxa"/>
            <w:vAlign w:val="bottom"/>
          </w:tcPr>
          <w:p>
            <w:pPr>
              <w:jc w:val="right"/>
              <w:ind w:right="807"/>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127,604</w:t>
            </w:r>
          </w:p>
        </w:tc>
        <w:tc>
          <w:tcPr>
            <w:tcW w:w="100" w:type="dxa"/>
            <w:vAlign w:val="bottom"/>
          </w:tcPr>
          <w:p>
            <w:pPr>
              <w:spacing w:after="0"/>
              <w:rPr>
                <w:sz w:val="17"/>
                <w:szCs w:val="17"/>
                <w:color w:val="auto"/>
              </w:rPr>
            </w:pPr>
          </w:p>
        </w:tc>
        <w:tc>
          <w:tcPr>
            <w:tcW w:w="1000" w:type="dxa"/>
            <w:vAlign w:val="bottom"/>
          </w:tcPr>
          <w:p>
            <w:pPr>
              <w:jc w:val="right"/>
              <w:ind w:right="826"/>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123,691</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3"/>
        </w:trPr>
        <w:tc>
          <w:tcPr>
            <w:tcW w:w="786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88,803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89,090</w:t>
            </w:r>
          </w:p>
        </w:tc>
      </w:tr>
      <w:tr>
        <w:trPr>
          <w:trHeight w:val="209"/>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impairment charges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2,754</w:t>
            </w:r>
          </w:p>
        </w:tc>
      </w:tr>
      <w:tr>
        <w:trPr>
          <w:trHeight w:val="203"/>
        </w:trPr>
        <w:tc>
          <w:tcPr>
            <w:tcW w:w="7860" w:type="dxa"/>
            <w:vAlign w:val="bottom"/>
          </w:tcPr>
          <w:p>
            <w:pPr>
              <w:ind w:left="320"/>
              <w:spacing w:after="0"/>
              <w:rPr>
                <w:sz w:val="20"/>
                <w:szCs w:val="20"/>
                <w:color w:val="auto"/>
              </w:rPr>
            </w:pPr>
            <w:r>
              <w:rPr>
                <w:rFonts w:ascii="Arial" w:cs="Arial" w:eastAsia="Arial" w:hAnsi="Arial"/>
                <w:sz w:val="15"/>
                <w:szCs w:val="15"/>
                <w:color w:val="auto"/>
              </w:rPr>
              <w:t>Deferred income tax provision (benefit)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1,439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(13,498)</w:t>
            </w:r>
          </w:p>
        </w:tc>
      </w:tr>
      <w:tr>
        <w:trPr>
          <w:trHeight w:val="209"/>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Share-based compensation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29,778</w:t>
            </w:r>
          </w:p>
        </w:tc>
      </w:tr>
      <w:tr>
        <w:trPr>
          <w:trHeight w:val="203"/>
        </w:trPr>
        <w:tc>
          <w:tcPr>
            <w:tcW w:w="7860" w:type="dxa"/>
            <w:vAlign w:val="bottom"/>
          </w:tcPr>
          <w:p>
            <w:pPr>
              <w:ind w:left="320"/>
              <w:spacing w:after="0"/>
              <w:rPr>
                <w:sz w:val="20"/>
                <w:szCs w:val="20"/>
                <w:color w:val="auto"/>
              </w:rPr>
            </w:pPr>
            <w:r>
              <w:rPr>
                <w:rFonts w:ascii="Arial" w:cs="Arial" w:eastAsia="Arial" w:hAnsi="Arial"/>
                <w:sz w:val="15"/>
                <w:szCs w:val="15"/>
                <w:color w:val="auto"/>
              </w:rPr>
              <w:t>Amortization of debt issuance costs and expenses associated with debt refinancing</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5,142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5,308</w:t>
            </w:r>
          </w:p>
        </w:tc>
      </w:tr>
      <w:tr>
        <w:trPr>
          <w:trHeight w:val="209"/>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lease expense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3,099</w:t>
            </w:r>
          </w:p>
        </w:tc>
      </w:tr>
      <w:tr>
        <w:trPr>
          <w:trHeight w:val="203"/>
        </w:trPr>
        <w:tc>
          <w:tcPr>
            <w:tcW w:w="7860" w:type="dxa"/>
            <w:vAlign w:val="bottom"/>
          </w:tcPr>
          <w:p>
            <w:pPr>
              <w:ind w:left="320"/>
              <w:spacing w:after="0"/>
              <w:rPr>
                <w:sz w:val="20"/>
                <w:szCs w:val="20"/>
                <w:color w:val="auto"/>
              </w:rPr>
            </w:pPr>
            <w:r>
              <w:rPr>
                <w:rFonts w:ascii="Arial" w:cs="Arial" w:eastAsia="Arial" w:hAnsi="Arial"/>
                <w:sz w:val="15"/>
                <w:szCs w:val="15"/>
                <w:color w:val="auto"/>
              </w:rPr>
              <w:t>Loss on disposal of property and equipment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914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2,029</w:t>
            </w:r>
          </w:p>
        </w:tc>
      </w:tr>
      <w:tr>
        <w:trPr>
          <w:trHeight w:val="209"/>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 from the sale of businesses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(41,967)</w:t>
            </w:r>
          </w:p>
        </w:tc>
      </w:tr>
      <w:tr>
        <w:trPr>
          <w:trHeight w:val="203"/>
        </w:trPr>
        <w:tc>
          <w:tcPr>
            <w:tcW w:w="7860" w:type="dxa"/>
            <w:vAlign w:val="bottom"/>
          </w:tcPr>
          <w:p>
            <w:pPr>
              <w:ind w:left="320"/>
              <w:spacing w:after="0"/>
              <w:rPr>
                <w:sz w:val="20"/>
                <w:szCs w:val="20"/>
                <w:color w:val="auto"/>
              </w:rPr>
            </w:pPr>
            <w:r>
              <w:rPr>
                <w:rFonts w:ascii="Arial" w:cs="Arial" w:eastAsia="Arial" w:hAnsi="Arial"/>
                <w:sz w:val="15"/>
                <w:szCs w:val="15"/>
                <w:color w:val="auto"/>
              </w:rPr>
              <w:t>Change in fair value of contingent consideration and others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(19,481)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(544)</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assets and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3"/>
        </w:trPr>
        <w:tc>
          <w:tcPr>
            <w:tcW w:w="78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(23,870)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17,437</w:t>
            </w:r>
          </w:p>
        </w:tc>
      </w:tr>
      <w:tr>
        <w:trPr>
          <w:trHeight w:val="209"/>
        </w:trPr>
        <w:tc>
          <w:tcPr>
            <w:tcW w:w="78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Inventories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(24,443)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(3,598)</w:t>
            </w:r>
          </w:p>
        </w:tc>
      </w:tr>
      <w:tr>
        <w:trPr>
          <w:trHeight w:val="203"/>
        </w:trPr>
        <w:tc>
          <w:tcPr>
            <w:tcW w:w="7860" w:type="dxa"/>
            <w:vAlign w:val="bottom"/>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1,629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(11,696)</w:t>
            </w:r>
          </w:p>
        </w:tc>
      </w:tr>
      <w:tr>
        <w:trPr>
          <w:trHeight w:val="209"/>
        </w:trPr>
        <w:tc>
          <w:tcPr>
            <w:tcW w:w="78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 non-current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5,900</w:t>
            </w:r>
          </w:p>
        </w:tc>
      </w:tr>
      <w:tr>
        <w:trPr>
          <w:trHeight w:val="203"/>
        </w:trPr>
        <w:tc>
          <w:tcPr>
            <w:tcW w:w="7860" w:type="dxa"/>
            <w:vAlign w:val="bottom"/>
          </w:tcPr>
          <w:p>
            <w:pPr>
              <w:ind w:left="440"/>
              <w:spacing w:after="0"/>
              <w:rPr>
                <w:sz w:val="20"/>
                <w:szCs w:val="20"/>
                <w:color w:val="auto"/>
              </w:rPr>
            </w:pPr>
            <w:r>
              <w:rPr>
                <w:rFonts w:ascii="Arial" w:cs="Arial" w:eastAsia="Arial" w:hAnsi="Arial"/>
                <w:sz w:val="15"/>
                <w:szCs w:val="15"/>
                <w:color w:val="auto"/>
              </w:rPr>
              <w:t>Accounts payable, accrued expenses and other current liabilities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33,858</w:t>
            </w:r>
          </w:p>
        </w:tc>
      </w:tr>
      <w:tr>
        <w:trPr>
          <w:trHeight w:val="209"/>
        </w:trPr>
        <w:tc>
          <w:tcPr>
            <w:tcW w:w="78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Contract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Other non-current liabilities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1,509</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179,135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243,150</w:t>
            </w:r>
          </w:p>
        </w:tc>
      </w:tr>
      <w:tr>
        <w:trPr>
          <w:trHeight w:val="204"/>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(27,887)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(20,595)</w:t>
            </w: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Proceeds from sale of property and equipment</w:t>
            </w:r>
          </w:p>
        </w:tc>
        <w:tc>
          <w:tcPr>
            <w:tcW w:w="9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sale of businesses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23,960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190,468</w:t>
            </w: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Acquired in-process research and development milestone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(4,742)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proceeds from swaps designated as net investment hedges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Cash paid for business acquisitions, net of cash acquired</w:t>
            </w:r>
          </w:p>
        </w:tc>
        <w:tc>
          <w:tcPr>
            <w:tcW w:w="9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3"/>
              </w:rPr>
              <w:t>(303,910)</w:t>
            </w:r>
          </w:p>
        </w:tc>
      </w:tr>
      <w:tr>
        <w:trPr>
          <w:trHeight w:val="202"/>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9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(3,760)</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(133,958)</w:t>
            </w:r>
          </w:p>
        </w:tc>
      </w:tr>
      <w:tr>
        <w:trPr>
          <w:trHeight w:val="204"/>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borrowings of long-term indebtedness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13,450</w:t>
            </w: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Payments on debt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(40,750)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3"/>
              </w:rPr>
              <w:t>(114,250)</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of debt issuance costs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r>
      <w:tr>
        <w:trPr>
          <w:trHeight w:val="203"/>
        </w:trPr>
        <w:tc>
          <w:tcPr>
            <w:tcW w:w="7860" w:type="dxa"/>
            <w:vAlign w:val="bottom"/>
          </w:tcPr>
          <w:p>
            <w:pPr>
              <w:ind w:left="20"/>
              <w:spacing w:after="0"/>
              <w:rPr>
                <w:sz w:val="20"/>
                <w:szCs w:val="20"/>
                <w:color w:val="auto"/>
              </w:rPr>
            </w:pPr>
            <w:r>
              <w:rPr>
                <w:rFonts w:ascii="Arial" w:cs="Arial" w:eastAsia="Arial" w:hAnsi="Arial"/>
                <w:sz w:val="15"/>
                <w:szCs w:val="15"/>
                <w:color w:val="auto"/>
              </w:rPr>
              <w:t>Purchases of treasury stock</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(125,000)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exercised stock options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6,588</w:t>
            </w:r>
          </w:p>
        </w:tc>
      </w:tr>
      <w:tr>
        <w:trPr>
          <w:trHeight w:val="20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taxes paid in net equity settlement</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(24,346)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(4,286)</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(154,254)</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(98,747)</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(10,380)</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decrease in cash and cash equivalents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513,448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470,166</w:t>
            </w:r>
          </w:p>
        </w:tc>
      </w:tr>
      <w:tr>
        <w:trPr>
          <w:trHeight w:val="22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at end of period</w:t>
            </w:r>
          </w:p>
        </w:tc>
        <w:tc>
          <w:tcPr>
            <w:tcW w:w="98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511,937</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470,231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w:t>
      </w:r>
    </w:p>
    <w:p>
      <w:pPr>
        <w:spacing w:after="0" w:line="196"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26670</wp:posOffset>
            </wp:positionV>
            <wp:extent cx="5149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2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2022</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net of tax</w:t>
      </w:r>
    </w:p>
    <w:p>
      <w:pPr>
        <w:spacing w:after="0" w:line="32" w:lineRule="exact"/>
        <w:rPr>
          <w:sz w:val="20"/>
          <w:szCs w:val="20"/>
          <w:color w:val="auto"/>
        </w:rPr>
      </w:pPr>
    </w:p>
    <w:p>
      <w:pPr>
        <w:ind w:left="20" w:right="80"/>
        <w:spacing w:after="0" w:line="235"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20"/>
        <w:spacing w:after="0" w:line="235"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7" w:lineRule="exact"/>
        <w:rPr>
          <w:sz w:val="20"/>
          <w:szCs w:val="20"/>
          <w:color w:val="auto"/>
        </w:rPr>
      </w:pPr>
    </w:p>
    <w:p>
      <w:pPr>
        <w:ind w:left="20" w:right="1160"/>
        <w:spacing w:after="0" w:line="372" w:lineRule="auto"/>
        <w:rPr>
          <w:sz w:val="20"/>
          <w:szCs w:val="20"/>
          <w:color w:val="auto"/>
        </w:rPr>
      </w:pPr>
      <w:r>
        <w:rPr>
          <w:rFonts w:ascii="Arial" w:cs="Arial" w:eastAsia="Arial" w:hAnsi="Arial"/>
          <w:sz w:val="11"/>
          <w:szCs w:val="11"/>
          <w:color w:val="auto"/>
        </w:rPr>
        <w:t>Share-based compensation Accelerated shares repurchased</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Treasury Stock</w:t>
            </w:r>
          </w:p>
        </w:tc>
        <w:tc>
          <w:tcPr>
            <w:tcW w:w="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 Paid-</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ind w:left="60"/>
              <w:spacing w:after="0" w:line="119" w:lineRule="exact"/>
              <w:rPr>
                <w:sz w:val="20"/>
                <w:szCs w:val="20"/>
                <w:color w:val="auto"/>
              </w:rPr>
            </w:pPr>
            <w:r>
              <w:rPr>
                <w:rFonts w:ascii="Arial" w:cs="Arial" w:eastAsia="Arial" w:hAnsi="Arial"/>
                <w:sz w:val="13"/>
                <w:szCs w:val="13"/>
                <w:b w:val="1"/>
                <w:bCs w:val="1"/>
                <w:color w:val="auto"/>
              </w:rPr>
              <w:t>In Capital</w:t>
            </w:r>
          </w:p>
        </w:tc>
        <w:tc>
          <w:tcPr>
            <w:tcW w:w="1360" w:type="dxa"/>
            <w:vAlign w:val="bottom"/>
            <w:gridSpan w:val="3"/>
            <w:vMerge w:val="restart"/>
          </w:tcPr>
          <w:p>
            <w:pPr>
              <w:ind w:left="20"/>
              <w:spacing w:after="0" w:line="119" w:lineRule="exact"/>
              <w:rPr>
                <w:sz w:val="20"/>
                <w:szCs w:val="20"/>
                <w:color w:val="auto"/>
              </w:rPr>
            </w:pPr>
            <w:r>
              <w:rPr>
                <w:rFonts w:ascii="Arial" w:cs="Arial" w:eastAsia="Arial" w:hAnsi="Arial"/>
                <w:sz w:val="13"/>
                <w:szCs w:val="13"/>
                <w:b w:val="1"/>
                <w:bCs w:val="1"/>
                <w:color w:val="auto"/>
              </w:rPr>
              <w:t>Comprehensive Loss</w:t>
            </w:r>
          </w:p>
        </w:tc>
        <w:tc>
          <w:tcPr>
            <w:tcW w:w="100" w:type="dxa"/>
            <w:vAlign w:val="bottom"/>
          </w:tcPr>
          <w:p>
            <w:pPr>
              <w:spacing w:after="0"/>
              <w:rPr>
                <w:sz w:val="8"/>
                <w:szCs w:val="8"/>
                <w:color w:val="auto"/>
              </w:rPr>
            </w:pPr>
          </w:p>
        </w:tc>
        <w:tc>
          <w:tcPr>
            <w:tcW w:w="780" w:type="dxa"/>
            <w:vAlign w:val="bottom"/>
            <w:gridSpan w:val="2"/>
            <w:vMerge w:val="restart"/>
          </w:tcPr>
          <w:p>
            <w:pPr>
              <w:ind w:left="40"/>
              <w:spacing w:after="0" w:line="11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89,600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90"/>
              </w:rPr>
              <w:t>(4,899)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(234,448)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1,264,943</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698,568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1,684,804</w:t>
            </w:r>
          </w:p>
        </w:tc>
        <w:tc>
          <w:tcPr>
            <w:tcW w:w="0" w:type="dxa"/>
            <w:vAlign w:val="bottom"/>
          </w:tcPr>
          <w:p>
            <w:pPr>
              <w:spacing w:after="0"/>
              <w:rPr>
                <w:sz w:val="1"/>
                <w:szCs w:val="1"/>
                <w:color w:val="auto"/>
              </w:rPr>
            </w:pPr>
          </w:p>
        </w:tc>
      </w:tr>
      <w:tr>
        <w:trPr>
          <w:trHeight w:val="188"/>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32,901</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24,130</w:t>
            </w:r>
          </w:p>
        </w:tc>
        <w:tc>
          <w:tcPr>
            <w:tcW w:w="0" w:type="dxa"/>
            <w:vAlign w:val="bottom"/>
          </w:tcPr>
          <w:p>
            <w:pPr>
              <w:spacing w:after="0"/>
              <w:rPr>
                <w:sz w:val="1"/>
                <w:szCs w:val="1"/>
                <w:color w:val="auto"/>
              </w:rPr>
            </w:pPr>
          </w:p>
        </w:tc>
      </w:tr>
      <w:tr>
        <w:trPr>
          <w:trHeight w:val="258"/>
        </w:trPr>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322"/>
        </w:trPr>
        <w:tc>
          <w:tcPr>
            <w:tcW w:w="74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(9,040)</w:t>
            </w:r>
          </w:p>
        </w:tc>
        <w:tc>
          <w:tcPr>
            <w:tcW w:w="0" w:type="dxa"/>
            <w:vAlign w:val="bottom"/>
          </w:tcPr>
          <w:p>
            <w:pPr>
              <w:spacing w:after="0"/>
              <w:rPr>
                <w:sz w:val="1"/>
                <w:szCs w:val="1"/>
                <w:color w:val="auto"/>
              </w:rPr>
            </w:pPr>
          </w:p>
        </w:tc>
      </w:tr>
      <w:tr>
        <w:trPr>
          <w:trHeight w:val="258"/>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w w:val="90"/>
              </w:rPr>
              <w:t>(1,938)</w:t>
            </w:r>
          </w:p>
        </w:tc>
        <w:tc>
          <w:tcPr>
            <w:tcW w:w="10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(129,152)</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-1015365</wp:posOffset>
            </wp:positionV>
            <wp:extent cx="7138670" cy="130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-761365</wp:posOffset>
            </wp:positionV>
            <wp:extent cx="7138670"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-434340</wp:posOffset>
            </wp:positionV>
            <wp:extent cx="7138670" cy="20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-106680</wp:posOffset>
            </wp:positionV>
            <wp:extent cx="713867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920" w:space="220"/>
            <w:col w:w="81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314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89,956</w:t>
            </w:r>
          </w:p>
        </w:tc>
        <w:tc>
          <w:tcPr>
            <w:tcW w:w="4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900</w:t>
            </w: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9"/>
              </w:rPr>
              <w:t>(6,823)</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(362,886)</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1,266,739</w:t>
            </w: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(21,025)</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731,469</w:t>
            </w:r>
          </w:p>
        </w:tc>
        <w:tc>
          <w:tcPr>
            <w:tcW w:w="3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1,615,197</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44,788</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44,788</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7,810</w:t>
            </w:r>
          </w:p>
        </w:tc>
        <w:tc>
          <w:tcPr>
            <w:tcW w:w="24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7,810</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3"/>
              </w:rPr>
              <w:t>Issuance of common stock for vesting of share based</w:t>
            </w: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378</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3</w:t>
            </w: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(13,655)</w:t>
            </w:r>
          </w:p>
        </w:tc>
        <w:tc>
          <w:tcPr>
            <w:tcW w:w="4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(13,646)</w:t>
            </w:r>
          </w:p>
        </w:tc>
        <w:tc>
          <w:tcPr>
            <w:tcW w:w="0" w:type="dxa"/>
            <w:vAlign w:val="bottom"/>
          </w:tcPr>
          <w:p>
            <w:pPr>
              <w:spacing w:after="0"/>
              <w:rPr>
                <w:sz w:val="1"/>
                <w:szCs w:val="1"/>
                <w:color w:val="auto"/>
              </w:rPr>
            </w:pPr>
          </w:p>
        </w:tc>
      </w:tr>
      <w:tr>
        <w:trPr>
          <w:trHeight w:val="97"/>
        </w:trPr>
        <w:tc>
          <w:tcPr>
            <w:tcW w:w="3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14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6,768</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211"/>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90,334</w:t>
            </w:r>
          </w:p>
        </w:tc>
        <w:tc>
          <w:tcPr>
            <w:tcW w:w="4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903</w:t>
            </w:r>
          </w:p>
        </w:tc>
        <w:tc>
          <w:tcPr>
            <w:tcW w:w="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9"/>
              </w:rPr>
              <w:t>(6,823)</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(362,880)</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1,259,852</w:t>
            </w: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776,257</w:t>
            </w:r>
          </w:p>
        </w:tc>
        <w:tc>
          <w:tcPr>
            <w:tcW w:w="3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1,660,917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vMerge w:val="continue"/>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49,915</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49,915</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5,776</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5,776</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line="137" w:lineRule="exact"/>
              <w:rPr>
                <w:sz w:val="20"/>
                <w:szCs w:val="20"/>
                <w:color w:val="auto"/>
              </w:rPr>
            </w:pPr>
            <w:r>
              <w:rPr>
                <w:rFonts w:ascii="Arial" w:cs="Arial" w:eastAsia="Arial" w:hAnsi="Arial"/>
                <w:sz w:val="14"/>
                <w:szCs w:val="14"/>
                <w:color w:val="auto"/>
                <w:w w:val="93"/>
              </w:rPr>
              <w:t>Issuance of common stock for vesting of share based</w:t>
            </w:r>
          </w:p>
        </w:tc>
        <w:tc>
          <w:tcPr>
            <w:tcW w:w="760" w:type="dxa"/>
            <w:vAlign w:val="bottom"/>
            <w:vMerge w:val="restart"/>
          </w:tcPr>
          <w:p>
            <w:pPr>
              <w:jc w:val="right"/>
              <w:ind w:right="11"/>
              <w:spacing w:after="0"/>
              <w:rPr>
                <w:sz w:val="20"/>
                <w:szCs w:val="20"/>
                <w:color w:val="auto"/>
              </w:rPr>
            </w:pPr>
            <w:r>
              <w:rPr>
                <w:rFonts w:ascii="Arial" w:cs="Arial" w:eastAsia="Arial" w:hAnsi="Arial"/>
                <w:sz w:val="14"/>
                <w:szCs w:val="14"/>
                <w:color w:val="auto"/>
              </w:rPr>
              <w:t>7</w:t>
            </w:r>
          </w:p>
        </w:tc>
        <w:tc>
          <w:tcPr>
            <w:tcW w:w="440" w:type="dxa"/>
            <w:vAlign w:val="bottom"/>
          </w:tcPr>
          <w:p>
            <w:pPr>
              <w:spacing w:after="0"/>
              <w:rPr>
                <w:sz w:val="11"/>
                <w:szCs w:val="11"/>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(1,160)</w:t>
            </w:r>
          </w:p>
        </w:tc>
        <w:tc>
          <w:tcPr>
            <w:tcW w:w="480" w:type="dxa"/>
            <w:vAlign w:val="bottom"/>
          </w:tcPr>
          <w:p>
            <w:pPr>
              <w:spacing w:after="0"/>
              <w:rPr>
                <w:sz w:val="11"/>
                <w:szCs w:val="11"/>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97"/>
        </w:trPr>
        <w:tc>
          <w:tcPr>
            <w:tcW w:w="3140" w:type="dxa"/>
            <w:vAlign w:val="bottom"/>
            <w:vMerge w:val="restart"/>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1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8,949</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8,949</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90,341</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903</w:t>
            </w: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99"/>
              </w:rPr>
              <w:t>(6,823)</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(362,863)</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1,267,641</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(7,439)</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826,172</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1,724,414</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w:t>
      </w:r>
    </w:p>
    <w:p>
      <w:pPr>
        <w:spacing w:after="0" w:line="207"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26670</wp:posOffset>
            </wp:positionV>
            <wp:extent cx="5149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2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2021</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net of tax</w:t>
      </w:r>
    </w:p>
    <w:p>
      <w:pPr>
        <w:spacing w:after="0" w:line="32" w:lineRule="exact"/>
        <w:rPr>
          <w:sz w:val="20"/>
          <w:szCs w:val="20"/>
          <w:color w:val="auto"/>
        </w:rPr>
      </w:pPr>
    </w:p>
    <w:p>
      <w:pPr>
        <w:ind w:left="20" w:right="80"/>
        <w:spacing w:after="0" w:line="235"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20"/>
        <w:spacing w:after="0" w:line="235"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7" w:lineRule="exact"/>
        <w:rPr>
          <w:sz w:val="20"/>
          <w:szCs w:val="20"/>
          <w:color w:val="auto"/>
        </w:rPr>
      </w:pPr>
    </w:p>
    <w:p>
      <w:pPr>
        <w:ind w:left="20" w:right="1080"/>
        <w:spacing w:after="0" w:line="372" w:lineRule="auto"/>
        <w:rPr>
          <w:sz w:val="20"/>
          <w:szCs w:val="20"/>
          <w:color w:val="auto"/>
        </w:rPr>
      </w:pPr>
      <w:r>
        <w:rPr>
          <w:rFonts w:ascii="Arial" w:cs="Arial" w:eastAsia="Arial" w:hAnsi="Arial"/>
          <w:sz w:val="11"/>
          <w:szCs w:val="11"/>
          <w:color w:val="auto"/>
        </w:rPr>
        <w:t>Share-based compensation Adoption of Update No. 2020-06</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Treasury Stock</w:t>
            </w:r>
          </w:p>
        </w:tc>
        <w:tc>
          <w:tcPr>
            <w:tcW w:w="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 Paid-</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ind w:left="60"/>
              <w:spacing w:after="0" w:line="119" w:lineRule="exact"/>
              <w:rPr>
                <w:sz w:val="20"/>
                <w:szCs w:val="20"/>
                <w:color w:val="auto"/>
              </w:rPr>
            </w:pPr>
            <w:r>
              <w:rPr>
                <w:rFonts w:ascii="Arial" w:cs="Arial" w:eastAsia="Arial" w:hAnsi="Arial"/>
                <w:sz w:val="13"/>
                <w:szCs w:val="13"/>
                <w:b w:val="1"/>
                <w:bCs w:val="1"/>
                <w:color w:val="auto"/>
              </w:rPr>
              <w:t>In Capital</w:t>
            </w:r>
          </w:p>
        </w:tc>
        <w:tc>
          <w:tcPr>
            <w:tcW w:w="1360" w:type="dxa"/>
            <w:vAlign w:val="bottom"/>
            <w:gridSpan w:val="3"/>
            <w:vMerge w:val="restart"/>
          </w:tcPr>
          <w:p>
            <w:pPr>
              <w:jc w:val="right"/>
              <w:ind w:right="120"/>
              <w:spacing w:after="0" w:line="119" w:lineRule="exact"/>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Pr>
          <w:p>
            <w:pPr>
              <w:spacing w:after="0"/>
              <w:rPr>
                <w:sz w:val="8"/>
                <w:szCs w:val="8"/>
                <w:color w:val="auto"/>
              </w:rPr>
            </w:pPr>
          </w:p>
        </w:tc>
        <w:tc>
          <w:tcPr>
            <w:tcW w:w="780" w:type="dxa"/>
            <w:vAlign w:val="bottom"/>
            <w:gridSpan w:val="2"/>
            <w:vMerge w:val="restart"/>
          </w:tcPr>
          <w:p>
            <w:pPr>
              <w:ind w:left="40"/>
              <w:spacing w:after="0" w:line="11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89,251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90"/>
              </w:rPr>
              <w:t>(4,914)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(235,141)</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1,290,909</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(74,059)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532,265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188"/>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45,394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30,432</w:t>
            </w:r>
          </w:p>
        </w:tc>
        <w:tc>
          <w:tcPr>
            <w:tcW w:w="0" w:type="dxa"/>
            <w:vAlign w:val="bottom"/>
          </w:tcPr>
          <w:p>
            <w:pPr>
              <w:spacing w:after="0"/>
              <w:rPr>
                <w:sz w:val="1"/>
                <w:szCs w:val="1"/>
                <w:color w:val="auto"/>
              </w:rPr>
            </w:pPr>
          </w:p>
        </w:tc>
      </w:tr>
      <w:tr>
        <w:trPr>
          <w:trHeight w:val="258"/>
        </w:trPr>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322"/>
        </w:trPr>
        <w:tc>
          <w:tcPr>
            <w:tcW w:w="74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58"/>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(63,274)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-1015365</wp:posOffset>
            </wp:positionV>
            <wp:extent cx="7138670" cy="130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-761365</wp:posOffset>
            </wp:positionV>
            <wp:extent cx="7138670"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-434340</wp:posOffset>
            </wp:positionV>
            <wp:extent cx="7138670" cy="204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-106680</wp:posOffset>
            </wp:positionV>
            <wp:extent cx="7138670"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920" w:space="220"/>
            <w:col w:w="81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31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89,406</w:t>
            </w:r>
          </w:p>
        </w:tc>
        <w:tc>
          <w:tcPr>
            <w:tcW w:w="4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894</w:t>
            </w: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9"/>
              </w:rPr>
              <w:t>(4,899)</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(234,461)</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1,231,638</w:t>
            </w:r>
          </w:p>
        </w:tc>
        <w:tc>
          <w:tcPr>
            <w:tcW w:w="5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(43,627)</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574,887</w:t>
            </w:r>
          </w:p>
        </w:tc>
        <w:tc>
          <w:tcPr>
            <w:tcW w:w="3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1,529,331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35,068</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35,068</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(6,336)</w:t>
            </w:r>
          </w:p>
        </w:tc>
        <w:tc>
          <w:tcPr>
            <w:tcW w:w="24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(6,336)</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3"/>
              </w:rPr>
              <w:t>Issuance of common stock for vesting of share based</w:t>
            </w: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68</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1</w:t>
            </w: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1,175</w:t>
            </w:r>
          </w:p>
        </w:tc>
        <w:tc>
          <w:tcPr>
            <w:tcW w:w="5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97"/>
        </w:trPr>
        <w:tc>
          <w:tcPr>
            <w:tcW w:w="3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14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15,742</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211"/>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89,474</w:t>
            </w:r>
          </w:p>
        </w:tc>
        <w:tc>
          <w:tcPr>
            <w:tcW w:w="4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895</w:t>
            </w:r>
          </w:p>
        </w:tc>
        <w:tc>
          <w:tcPr>
            <w:tcW w:w="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9"/>
              </w:rPr>
              <w:t>(4,899)</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(234,461)</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1,248,555</w:t>
            </w:r>
          </w:p>
        </w:tc>
        <w:tc>
          <w:tcPr>
            <w:tcW w:w="5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(49,963)</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609,955</w:t>
            </w:r>
          </w:p>
        </w:tc>
        <w:tc>
          <w:tcPr>
            <w:tcW w:w="3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1,574,981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vMerge w:val="continue"/>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43,229</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43,229</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3,189</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w:t>
            </w:r>
          </w:p>
        </w:tc>
        <w:tc>
          <w:tcPr>
            <w:tcW w:w="0" w:type="dxa"/>
            <w:vAlign w:val="bottom"/>
          </w:tcPr>
          <w:p>
            <w:pPr>
              <w:spacing w:after="0"/>
              <w:rPr>
                <w:sz w:val="1"/>
                <w:szCs w:val="1"/>
                <w:color w:val="auto"/>
              </w:rPr>
            </w:pPr>
          </w:p>
        </w:tc>
      </w:tr>
      <w:tr>
        <w:trPr>
          <w:trHeight w:val="136"/>
        </w:trPr>
        <w:tc>
          <w:tcPr>
            <w:tcW w:w="3140" w:type="dxa"/>
            <w:vAlign w:val="bottom"/>
          </w:tcPr>
          <w:p>
            <w:pPr>
              <w:ind w:left="20"/>
              <w:spacing w:after="0" w:line="137" w:lineRule="exact"/>
              <w:rPr>
                <w:sz w:val="20"/>
                <w:szCs w:val="20"/>
                <w:color w:val="auto"/>
              </w:rPr>
            </w:pPr>
            <w:r>
              <w:rPr>
                <w:rFonts w:ascii="Arial" w:cs="Arial" w:eastAsia="Arial" w:hAnsi="Arial"/>
                <w:sz w:val="14"/>
                <w:szCs w:val="14"/>
                <w:color w:val="auto"/>
                <w:w w:val="93"/>
              </w:rPr>
              <w:t>Issuance of common stock for vesting of share based</w:t>
            </w:r>
          </w:p>
        </w:tc>
        <w:tc>
          <w:tcPr>
            <w:tcW w:w="760" w:type="dxa"/>
            <w:vAlign w:val="bottom"/>
            <w:vMerge w:val="restart"/>
          </w:tcPr>
          <w:p>
            <w:pPr>
              <w:jc w:val="right"/>
              <w:ind w:right="11"/>
              <w:spacing w:after="0"/>
              <w:rPr>
                <w:sz w:val="20"/>
                <w:szCs w:val="20"/>
                <w:color w:val="auto"/>
              </w:rPr>
            </w:pPr>
            <w:r>
              <w:rPr>
                <w:rFonts w:ascii="Arial" w:cs="Arial" w:eastAsia="Arial" w:hAnsi="Arial"/>
                <w:sz w:val="14"/>
                <w:szCs w:val="14"/>
                <w:color w:val="auto"/>
              </w:rPr>
              <w:t>123</w:t>
            </w:r>
          </w:p>
        </w:tc>
        <w:tc>
          <w:tcPr>
            <w:tcW w:w="440" w:type="dxa"/>
            <w:vAlign w:val="bottom"/>
          </w:tcPr>
          <w:p>
            <w:pPr>
              <w:spacing w:after="0"/>
              <w:rPr>
                <w:sz w:val="11"/>
                <w:szCs w:val="11"/>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color w:val="auto"/>
              </w:rPr>
              <w:t>1</w:t>
            </w:r>
          </w:p>
        </w:tc>
        <w:tc>
          <w:tcPr>
            <w:tcW w:w="70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740" w:type="dxa"/>
            <w:vAlign w:val="bottom"/>
            <w:vMerge w:val="restart"/>
          </w:tcPr>
          <w:p>
            <w:pPr>
              <w:ind w:left="50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2,529</w:t>
            </w:r>
          </w:p>
        </w:tc>
        <w:tc>
          <w:tcPr>
            <w:tcW w:w="500" w:type="dxa"/>
            <w:vAlign w:val="bottom"/>
          </w:tcPr>
          <w:p>
            <w:pPr>
              <w:spacing w:after="0"/>
              <w:rPr>
                <w:sz w:val="11"/>
                <w:szCs w:val="11"/>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97"/>
        </w:trPr>
        <w:tc>
          <w:tcPr>
            <w:tcW w:w="3140" w:type="dxa"/>
            <w:vAlign w:val="bottom"/>
            <w:vMerge w:val="restart"/>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1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7,746</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89,597</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896</w:t>
            </w: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99"/>
              </w:rPr>
              <w:t>(4,899)</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(234,449)</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1,258,830</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(46,774)</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653,184</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1,631,687</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“we,” “our,” “us,” “Company” and “Integra” refer to Integra LifeSciences Holdings Corporation, a Delaware corporation, and its subsidiaries unless the context suggests otherwise.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September 30, 2022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2021 included in the Company’s Annual Report on Form 10-K. The December 31, 2021 consolidated balance sheet was derived from audited financial statements, but does not include all disclosures required by accounting principles generally accepted in the United States. Operating results for the three and nine-month period ended September 30, 2022 are not necessarily indicative of the results to be expected for the entire year.</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is subject to risks and uncertainties as a result of the COVID-19 pandemic, including reductions in capital and overall spending by our customers, increased freight costs, decreased availability of certain raw materials used in certain of our products and labor constraints. The COVID-19 pandemic has had, and may continue to have, an adverse effect on the Company’s business, results of operations, financial condition, and cash flows, and its future impacts remain highly uncertain and unpredictable. Although there was not a material impact to the Company’s consolidated financial statements as of and for the nine months ended September 30, 2022, changes in the Company’s assessment about the length and severity of the pandemic, as well as other factors, could result in actual results differing from estimates. The severity of the impact of the COVID-19 pandemic on the Company's business will depend on a number of factors, including, but not limited to, duration of the pandemic, including resurgences, new variants or strains, impact of government regulations, the speed and effectiveness of vaccine distribution, vaccine adoption rates and the duration of direct and indirect economic effects of the pandemic, containment measures and other macroeconomic factors which could cause a local/or global economic recession. Even after the COVID-19 pandemic and government responses thereto have subsided, residual economic and other effects may have an impact on the demand for post-pandemic surgery levels that are difficult to predict.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Termination Benefits</w:t>
      </w:r>
    </w:p>
    <w:p>
      <w:pPr>
        <w:spacing w:after="0" w:line="114"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The Company incurred employee termination costs on restructuring activities associated with a closure of a manufacturing facility in France, outsourcing plans for select transactional back office activities, and executive reorganization in the consolidated statement of operations for the nine months ended September 30, 2022. The following table summarizes our restructuring related accrual balances included within accrued expenses and other current liabilities in the consolidated balance sheet for the nine months ended September 30, 2022.</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894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500" w:type="dxa"/>
            <w:vAlign w:val="bottom"/>
          </w:tcPr>
          <w:p>
            <w:pPr>
              <w:spacing w:after="0"/>
              <w:rPr>
                <w:sz w:val="15"/>
                <w:szCs w:val="15"/>
                <w:color w:val="auto"/>
              </w:rPr>
            </w:pPr>
          </w:p>
        </w:tc>
        <w:tc>
          <w:tcPr>
            <w:tcW w:w="1280" w:type="dxa"/>
            <w:vAlign w:val="bottom"/>
          </w:tcPr>
          <w:p>
            <w:pPr>
              <w:jc w:val="right"/>
              <w:ind w:right="307"/>
              <w:spacing w:after="0"/>
              <w:rPr>
                <w:sz w:val="20"/>
                <w:szCs w:val="20"/>
                <w:color w:val="auto"/>
              </w:rPr>
            </w:pPr>
            <w:r>
              <w:rPr>
                <w:rFonts w:ascii="Arial" w:cs="Arial" w:eastAsia="Arial" w:hAnsi="Arial"/>
                <w:sz w:val="14"/>
                <w:szCs w:val="14"/>
                <w:b w:val="1"/>
                <w:bCs w:val="1"/>
                <w:color w:val="auto"/>
              </w:rPr>
              <w:t>Amount</w:t>
            </w:r>
          </w:p>
        </w:tc>
      </w:tr>
      <w:tr>
        <w:trPr>
          <w:trHeight w:val="24"/>
        </w:trPr>
        <w:tc>
          <w:tcPr>
            <w:tcW w:w="8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8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31,2021</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spacing w:after="0"/>
              <w:rPr>
                <w:sz w:val="17"/>
                <w:szCs w:val="17"/>
                <w:color w:val="auto"/>
              </w:rPr>
            </w:pPr>
          </w:p>
        </w:tc>
      </w:tr>
      <w:tr>
        <w:trPr>
          <w:trHeight w:val="203"/>
        </w:trPr>
        <w:tc>
          <w:tcPr>
            <w:tcW w:w="8940" w:type="dxa"/>
            <w:vAlign w:val="bottom"/>
          </w:tcPr>
          <w:p>
            <w:pPr>
              <w:ind w:left="20"/>
              <w:spacing w:after="0"/>
              <w:rPr>
                <w:sz w:val="20"/>
                <w:szCs w:val="20"/>
                <w:color w:val="auto"/>
              </w:rPr>
            </w:pPr>
            <w:r>
              <w:rPr>
                <w:rFonts w:ascii="Arial" w:cs="Arial" w:eastAsia="Arial" w:hAnsi="Arial"/>
                <w:sz w:val="15"/>
                <w:szCs w:val="15"/>
                <w:color w:val="auto"/>
              </w:rPr>
              <w:t>Charges:</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8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Goods Sold</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spacing w:after="0"/>
              <w:rPr>
                <w:sz w:val="18"/>
                <w:szCs w:val="18"/>
                <w:color w:val="auto"/>
              </w:rPr>
            </w:pPr>
          </w:p>
        </w:tc>
      </w:tr>
      <w:tr>
        <w:trPr>
          <w:trHeight w:val="203"/>
        </w:trPr>
        <w:tc>
          <w:tcPr>
            <w:tcW w:w="894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8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Payments and other adjustments</w:t>
            </w: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7"/>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30,2022</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spacing w:after="0"/>
              <w:rPr>
                <w:sz w:val="19"/>
                <w:szCs w:val="19"/>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Included in the accrual balance at September 30, 2022 above is $1.8 million related to the closure of a manufacturing facility located in France, $1.7 million related to executive reorganization and $1.2 million related to the outsourcing plans for select transactional back office activities.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Held for Sale</w:t>
      </w:r>
    </w:p>
    <w:p>
      <w:pPr>
        <w:spacing w:after="0" w:line="114" w:lineRule="exact"/>
        <w:rPr>
          <w:sz w:val="20"/>
          <w:szCs w:val="20"/>
          <w:color w:val="auto"/>
        </w:rPr>
      </w:pPr>
    </w:p>
    <w:p>
      <w:pPr>
        <w:jc w:val="both"/>
        <w:ind w:right="100"/>
        <w:spacing w:after="0" w:line="307" w:lineRule="auto"/>
        <w:rPr>
          <w:sz w:val="20"/>
          <w:szCs w:val="20"/>
          <w:color w:val="auto"/>
        </w:rPr>
      </w:pPr>
      <w:r>
        <w:rPr>
          <w:rFonts w:ascii="Arial" w:cs="Arial" w:eastAsia="Arial" w:hAnsi="Arial"/>
          <w:sz w:val="15"/>
          <w:szCs w:val="15"/>
          <w:color w:val="auto"/>
        </w:rPr>
        <w:t>On July 18 2022, the Company entered into a preliminary agreement to sell a manufacturing facility located in France which is expected to close during the fourth quarter of 2022, subject to satisfaction of customary conditions. The Company considered the building to be accounted as held-for-sale as the six criteria under ASC 260 were met during the third quarter of 2022. Assets held for sale are reported at the lower of the carrying amount or fair value less estimated costs to sell and are not depreciated while they are held for sale. The fair value of the business less costs to sell exceeded the related carrying value.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4"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2019-12 as of January 1, 2021. Adoption of the standard requires certain changes to be made prospectively, with some changes to be made retrospectively. The adoption of this guidance did not have a significant impact on the Company's consolidated financial statements and related disclosures.</w:t>
      </w:r>
    </w:p>
    <w:p>
      <w:pPr>
        <w:spacing w:after="0" w:line="66" w:lineRule="exact"/>
        <w:rPr>
          <w:sz w:val="20"/>
          <w:szCs w:val="20"/>
          <w:color w:val="auto"/>
        </w:rPr>
      </w:pPr>
    </w:p>
    <w:p>
      <w:pPr>
        <w:jc w:val="both"/>
        <w:ind w:right="100"/>
        <w:spacing w:after="0" w:line="27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and subsequent amendment to the initial guidance: ASU 2021-01,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Rate Reform </w:t>
      </w:r>
      <w:r>
        <w:rPr>
          <w:rFonts w:ascii="Arial" w:cs="Arial" w:eastAsia="Arial" w:hAnsi="Arial"/>
          <w:sz w:val="16"/>
          <w:szCs w:val="16"/>
          <w:color w:val="auto"/>
        </w:rPr>
        <w:t>(Topic 848): Scope (collectively, “Topic 848”). Topic 848 provides optional expedients and exceptions for applying GAAP to contracts,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The guidance generally can be applied from March 12, 2020 through December 31, 2022. On October 5, 2022, the FASB approved an extension of the sunset date of the reference rate reform from December 31, 2022 to December 31, 2024, past LIBOR’s end date. The Company currently has contracts that are indexed to LIBOR and are continuing to evaluate the scope of impacted contracts and potential risk. The Company is also monitoring the developments regarding alternative rates and may amend certain contracts to accommodate those rates if the contract does not already specify a replacement rate. While the notional value of agreements potentially indexed to LIBOR is material, the Company does not expect a material impact to the consolidated financial statements and related disclosures associated with this transition.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Debt with Conversion and Other Options (Subtopic 470-20) and Derivatives and Hedging-Contracts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815-40):Accounting for Convertible Instruments and Contracts in an Entity's Own Equity</w:t>
      </w:r>
      <w:r>
        <w:rPr>
          <w:rFonts w:ascii="Arial" w:cs="Arial" w:eastAsia="Arial" w:hAnsi="Arial"/>
          <w:sz w:val="17"/>
          <w:szCs w:val="17"/>
          <w:color w:val="auto"/>
        </w:rPr>
        <w:t>. The guidance simplifies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was effective for annual and interim periods beginning after December 15, 2021, and early adoption was permitted for fiscal years beginning after December 15, 2020, and interim periods within those fiscal years using either the modified retrospective or full retrospective method.</w:t>
      </w:r>
    </w:p>
    <w:p>
      <w:pPr>
        <w:spacing w:after="0" w:line="7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As detailed in Note 6, </w:t>
      </w:r>
      <w:r>
        <w:rPr>
          <w:rFonts w:ascii="Arial" w:cs="Arial" w:eastAsia="Arial" w:hAnsi="Arial"/>
          <w:sz w:val="15"/>
          <w:szCs w:val="15"/>
          <w:i w:val="1"/>
          <w:iCs w:val="1"/>
          <w:color w:val="auto"/>
        </w:rPr>
        <w:t>Debt</w:t>
      </w:r>
      <w:r>
        <w:rPr>
          <w:rFonts w:ascii="Arial" w:cs="Arial" w:eastAsia="Arial" w:hAnsi="Arial"/>
          <w:sz w:val="15"/>
          <w:szCs w:val="15"/>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60" w:type="dxa"/>
            <w:vAlign w:val="bottom"/>
            <w:gridSpan w:val="2"/>
          </w:tcPr>
          <w:p>
            <w:pPr>
              <w:ind w:left="2780"/>
              <w:spacing w:after="0"/>
              <w:rPr>
                <w:sz w:val="20"/>
                <w:szCs w:val="20"/>
                <w:color w:val="auto"/>
              </w:rPr>
            </w:pPr>
            <w:r>
              <w:rPr>
                <w:rFonts w:ascii="Arial" w:cs="Arial" w:eastAsia="Arial" w:hAnsi="Arial"/>
                <w:sz w:val="14"/>
                <w:szCs w:val="14"/>
                <w:b w:val="1"/>
                <w:bCs w:val="1"/>
                <w:color w:val="auto"/>
              </w:rPr>
              <w:t>Adjustment</w:t>
            </w:r>
          </w:p>
        </w:tc>
        <w:tc>
          <w:tcPr>
            <w:tcW w:w="3640" w:type="dxa"/>
            <w:vAlign w:val="bottom"/>
          </w:tcPr>
          <w:p>
            <w:pPr>
              <w:ind w:left="580"/>
              <w:spacing w:after="0"/>
              <w:rPr>
                <w:sz w:val="20"/>
                <w:szCs w:val="20"/>
                <w:color w:val="auto"/>
              </w:rPr>
            </w:pPr>
            <w:r>
              <w:rPr>
                <w:rFonts w:ascii="Arial" w:cs="Arial" w:eastAsia="Arial" w:hAnsi="Arial"/>
                <w:sz w:val="14"/>
                <w:szCs w:val="14"/>
                <w:b w:val="1"/>
                <w:bCs w:val="1"/>
                <w:color w:val="auto"/>
              </w:rPr>
              <w:t>Consolidated Balance Sheet Classification</w:t>
            </w:r>
          </w:p>
        </w:tc>
      </w:tr>
      <w:tr>
        <w:trPr>
          <w:trHeight w:val="24"/>
        </w:trPr>
        <w:tc>
          <w:tcPr>
            <w:tcW w:w="6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194"/>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Deferred tax impact of cumulative-effect adjustment</w:t>
            </w:r>
          </w:p>
        </w:tc>
        <w:tc>
          <w:tcPr>
            <w:tcW w:w="3640" w:type="dxa"/>
            <w:vAlign w:val="bottom"/>
          </w:tcPr>
          <w:p>
            <w:pPr>
              <w:ind w:left="20"/>
              <w:spacing w:after="0"/>
              <w:rPr>
                <w:sz w:val="20"/>
                <w:szCs w:val="20"/>
                <w:color w:val="auto"/>
              </w:rPr>
            </w:pPr>
            <w:r>
              <w:rPr>
                <w:rFonts w:ascii="Arial" w:cs="Arial" w:eastAsia="Arial" w:hAnsi="Arial"/>
                <w:sz w:val="15"/>
                <w:szCs w:val="15"/>
                <w:color w:val="auto"/>
              </w:rPr>
              <w:t>Deferred tax liabilities</w:t>
            </w:r>
          </w:p>
        </w:tc>
      </w:tr>
      <w:tr>
        <w:trPr>
          <w:trHeight w:val="206"/>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Debt discount reclassification</w:t>
            </w:r>
          </w:p>
        </w:tc>
        <w:tc>
          <w:tcPr>
            <w:tcW w:w="3640" w:type="dxa"/>
            <w:vAlign w:val="bottom"/>
          </w:tcPr>
          <w:p>
            <w:pPr>
              <w:ind w:left="20"/>
              <w:spacing w:after="0"/>
              <w:rPr>
                <w:sz w:val="20"/>
                <w:szCs w:val="20"/>
                <w:color w:val="auto"/>
              </w:rPr>
            </w:pPr>
            <w:r>
              <w:rPr>
                <w:rFonts w:ascii="Arial" w:cs="Arial" w:eastAsia="Arial" w:hAnsi="Arial"/>
                <w:sz w:val="15"/>
                <w:szCs w:val="15"/>
                <w:color w:val="auto"/>
              </w:rPr>
              <w:t>Long-term convertible securities</w:t>
            </w:r>
          </w:p>
        </w:tc>
      </w:tr>
      <w:tr>
        <w:trPr>
          <w:trHeight w:val="206"/>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Equity issuance costs reclassification</w:t>
            </w:r>
          </w:p>
        </w:tc>
        <w:tc>
          <w:tcPr>
            <w:tcW w:w="3640" w:type="dxa"/>
            <w:vAlign w:val="bottom"/>
          </w:tcPr>
          <w:p>
            <w:pPr>
              <w:ind w:left="20"/>
              <w:spacing w:after="0"/>
              <w:rPr>
                <w:sz w:val="20"/>
                <w:szCs w:val="20"/>
                <w:color w:val="auto"/>
              </w:rPr>
            </w:pPr>
            <w:r>
              <w:rPr>
                <w:rFonts w:ascii="Arial" w:cs="Arial" w:eastAsia="Arial" w:hAnsi="Arial"/>
                <w:sz w:val="15"/>
                <w:szCs w:val="15"/>
                <w:color w:val="auto"/>
              </w:rPr>
              <w:t>Long-term convertible securities</w:t>
            </w:r>
          </w:p>
        </w:tc>
      </w:tr>
      <w:tr>
        <w:trPr>
          <w:trHeight w:val="206"/>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Debt discount amortization and equity costs reclassification, net of tax</w:t>
            </w:r>
          </w:p>
        </w:tc>
        <w:tc>
          <w:tcPr>
            <w:tcW w:w="3640" w:type="dxa"/>
            <w:vAlign w:val="bottom"/>
          </w:tcPr>
          <w:p>
            <w:pPr>
              <w:ind w:left="20"/>
              <w:spacing w:after="0"/>
              <w:rPr>
                <w:sz w:val="20"/>
                <w:szCs w:val="20"/>
                <w:color w:val="auto"/>
              </w:rPr>
            </w:pPr>
            <w:r>
              <w:rPr>
                <w:rFonts w:ascii="Arial" w:cs="Arial" w:eastAsia="Arial" w:hAnsi="Arial"/>
                <w:sz w:val="15"/>
                <w:szCs w:val="15"/>
                <w:color w:val="auto"/>
              </w:rPr>
              <w:t>Retained Earnings</w:t>
            </w:r>
          </w:p>
        </w:tc>
      </w:tr>
      <w:tr>
        <w:trPr>
          <w:trHeight w:val="245"/>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Net impact of cumulative-effect adjustment</w:t>
            </w:r>
          </w:p>
        </w:tc>
        <w:tc>
          <w:tcPr>
            <w:tcW w:w="364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138670"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7138670" cy="155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Amount</w:t>
      </w: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31" w:lineRule="exact"/>
        <w:rPr>
          <w:sz w:val="20"/>
          <w:szCs w:val="20"/>
          <w:color w:val="auto"/>
        </w:rPr>
      </w:pPr>
    </w:p>
    <w:p>
      <w:pPr>
        <w:ind w:left="740" w:hanging="73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(20.6)</w:t>
      </w:r>
    </w:p>
    <w:p>
      <w:pPr>
        <w:spacing w:after="0" w:line="45"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3"/>
          <w:szCs w:val="13"/>
          <w:color w:val="auto"/>
        </w:rPr>
        <w:t>89.1</w:t>
      </w:r>
    </w:p>
    <w:p>
      <w:pPr>
        <w:spacing w:after="0" w:line="56"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3"/>
          <w:szCs w:val="13"/>
          <w:color w:val="auto"/>
        </w:rPr>
        <w:t>(2.5)</w:t>
      </w:r>
    </w:p>
    <w:p>
      <w:pPr>
        <w:spacing w:after="0" w:line="56"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3"/>
          <w:szCs w:val="13"/>
          <w:color w:val="auto"/>
        </w:rPr>
        <w:t>(2.8)</w:t>
      </w:r>
    </w:p>
    <w:p>
      <w:pPr>
        <w:spacing w:after="0" w:line="7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736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660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10000" w:space="100"/>
            <w:col w:w="1140"/>
          </w:cols>
          <w:pgMar w:left="320" w:top="121" w:right="339" w:bottom="1440" w:gutter="0" w:footer="0" w:header="0"/>
          <w:type w:val="continuous"/>
        </w:sectPr>
      </w:pP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December 9, 2020,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 Upon adoption of ASU 2020-06, the Company’s 2025 Notes were reflected entirely as a liability since the embedded conversion feature will no longer be separately presented within stockholders’ equity. Additionally, from January 1, 2021, the Company is no longer incurring non-cash interest expense for the amortization of debt discount.</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by clarifying or improving disclosure requirements to align with the regulations of the U.S. Securities and Exchange Commission (the "SEC"). The ASU has been effective for the Company for annual and interim periods beginning after January 1, 2021. The Company adopted this standard on the January 1, 2021. The adoption of this guidance did not have a significant impact on the Company's consolidated financial statements and related disclosures.</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Debt—Modifications and Extinguishments (Subtopic 470-50),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6"/>
          <w:szCs w:val="16"/>
          <w:color w:val="auto"/>
        </w:rPr>
        <w:t>which provides guidance to clarify and reduce diversity in an issuer’s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had no impact to the Company as the effect will largely depend on the terms of written call options or financings issued or modified in the future.</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ACQUISITIONS AND DIVESTITURES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non-core traditional wound care business</w:t>
      </w:r>
    </w:p>
    <w:p>
      <w:pPr>
        <w:spacing w:after="0" w:line="11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August 31, 2022, the Company completed its previously announced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w:t>
      </w:r>
      <w:r>
        <w:rPr>
          <w:rFonts w:ascii="Arial" w:cs="Arial" w:eastAsia="Arial" w:hAnsi="Arial"/>
          <w:sz w:val="15"/>
          <w:szCs w:val="15"/>
          <w:i w:val="1"/>
          <w:iCs w:val="1"/>
          <w:color w:val="auto"/>
        </w:rPr>
        <w:t>.</w:t>
      </w:r>
      <w:r>
        <w:rPr>
          <w:rFonts w:ascii="Arial" w:cs="Arial" w:eastAsia="Arial" w:hAnsi="Arial"/>
          <w:sz w:val="15"/>
          <w:szCs w:val="15"/>
          <w:color w:val="auto"/>
        </w:rPr>
        <w:t xml:space="preserve"> The transaction included the sale of the Company's TWC products, such as sponges, gauze and conforming bandages, and certain advanced wound care dressings, such as supportive, calcium alginate, hydrogel, and foam dressings.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divestiture did not represent a strategic shift that had a major effect on the Company's operations and financial statements. Goodwill was allocated to the assets and liabilities divested using the relative fair value method of the TWC business to the Company's Tissue Technologies reportable business segment. In connection with the sale, the Company recognized $0.6 million as a gain from the sale of the business in the consolidated statement of operations for the nine months ended September 30, 2022. The transaction is subject to final working capital adjustments.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the purchase and sale agreement, the Company also entered into a contract manufacturing agreement with Gentell. Under the terms of the agreement, Gentell received inventory, equipment, and tooling to manufacture certain MediHoney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TCC-EZ</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on behalf of the Company. On the close date of this transaction, the Company transferred all inventory associated with these products to Gentell and subsequently recognized a prepaid asset of $11.1 million, as a form of a deposit for the inventory transferred. Based on the expected timing of inventory purchases, $8.3 million was included within prepaid expenses and other current assets and $2.8 million within other assets in the consolidated balance sheet. This deposit will be utilized by the Company on future orders placed to Gentell for such products.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Extremity Orthopedics Business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January 4, 2021, the Company completed the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the CFO relating to the development of shoulder arthroplasty products.</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divestiture did not represent a strategic shift that had a major effect on the Company's operations and financial statements. Goodwill was allocated to the assets and liabilities divested using the relative fair value method of the Extremity Orthopedics business to the Company's Tissue Technologies reportable business segment. In connection with the sale, the Company recognized a $41.8 million as a gain from the sale of the business in the consolidated statement of operations for the year ended December 31, 2021. The Company finalized the net working capital with Smith &amp; Nephew as of December 31, 2021.</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also entered into a transition services agreement ("TSA") with Smith &amp; Nephew which requires the Company to provide certain services on behalf of Smith &amp; Nephew for the duration of the period subsequent to the sale of the business as defined in the TSA. The Company recognized a payable due to Smith &amp; Nephew of $3.0 million as of September 30, 2022, which is included in the consolidated balance sheets within accrued expenses and other current liabilities. The TSA includes services such as invoicing and cash collections from customers on behalf of Smith &amp; Nephew. As of September 30, 2022, the Company has concluded the majority of the transition services agreement, pending final payment.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ACell, Inc. Acquisition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January 20, 2021, the Company acquired ACell, Inc. (the "ACell Acquisition") for a total purchase price of $306.9 million plus contingent consideration of up to $100 million, which may be payable upon the Company achieving certain revenue-based performance milestones in 2022, 2023 and 2025. The final working capital adjustments of $1.3 million was finalized and paid as of June 30, 2021. Prior to the acquisition,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Acquired and Liabilities Assumed at Fair Value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final fair values of the assets acquired and liabilities assumed at the acquisition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Arial" w:cs="Arial" w:eastAsia="Arial" w:hAnsi="Arial"/>
                <w:sz w:val="14"/>
                <w:szCs w:val="14"/>
                <w:b w:val="1"/>
                <w:bCs w:val="1"/>
                <w:color w:val="auto"/>
              </w:rPr>
              <w:t>Final Valuation</w:t>
            </w:r>
          </w:p>
        </w:tc>
        <w:tc>
          <w:tcPr>
            <w:tcW w:w="100" w:type="dxa"/>
            <w:vAlign w:val="bottom"/>
          </w:tcPr>
          <w:p>
            <w:pPr>
              <w:spacing w:after="0"/>
              <w:rPr>
                <w:sz w:val="15"/>
                <w:szCs w:val="15"/>
                <w:color w:val="auto"/>
              </w:rPr>
            </w:pPr>
          </w:p>
        </w:tc>
        <w:tc>
          <w:tcPr>
            <w:tcW w:w="1740" w:type="dxa"/>
            <w:vAlign w:val="bottom"/>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24"/>
        </w:trPr>
        <w:tc>
          <w:tcPr>
            <w:tcW w:w="7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6"/>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Cash</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2,726</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Trade accounts receivable, net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Inventories, net</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18,299</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6"/>
        </w:trPr>
        <w:tc>
          <w:tcPr>
            <w:tcW w:w="7360" w:type="dxa"/>
            <w:vAlign w:val="bottom"/>
          </w:tcPr>
          <w:p>
            <w:pPr>
              <w:ind w:left="220"/>
              <w:spacing w:after="0"/>
              <w:rPr>
                <w:sz w:val="20"/>
                <w:szCs w:val="20"/>
                <w:color w:val="auto"/>
              </w:rPr>
            </w:pPr>
            <w:r>
              <w:rPr>
                <w:rFonts w:ascii="Arial" w:cs="Arial" w:eastAsia="Arial" w:hAnsi="Arial"/>
                <w:sz w:val="15"/>
                <w:szCs w:val="15"/>
                <w:color w:val="auto"/>
              </w:rPr>
              <w:t>Total current assets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38,992</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245,000</w:t>
            </w:r>
          </w:p>
        </w:tc>
        <w:tc>
          <w:tcPr>
            <w:tcW w:w="100" w:type="dxa"/>
            <w:vAlign w:val="bottom"/>
          </w:tcPr>
          <w:p>
            <w:pPr>
              <w:spacing w:after="0"/>
              <w:rPr>
                <w:sz w:val="17"/>
                <w:szCs w:val="17"/>
                <w:color w:val="auto"/>
              </w:rPr>
            </w:pPr>
          </w:p>
        </w:tc>
        <w:tc>
          <w:tcPr>
            <w:tcW w:w="1740" w:type="dxa"/>
            <w:vAlign w:val="bottom"/>
          </w:tcPr>
          <w:p>
            <w:pPr>
              <w:ind w:left="1000"/>
              <w:spacing w:after="0"/>
              <w:rPr>
                <w:sz w:val="20"/>
                <w:szCs w:val="20"/>
                <w:color w:val="auto"/>
              </w:rPr>
            </w:pPr>
            <w:r>
              <w:rPr>
                <w:rFonts w:ascii="Arial" w:cs="Arial" w:eastAsia="Arial" w:hAnsi="Arial"/>
                <w:sz w:val="15"/>
                <w:szCs w:val="15"/>
                <w:color w:val="auto"/>
                <w:w w:val="90"/>
              </w:rPr>
              <w:t>13-14 years</w:t>
            </w: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94,147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Right of use asset - operating leases</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9,259</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r>
      <w:tr>
        <w:trPr>
          <w:trHeight w:val="202"/>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 acquired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408,780</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6"/>
        </w:trPr>
        <w:tc>
          <w:tcPr>
            <w:tcW w:w="7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6"/>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718</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expenses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Current portion of lease liability - operating leases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r>
      <w:tr>
        <w:trPr>
          <w:trHeight w:val="202"/>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8,357</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Other long-term liability</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 liability - operating leases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Deferred tax liability</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61,724</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7"/>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Total liabilities assumed</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101,842</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8"/>
        </w:trPr>
        <w:tc>
          <w:tcPr>
            <w:tcW w:w="7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7"/>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Net assets acquired</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306,938</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allocated goodwill related to the ACell acquisition to the Tissue Technologies reportable business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Consideration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ACell Acquisition, the Company is required to make payments to the former shareholders of ACell up to $100 million based on the achievement by the Company of certain revenue-based performance milestones in 2022,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September 30, 2022 was $5.0 million. The Company recorded $5.0 million and $23.0 million in other liabilities at September 30, 2022 and September 30, 2021, respectively, in the consolidated balance sheets of the Company. The change in the fair value of the contingent obligation was primarily as a result of changes in the timing and amount of revenue estimates.</w:t>
      </w:r>
    </w:p>
    <w:p>
      <w:pPr>
        <w:spacing w:after="0" w:line="8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determined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obligations are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Tax Liabilities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REVENUES FROM CONTRACTS WITH CUSTOMERS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Accounting Policies on Revenue Recognition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Obligations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Judgments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The Company estimates returns, price concessions, and discount allowances using the expected value method based on historical trends and other known factors.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Rebate allowances are estimated using the most likely method based on each customer contract.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return policy, as set forth in its product catalogs and sales invoices, requires review and authorization in advance prior to the return of product.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Upon the authorization, a credit will be issued for the goods returned within a set amount of days from the shipment, which is generally ninety days.</w:t>
      </w:r>
    </w:p>
    <w:p>
      <w:pPr>
        <w:spacing w:after="0" w:line="9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the third quarter of 2022, due to the voluntary recall of the CereLink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intracranial pressure monitors, the Company recorded a $1.5 million provision for product returns, as a reduction of net revenue, and a $0.8 million rework accrual in cost of goods sold.</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Asset and Liability</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summarized the changes in the contract asset and liability balances for the nine months ended September 30, 2022: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9100" w:type="dxa"/>
            <w:vAlign w:val="bottom"/>
            <w:gridSpan w:val="3"/>
          </w:tcPr>
          <w:p>
            <w:pPr>
              <w:ind w:left="20"/>
              <w:spacing w:after="0"/>
              <w:rPr>
                <w:sz w:val="20"/>
                <w:szCs w:val="20"/>
                <w:color w:val="auto"/>
              </w:rPr>
            </w:pPr>
            <w:r>
              <w:rPr>
                <w:rFonts w:ascii="Arial" w:cs="Arial" w:eastAsia="Arial" w:hAnsi="Arial"/>
                <w:sz w:val="14"/>
                <w:szCs w:val="14"/>
                <w:color w:val="auto"/>
              </w:rPr>
              <w:t>Dollars in thousands</w:t>
            </w:r>
          </w:p>
        </w:tc>
        <w:tc>
          <w:tcPr>
            <w:tcW w:w="500" w:type="dxa"/>
            <w:vAlign w:val="bottom"/>
          </w:tcPr>
          <w:p>
            <w:pPr>
              <w:spacing w:after="0"/>
              <w:rPr>
                <w:sz w:val="15"/>
                <w:szCs w:val="15"/>
                <w:color w:val="auto"/>
              </w:rPr>
            </w:pPr>
          </w:p>
        </w:tc>
        <w:tc>
          <w:tcPr>
            <w:tcW w:w="1640" w:type="dxa"/>
            <w:vAlign w:val="bottom"/>
          </w:tcPr>
          <w:p>
            <w:pPr>
              <w:jc w:val="right"/>
              <w:ind w:right="844"/>
              <w:spacing w:after="0"/>
              <w:rPr>
                <w:sz w:val="20"/>
                <w:szCs w:val="20"/>
                <w:color w:val="auto"/>
              </w:rPr>
            </w:pPr>
            <w:r>
              <w:rPr>
                <w:rFonts w:ascii="Arial" w:cs="Arial" w:eastAsia="Arial" w:hAnsi="Arial"/>
                <w:sz w:val="14"/>
                <w:szCs w:val="14"/>
                <w:b w:val="1"/>
                <w:bCs w:val="1"/>
                <w:color w:val="auto"/>
              </w:rPr>
              <w:t>Total</w:t>
            </w:r>
          </w:p>
        </w:tc>
      </w:tr>
      <w:tr>
        <w:trPr>
          <w:trHeight w:val="24"/>
        </w:trPr>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66"/>
        </w:trPr>
        <w:tc>
          <w:tcPr>
            <w:tcW w:w="940" w:type="dxa"/>
            <w:vAlign w:val="bottom"/>
            <w:tcBorders>
              <w:left w:val="single" w:sz="8" w:color="CCEEFF"/>
              <w:bottom w:val="single" w:sz="8" w:color="auto"/>
            </w:tcBorders>
            <w:shd w:val="clear" w:color="auto" w:fill="CCEEFF"/>
          </w:tcPr>
          <w:p>
            <w:pPr>
              <w:ind w:left="20"/>
              <w:spacing w:after="0" w:line="148" w:lineRule="exact"/>
              <w:rPr>
                <w:sz w:val="20"/>
                <w:szCs w:val="20"/>
                <w:color w:val="auto"/>
              </w:rPr>
            </w:pPr>
            <w:r>
              <w:rPr>
                <w:rFonts w:ascii="Arial" w:cs="Arial" w:eastAsia="Arial" w:hAnsi="Arial"/>
                <w:sz w:val="15"/>
                <w:szCs w:val="15"/>
                <w:color w:val="auto"/>
                <w:w w:val="91"/>
              </w:rPr>
              <w:t>Contract Asset</w:t>
            </w:r>
          </w:p>
        </w:tc>
        <w:tc>
          <w:tcPr>
            <w:tcW w:w="816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r>
      <w:tr>
        <w:trPr>
          <w:trHeight w:val="203"/>
        </w:trPr>
        <w:tc>
          <w:tcPr>
            <w:tcW w:w="9100" w:type="dxa"/>
            <w:vAlign w:val="bottom"/>
            <w:gridSpan w:val="3"/>
          </w:tcPr>
          <w:p>
            <w:pPr>
              <w:ind w:left="220"/>
              <w:spacing w:after="0"/>
              <w:rPr>
                <w:sz w:val="20"/>
                <w:szCs w:val="20"/>
                <w:color w:val="auto"/>
              </w:rPr>
            </w:pPr>
            <w:r>
              <w:rPr>
                <w:rFonts w:ascii="Arial" w:cs="Arial" w:eastAsia="Arial" w:hAnsi="Arial"/>
                <w:sz w:val="15"/>
                <w:szCs w:val="15"/>
                <w:color w:val="auto"/>
              </w:rPr>
              <w:t>Contract asset, January 1, 2022</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11,412</w:t>
            </w:r>
          </w:p>
        </w:tc>
      </w:tr>
      <w:tr>
        <w:trPr>
          <w:trHeight w:val="209"/>
        </w:trPr>
        <w:tc>
          <w:tcPr>
            <w:tcW w:w="9100" w:type="dxa"/>
            <w:vAlign w:val="bottom"/>
            <w:tcBorders>
              <w:left w:val="single" w:sz="8" w:color="CCEEFF"/>
            </w:tcBorders>
            <w:gridSpan w:val="3"/>
            <w:shd w:val="clear" w:color="auto" w:fill="CCEEFF"/>
          </w:tcPr>
          <w:p>
            <w:pPr>
              <w:ind w:left="600"/>
              <w:spacing w:after="0"/>
              <w:rPr>
                <w:sz w:val="20"/>
                <w:szCs w:val="20"/>
                <w:color w:val="auto"/>
              </w:rPr>
            </w:pPr>
            <w:r>
              <w:rPr>
                <w:rFonts w:ascii="Arial" w:cs="Arial" w:eastAsia="Arial" w:hAnsi="Arial"/>
                <w:sz w:val="15"/>
                <w:szCs w:val="15"/>
                <w:color w:val="auto"/>
              </w:rPr>
              <w:t>Transferred to trade receivable of contract asset included in beginning of the year contract asset</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(11,412)</w:t>
            </w:r>
          </w:p>
        </w:tc>
      </w:tr>
      <w:tr>
        <w:trPr>
          <w:trHeight w:val="203"/>
        </w:trPr>
        <w:tc>
          <w:tcPr>
            <w:tcW w:w="9100" w:type="dxa"/>
            <w:vAlign w:val="bottom"/>
            <w:tcBorders>
              <w:bottom w:val="single" w:sz="8" w:color="CCEEFF"/>
            </w:tcBorders>
            <w:gridSpan w:val="3"/>
          </w:tcPr>
          <w:p>
            <w:pPr>
              <w:ind w:left="600"/>
              <w:spacing w:after="0"/>
              <w:rPr>
                <w:sz w:val="20"/>
                <w:szCs w:val="20"/>
                <w:color w:val="auto"/>
              </w:rPr>
            </w:pPr>
            <w:r>
              <w:rPr>
                <w:rFonts w:ascii="Arial" w:cs="Arial" w:eastAsia="Arial" w:hAnsi="Arial"/>
                <w:sz w:val="15"/>
                <w:szCs w:val="15"/>
                <w:color w:val="auto"/>
              </w:rPr>
              <w:t>Contract asset, net of transferred to trade receivables on contracts during the period</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6,281</w:t>
            </w:r>
          </w:p>
        </w:tc>
      </w:tr>
      <w:tr>
        <w:trPr>
          <w:trHeight w:val="227"/>
        </w:trPr>
        <w:tc>
          <w:tcPr>
            <w:tcW w:w="910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5"/>
                <w:szCs w:val="15"/>
                <w:color w:val="auto"/>
              </w:rPr>
              <w:t>Contract asset, September 30, 2022</w:t>
            </w:r>
          </w:p>
        </w:tc>
        <w:tc>
          <w:tcPr>
            <w:tcW w:w="50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6,281</w:t>
            </w: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68"/>
        </w:trPr>
        <w:tc>
          <w:tcPr>
            <w:tcW w:w="9100" w:type="dxa"/>
            <w:vAlign w:val="bottom"/>
            <w:tcBorders>
              <w:left w:val="single" w:sz="8" w:color="CCEEFF"/>
            </w:tcBorders>
            <w:gridSpan w:val="3"/>
            <w:shd w:val="clear" w:color="auto" w:fill="CCEEFF"/>
          </w:tcPr>
          <w:p>
            <w:pPr>
              <w:ind w:left="20"/>
              <w:spacing w:after="0" w:line="168" w:lineRule="exact"/>
              <w:rPr>
                <w:sz w:val="20"/>
                <w:szCs w:val="20"/>
                <w:color w:val="auto"/>
              </w:rPr>
            </w:pPr>
            <w:r>
              <w:rPr>
                <w:rFonts w:ascii="Arial" w:cs="Arial" w:eastAsia="Arial" w:hAnsi="Arial"/>
                <w:sz w:val="15"/>
                <w:szCs w:val="15"/>
                <w:color w:val="auto"/>
              </w:rPr>
              <w:t>Contract Liability</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39"/>
        </w:trPr>
        <w:tc>
          <w:tcPr>
            <w:tcW w:w="940" w:type="dxa"/>
            <w:vAlign w:val="bottom"/>
            <w:tcBorders>
              <w:left w:val="single" w:sz="8" w:color="CCEEFF"/>
            </w:tcBorders>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9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03"/>
        </w:trPr>
        <w:tc>
          <w:tcPr>
            <w:tcW w:w="9100" w:type="dxa"/>
            <w:vAlign w:val="bottom"/>
            <w:gridSpan w:val="3"/>
          </w:tcPr>
          <w:p>
            <w:pPr>
              <w:ind w:left="220"/>
              <w:spacing w:after="0"/>
              <w:rPr>
                <w:sz w:val="20"/>
                <w:szCs w:val="20"/>
                <w:color w:val="auto"/>
              </w:rPr>
            </w:pPr>
            <w:r>
              <w:rPr>
                <w:rFonts w:ascii="Arial" w:cs="Arial" w:eastAsia="Arial" w:hAnsi="Arial"/>
                <w:sz w:val="15"/>
                <w:szCs w:val="15"/>
                <w:color w:val="auto"/>
              </w:rPr>
              <w:t>Contract liability, January 1, 2022</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11,946</w:t>
            </w:r>
          </w:p>
        </w:tc>
      </w:tr>
      <w:tr>
        <w:trPr>
          <w:trHeight w:val="209"/>
        </w:trPr>
        <w:tc>
          <w:tcPr>
            <w:tcW w:w="9100" w:type="dxa"/>
            <w:vAlign w:val="bottom"/>
            <w:tcBorders>
              <w:left w:val="single" w:sz="8" w:color="CCEEFF"/>
            </w:tcBorders>
            <w:gridSpan w:val="3"/>
            <w:shd w:val="clear" w:color="auto" w:fill="CCEEFF"/>
          </w:tcPr>
          <w:p>
            <w:pPr>
              <w:ind w:left="600"/>
              <w:spacing w:after="0"/>
              <w:rPr>
                <w:sz w:val="20"/>
                <w:szCs w:val="20"/>
                <w:color w:val="auto"/>
              </w:rPr>
            </w:pPr>
            <w:r>
              <w:rPr>
                <w:rFonts w:ascii="Arial" w:cs="Arial" w:eastAsia="Arial" w:hAnsi="Arial"/>
                <w:sz w:val="15"/>
                <w:szCs w:val="15"/>
                <w:color w:val="auto"/>
              </w:rPr>
              <w:t>Recognition of revenue included in beginning of year contract liability</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(6,054)</w:t>
            </w:r>
          </w:p>
        </w:tc>
      </w:tr>
      <w:tr>
        <w:trPr>
          <w:trHeight w:val="203"/>
        </w:trPr>
        <w:tc>
          <w:tcPr>
            <w:tcW w:w="9100" w:type="dxa"/>
            <w:vAlign w:val="bottom"/>
            <w:gridSpan w:val="3"/>
          </w:tcPr>
          <w:p>
            <w:pPr>
              <w:ind w:left="600"/>
              <w:spacing w:after="0"/>
              <w:rPr>
                <w:sz w:val="20"/>
                <w:szCs w:val="20"/>
                <w:color w:val="auto"/>
              </w:rPr>
            </w:pPr>
            <w:r>
              <w:rPr>
                <w:rFonts w:ascii="Arial" w:cs="Arial" w:eastAsia="Arial" w:hAnsi="Arial"/>
                <w:sz w:val="15"/>
                <w:szCs w:val="15"/>
                <w:color w:val="auto"/>
              </w:rPr>
              <w:t>Contract liability, net of revenue recognized on contracts during the period</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8,534</w:t>
            </w:r>
          </w:p>
        </w:tc>
      </w:tr>
      <w:tr>
        <w:trPr>
          <w:trHeight w:val="206"/>
        </w:trPr>
        <w:tc>
          <w:tcPr>
            <w:tcW w:w="9100" w:type="dxa"/>
            <w:vAlign w:val="bottom"/>
            <w:tcBorders>
              <w:left w:val="single" w:sz="8" w:color="CCEEFF"/>
            </w:tcBorders>
            <w:gridSpan w:val="3"/>
            <w:shd w:val="clear" w:color="auto" w:fill="CCEEFF"/>
          </w:tcPr>
          <w:p>
            <w:pPr>
              <w:ind w:left="600"/>
              <w:spacing w:after="0"/>
              <w:rPr>
                <w:sz w:val="20"/>
                <w:szCs w:val="20"/>
                <w:color w:val="auto"/>
              </w:rPr>
            </w:pPr>
            <w:r>
              <w:rPr>
                <w:rFonts w:ascii="Arial" w:cs="Arial" w:eastAsia="Arial" w:hAnsi="Arial"/>
                <w:sz w:val="15"/>
                <w:szCs w:val="15"/>
                <w:color w:val="auto"/>
              </w:rPr>
              <w:t>Foreign currency translation</w:t>
            </w:r>
          </w:p>
        </w:tc>
        <w:tc>
          <w:tcPr>
            <w:tcW w:w="5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w:t>
            </w:r>
          </w:p>
        </w:tc>
      </w:tr>
      <w:tr>
        <w:trPr>
          <w:trHeight w:val="202"/>
        </w:trPr>
        <w:tc>
          <w:tcPr>
            <w:tcW w:w="9100" w:type="dxa"/>
            <w:vAlign w:val="bottom"/>
            <w:gridSpan w:val="3"/>
          </w:tcPr>
          <w:p>
            <w:pPr>
              <w:ind w:left="220"/>
              <w:spacing w:after="0"/>
              <w:rPr>
                <w:sz w:val="20"/>
                <w:szCs w:val="20"/>
                <w:color w:val="auto"/>
              </w:rPr>
            </w:pPr>
            <w:r>
              <w:rPr>
                <w:rFonts w:ascii="Arial" w:cs="Arial" w:eastAsia="Arial" w:hAnsi="Arial"/>
                <w:sz w:val="15"/>
                <w:szCs w:val="15"/>
                <w:color w:val="auto"/>
              </w:rPr>
              <w:t>Contract liability, September 30, 2022</w:t>
            </w:r>
          </w:p>
        </w:tc>
        <w:tc>
          <w:tcPr>
            <w:tcW w:w="5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14,306</w:t>
            </w: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2022, the short-term portion of the contract liability of $6.4 million and the long-term portion of $7.9 million is included in current liabilities and other liabilities, respectively, in the consolidated balance sheets.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the Company is expected to recognize revenue of approximately 44% of unsatisfied (or partially unsatisfied) performance obligations as revenue within twelve months, with the remaining balance to be recognized thereafter.</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 Fees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 Collected from Customers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elected to exclude from the measurement of the transaction price all taxes assessed by a governmental authority that are both imposed on and concurrent with a specific revenue-producing transaction and collected by the Company from a customer.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Disaggregated Revenue</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presents revenues disaggregated by the major sources of revenues for the three and nine months ended September 30, 2022 and 2021 (dollar 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Nine Months Ended September</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Nine Months Ended September</w:t>
            </w:r>
          </w:p>
        </w:tc>
      </w:tr>
      <w:tr>
        <w:trPr>
          <w:trHeight w:val="184"/>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September 30, 2022</w:t>
            </w:r>
          </w:p>
        </w:tc>
        <w:tc>
          <w:tcPr>
            <w:tcW w:w="22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September 30, 2021</w:t>
            </w:r>
          </w:p>
        </w:tc>
        <w:tc>
          <w:tcPr>
            <w:tcW w:w="420" w:type="dxa"/>
            <w:vAlign w:val="bottom"/>
          </w:tcPr>
          <w:p>
            <w:pPr>
              <w:spacing w:after="0"/>
              <w:rPr>
                <w:sz w:val="16"/>
                <w:szCs w:val="16"/>
                <w:color w:val="auto"/>
              </w:rPr>
            </w:pPr>
          </w:p>
        </w:tc>
        <w:tc>
          <w:tcPr>
            <w:tcW w:w="1520" w:type="dxa"/>
            <w:vAlign w:val="bottom"/>
          </w:tcPr>
          <w:p>
            <w:pPr>
              <w:jc w:val="right"/>
              <w:ind w:right="644"/>
              <w:spacing w:after="0"/>
              <w:rPr>
                <w:sz w:val="20"/>
                <w:szCs w:val="20"/>
                <w:color w:val="auto"/>
              </w:rPr>
            </w:pPr>
            <w:r>
              <w:rPr>
                <w:rFonts w:ascii="Arial" w:cs="Arial" w:eastAsia="Arial" w:hAnsi="Arial"/>
                <w:sz w:val="14"/>
                <w:szCs w:val="14"/>
                <w:b w:val="1"/>
                <w:bCs w:val="1"/>
                <w:color w:val="auto"/>
              </w:rPr>
              <w:t>30, 2022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ind w:right="644"/>
              <w:spacing w:after="0"/>
              <w:rPr>
                <w:sz w:val="20"/>
                <w:szCs w:val="20"/>
                <w:color w:val="auto"/>
              </w:rPr>
            </w:pPr>
            <w:r>
              <w:rPr>
                <w:rFonts w:ascii="Arial" w:cs="Arial" w:eastAsia="Arial" w:hAnsi="Arial"/>
                <w:sz w:val="14"/>
                <w:szCs w:val="14"/>
                <w:b w:val="1"/>
                <w:bCs w:val="1"/>
                <w:color w:val="auto"/>
              </w:rPr>
              <w:t>30, 2021</w:t>
            </w:r>
          </w:p>
        </w:tc>
      </w:tr>
      <w:tr>
        <w:trPr>
          <w:trHeight w:val="205"/>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Neurosurgery</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193,848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199,210</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588,818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591,064</w:t>
            </w:r>
          </w:p>
        </w:tc>
      </w:tr>
      <w:tr>
        <w:trPr>
          <w:trHeight w:val="20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Instruments</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55,948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57,287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166,149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163,511</w:t>
            </w:r>
          </w:p>
        </w:tc>
      </w:tr>
      <w:tr>
        <w:trPr>
          <w:trHeight w:val="202"/>
        </w:trPr>
        <w:tc>
          <w:tcPr>
            <w:tcW w:w="3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Codman Specialty Surgical</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249,796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256,497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754,967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754,575</w:t>
            </w:r>
          </w:p>
        </w:tc>
      </w:tr>
      <w:tr>
        <w:trPr>
          <w:trHeight w:val="206"/>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6"/>
        </w:trPr>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Wound Reconstruction and Care</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104,625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99,744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304,149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291,058</w:t>
            </w:r>
          </w:p>
        </w:tc>
      </w:tr>
      <w:tr>
        <w:trPr>
          <w:trHeight w:val="20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Private Label</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30,770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30,620</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100,528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91,291</w:t>
            </w:r>
          </w:p>
        </w:tc>
      </w:tr>
      <w:tr>
        <w:trPr>
          <w:trHeight w:val="202"/>
        </w:trPr>
        <w:tc>
          <w:tcPr>
            <w:tcW w:w="3180" w:type="dxa"/>
            <w:vAlign w:val="bottom"/>
            <w:shd w:val="clear" w:color="auto" w:fill="CCEEFF"/>
          </w:tcPr>
          <w:p>
            <w:pPr>
              <w:ind w:left="220"/>
              <w:spacing w:after="0" w:line="202" w:lineRule="exact"/>
              <w:rPr>
                <w:sz w:val="20"/>
                <w:szCs w:val="20"/>
                <w:color w:val="auto"/>
              </w:rPr>
            </w:pPr>
            <w:r>
              <w:rPr>
                <w:rFonts w:ascii="Arial" w:cs="Arial" w:eastAsia="Arial" w:hAnsi="Arial"/>
                <w:sz w:val="15"/>
                <w:szCs w:val="15"/>
                <w:color w:val="auto"/>
              </w:rPr>
              <w:t xml:space="preserve">Total Tissue Technologies </w:t>
            </w:r>
            <w:r>
              <w:rPr>
                <w:rFonts w:ascii="Arial" w:cs="Arial" w:eastAsia="Arial" w:hAnsi="Arial"/>
                <w:sz w:val="20"/>
                <w:szCs w:val="20"/>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135,395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130,364</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404,677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382,349</w:t>
            </w:r>
          </w:p>
        </w:tc>
      </w:tr>
      <w:tr>
        <w:trPr>
          <w:trHeight w:val="199"/>
        </w:trPr>
        <w:tc>
          <w:tcPr>
            <w:tcW w:w="3180" w:type="dxa"/>
            <w:vAlign w:val="bottom"/>
          </w:tcPr>
          <w:p>
            <w:pPr>
              <w:ind w:left="220"/>
              <w:spacing w:after="0"/>
              <w:rPr>
                <w:sz w:val="20"/>
                <w:szCs w:val="20"/>
                <w:color w:val="auto"/>
              </w:rPr>
            </w:pPr>
            <w:r>
              <w:rPr>
                <w:rFonts w:ascii="Arial" w:cs="Arial" w:eastAsia="Arial" w:hAnsi="Arial"/>
                <w:sz w:val="15"/>
                <w:szCs w:val="15"/>
                <w:color w:val="auto"/>
              </w:rPr>
              <w:t>Total revenue</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385,191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386,861</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1,159,644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1,136,924</w:t>
            </w: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160" w:hanging="157"/>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 xml:space="preserve">On August 31, 2022, the Company completed the sale of its non-core traditional wound care ("TWC") business. See Note 2, </w:t>
      </w:r>
      <w:r>
        <w:rPr>
          <w:rFonts w:ascii="Arial" w:cs="Arial" w:eastAsia="Arial" w:hAnsi="Arial"/>
          <w:sz w:val="15"/>
          <w:szCs w:val="15"/>
          <w:i w:val="1"/>
          <w:iCs w:val="1"/>
          <w:color w:val="auto"/>
        </w:rPr>
        <w:t>Acquisitions and Divestitures.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15, </w:t>
      </w:r>
      <w:r>
        <w:rPr>
          <w:rFonts w:ascii="Arial" w:cs="Arial" w:eastAsia="Arial" w:hAnsi="Arial"/>
          <w:sz w:val="17"/>
          <w:szCs w:val="17"/>
          <w:i w:val="1"/>
          <w:iCs w:val="1"/>
          <w:color w:val="auto"/>
        </w:rPr>
        <w:t>Segment and Geographical Information</w:t>
      </w:r>
      <w:r>
        <w:rPr>
          <w:rFonts w:ascii="Arial" w:cs="Arial" w:eastAsia="Arial" w:hAnsi="Arial"/>
          <w:sz w:val="17"/>
          <w:szCs w:val="17"/>
          <w:color w:val="auto"/>
        </w:rPr>
        <w:t>, for details of revenues based on the location of the customer.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INVENTORIES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540" w:type="dxa"/>
            <w:vAlign w:val="bottom"/>
          </w:tcPr>
          <w:p>
            <w:pPr>
              <w:jc w:val="right"/>
              <w:ind w:right="244"/>
              <w:spacing w:after="0"/>
              <w:rPr>
                <w:sz w:val="20"/>
                <w:szCs w:val="20"/>
                <w:color w:val="auto"/>
              </w:rPr>
            </w:pPr>
            <w:r>
              <w:rPr>
                <w:rFonts w:ascii="Arial" w:cs="Arial" w:eastAsia="Arial" w:hAnsi="Arial"/>
                <w:sz w:val="14"/>
                <w:szCs w:val="14"/>
                <w:b w:val="1"/>
                <w:bCs w:val="1"/>
                <w:color w:val="auto"/>
                <w:w w:val="95"/>
              </w:rPr>
              <w:t>December 31, 2021</w:t>
            </w:r>
          </w:p>
        </w:tc>
      </w:tr>
      <w:tr>
        <w:trPr>
          <w:trHeight w:val="24"/>
        </w:trPr>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Finished goods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162,528</w:t>
            </w:r>
          </w:p>
        </w:tc>
      </w:tr>
      <w:tr>
        <w:trPr>
          <w:trHeight w:val="203"/>
        </w:trPr>
        <w:tc>
          <w:tcPr>
            <w:tcW w:w="7640" w:type="dxa"/>
            <w:vAlign w:val="bottom"/>
          </w:tcPr>
          <w:p>
            <w:pPr>
              <w:ind w:left="20"/>
              <w:spacing w:after="0"/>
              <w:rPr>
                <w:sz w:val="20"/>
                <w:szCs w:val="20"/>
                <w:color w:val="auto"/>
              </w:rPr>
            </w:pPr>
            <w:r>
              <w:rPr>
                <w:rFonts w:ascii="Arial" w:cs="Arial" w:eastAsia="Arial" w:hAnsi="Arial"/>
                <w:sz w:val="15"/>
                <w:szCs w:val="15"/>
                <w:color w:val="auto"/>
              </w:rPr>
              <w:t>Work in process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73,326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65,323</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Raw materials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74,574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89,535</w:t>
            </w:r>
          </w:p>
        </w:tc>
      </w:tr>
      <w:tr>
        <w:trPr>
          <w:trHeight w:val="196"/>
        </w:trPr>
        <w:tc>
          <w:tcPr>
            <w:tcW w:w="7640" w:type="dxa"/>
            <w:vAlign w:val="bottom"/>
          </w:tcPr>
          <w:p>
            <w:pPr>
              <w:ind w:left="20"/>
              <w:spacing w:after="0"/>
              <w:rPr>
                <w:sz w:val="20"/>
                <w:szCs w:val="20"/>
                <w:color w:val="auto"/>
              </w:rPr>
            </w:pPr>
            <w:r>
              <w:rPr>
                <w:rFonts w:ascii="Arial" w:cs="Arial" w:eastAsia="Arial" w:hAnsi="Arial"/>
                <w:sz w:val="15"/>
                <w:szCs w:val="15"/>
                <w:color w:val="auto"/>
              </w:rPr>
              <w:t>Total inventories, net</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311,060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317,386</w:t>
            </w: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OTHER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nine-month period ended September 30, 2022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Codman Specialty</w:t>
            </w:r>
          </w:p>
        </w:tc>
        <w:tc>
          <w:tcPr>
            <w:tcW w:w="16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Tissue Technologies</w:t>
            </w:r>
          </w:p>
        </w:tc>
        <w:tc>
          <w:tcPr>
            <w:tcW w:w="360" w:type="dxa"/>
            <w:vAlign w:val="bottom"/>
          </w:tcPr>
          <w:p>
            <w:pPr>
              <w:spacing w:after="0"/>
              <w:rPr>
                <w:sz w:val="14"/>
                <w:szCs w:val="14"/>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Surgical</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663,428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350,030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1,013,458</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line="207" w:lineRule="exact"/>
              <w:rPr>
                <w:sz w:val="20"/>
                <w:szCs w:val="20"/>
                <w:color w:val="auto"/>
              </w:rPr>
            </w:pPr>
            <w:r>
              <w:rPr>
                <w:rFonts w:ascii="Arial" w:cs="Arial" w:eastAsia="Arial" w:hAnsi="Arial"/>
                <w:sz w:val="15"/>
                <w:szCs w:val="15"/>
                <w:color w:val="auto"/>
              </w:rPr>
              <w:t>Divestitures</w:t>
            </w:r>
            <w:r>
              <w:rPr>
                <w:rFonts w:ascii="Arial" w:cs="Arial" w:eastAsia="Arial" w:hAnsi="Arial"/>
                <w:sz w:val="20"/>
                <w:szCs w:val="20"/>
                <w:color w:val="auto"/>
                <w:vertAlign w:val="superscript"/>
              </w:rPr>
              <w:t>(1)</w:t>
            </w: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(5,019)</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(10,462)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(30,579)</w:t>
            </w: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Arial" w:cs="Arial" w:eastAsia="Arial" w:hAnsi="Arial"/>
                <w:sz w:val="15"/>
                <w:szCs w:val="15"/>
                <w:color w:val="auto"/>
              </w:rPr>
              <w:t>Goodwill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643,311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334,549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977,860</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0" w:hanging="137"/>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On August 31, 2022, the Company completed the sale of the TWC business. See Note 2, Acquisitions and Divestitures.</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39" w:lineRule="exact"/>
        <w:rPr>
          <w:rFonts w:ascii="Arial" w:cs="Arial" w:eastAsia="Arial" w:hAnsi="Arial"/>
          <w:sz w:val="16"/>
          <w:szCs w:val="16"/>
          <w:color w:val="auto"/>
          <w:vertAlign w:val="superscript"/>
        </w:rPr>
      </w:pPr>
    </w:p>
    <w:p>
      <w:pPr>
        <w:ind w:left="5540"/>
        <w:spacing w:after="0"/>
        <w:rPr>
          <w:rFonts w:ascii="Arial" w:cs="Arial" w:eastAsia="Arial" w:hAnsi="Arial"/>
          <w:sz w:val="16"/>
          <w:szCs w:val="16"/>
          <w:color w:val="auto"/>
          <w:vertAlign w:val="superscript"/>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Company’s identifiable intangible assets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7"/>
          </w:tcPr>
          <w:p>
            <w:pPr>
              <w:ind w:left="620"/>
              <w:spacing w:after="0"/>
              <w:rPr>
                <w:sz w:val="20"/>
                <w:szCs w:val="20"/>
                <w:color w:val="auto"/>
              </w:rPr>
            </w:pPr>
            <w:r>
              <w:rPr>
                <w:rFonts w:ascii="Arial" w:cs="Arial" w:eastAsia="Arial" w:hAnsi="Arial"/>
                <w:sz w:val="14"/>
                <w:szCs w:val="14"/>
                <w:b w:val="1"/>
                <w:bCs w:val="1"/>
                <w:color w:val="auto"/>
              </w:rPr>
              <w:t>September 30, 2022</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3"/>
          </w:tcPr>
          <w:p>
            <w:pPr>
              <w:jc w:val="center"/>
              <w:ind w:right="200"/>
              <w:spacing w:after="0" w:line="125"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ind w:right="200"/>
              <w:spacing w:after="0" w:line="13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040" w:type="dxa"/>
            <w:vAlign w:val="bottom"/>
            <w:vMerge w:val="restart"/>
          </w:tcPr>
          <w:p>
            <w:pPr>
              <w:jc w:val="right"/>
              <w:ind w:right="485"/>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50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Completed technology</w:t>
            </w:r>
          </w:p>
        </w:tc>
        <w:tc>
          <w:tcPr>
            <w:tcW w:w="1560" w:type="dxa"/>
            <w:vAlign w:val="bottom"/>
            <w:gridSpan w:val="3"/>
            <w:shd w:val="clear" w:color="auto" w:fill="CCEEFF"/>
          </w:tcPr>
          <w:p>
            <w:pPr>
              <w:jc w:val="center"/>
              <w:ind w:right="200"/>
              <w:spacing w:after="0"/>
              <w:rPr>
                <w:sz w:val="20"/>
                <w:szCs w:val="20"/>
                <w:color w:val="auto"/>
              </w:rPr>
            </w:pPr>
            <w:r>
              <w:rPr>
                <w:rFonts w:ascii="Arial" w:cs="Arial" w:eastAsia="Arial" w:hAnsi="Arial"/>
                <w:sz w:val="15"/>
                <w:szCs w:val="15"/>
                <w:color w:val="auto"/>
                <w:w w:val="90"/>
              </w:rPr>
              <w:t>18 years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1,114,779</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(350,055)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764,724</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Customer relationships</w:t>
            </w:r>
          </w:p>
        </w:tc>
        <w:tc>
          <w:tcPr>
            <w:tcW w:w="1560" w:type="dxa"/>
            <w:vAlign w:val="bottom"/>
            <w:gridSpan w:val="3"/>
          </w:tcPr>
          <w:p>
            <w:pPr>
              <w:jc w:val="center"/>
              <w:ind w:right="200"/>
              <w:spacing w:after="0"/>
              <w:rPr>
                <w:sz w:val="20"/>
                <w:szCs w:val="20"/>
                <w:color w:val="auto"/>
              </w:rPr>
            </w:pPr>
            <w:r>
              <w:rPr>
                <w:rFonts w:ascii="Arial" w:cs="Arial" w:eastAsia="Arial" w:hAnsi="Arial"/>
                <w:sz w:val="15"/>
                <w:szCs w:val="15"/>
                <w:color w:val="auto"/>
                <w:w w:val="90"/>
              </w:rPr>
              <w:t>12 years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190,848</w:t>
            </w:r>
          </w:p>
        </w:tc>
        <w:tc>
          <w:tcPr>
            <w:tcW w:w="22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(140,433)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50,415</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Trademarks/brand names</w:t>
            </w:r>
          </w:p>
        </w:tc>
        <w:tc>
          <w:tcPr>
            <w:tcW w:w="1560" w:type="dxa"/>
            <w:vAlign w:val="bottom"/>
            <w:gridSpan w:val="3"/>
            <w:shd w:val="clear" w:color="auto" w:fill="CCEEFF"/>
          </w:tcPr>
          <w:p>
            <w:pPr>
              <w:jc w:val="center"/>
              <w:ind w:right="200"/>
              <w:spacing w:after="0"/>
              <w:rPr>
                <w:sz w:val="20"/>
                <w:szCs w:val="20"/>
                <w:color w:val="auto"/>
              </w:rPr>
            </w:pPr>
            <w:r>
              <w:rPr>
                <w:rFonts w:ascii="Arial" w:cs="Arial" w:eastAsia="Arial" w:hAnsi="Arial"/>
                <w:sz w:val="15"/>
                <w:szCs w:val="15"/>
                <w:color w:val="auto"/>
                <w:w w:val="90"/>
              </w:rPr>
              <w:t>28 years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95,406</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62,145</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Codman tradename</w:t>
            </w:r>
          </w:p>
        </w:tc>
        <w:tc>
          <w:tcPr>
            <w:tcW w:w="1560" w:type="dxa"/>
            <w:vAlign w:val="bottom"/>
            <w:gridSpan w:val="3"/>
          </w:tcPr>
          <w:p>
            <w:pPr>
              <w:jc w:val="center"/>
              <w:ind w:right="200"/>
              <w:spacing w:after="0"/>
              <w:rPr>
                <w:sz w:val="20"/>
                <w:szCs w:val="20"/>
                <w:color w:val="auto"/>
              </w:rPr>
            </w:pPr>
            <w:r>
              <w:rPr>
                <w:rFonts w:ascii="Arial" w:cs="Arial" w:eastAsia="Arial" w:hAnsi="Arial"/>
                <w:sz w:val="15"/>
                <w:szCs w:val="15"/>
                <w:color w:val="auto"/>
                <w:w w:val="98"/>
              </w:rPr>
              <w:t>Indefinite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161,663</w:t>
            </w:r>
          </w:p>
        </w:tc>
        <w:tc>
          <w:tcPr>
            <w:tcW w:w="22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142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161,663</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Supplier relationships</w:t>
            </w:r>
          </w:p>
        </w:tc>
        <w:tc>
          <w:tcPr>
            <w:tcW w:w="1560" w:type="dxa"/>
            <w:vAlign w:val="bottom"/>
            <w:gridSpan w:val="3"/>
            <w:shd w:val="clear" w:color="auto" w:fill="CCEEFF"/>
          </w:tcPr>
          <w:p>
            <w:pPr>
              <w:jc w:val="center"/>
              <w:ind w:right="200"/>
              <w:spacing w:after="0"/>
              <w:rPr>
                <w:sz w:val="20"/>
                <w:szCs w:val="20"/>
                <w:color w:val="auto"/>
              </w:rPr>
            </w:pPr>
            <w:r>
              <w:rPr>
                <w:rFonts w:ascii="Arial" w:cs="Arial" w:eastAsia="Arial" w:hAnsi="Arial"/>
                <w:sz w:val="15"/>
                <w:szCs w:val="15"/>
                <w:color w:val="auto"/>
                <w:w w:val="90"/>
              </w:rPr>
              <w:t>30 years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30,211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13,285</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All other</w:t>
            </w:r>
          </w:p>
        </w:tc>
        <w:tc>
          <w:tcPr>
            <w:tcW w:w="1560" w:type="dxa"/>
            <w:vAlign w:val="bottom"/>
            <w:tcBorders>
              <w:bottom w:val="single" w:sz="8" w:color="CCEEFF"/>
            </w:tcBorders>
            <w:gridSpan w:val="3"/>
          </w:tcPr>
          <w:p>
            <w:pPr>
              <w:jc w:val="center"/>
              <w:ind w:right="200"/>
              <w:spacing w:after="0"/>
              <w:rPr>
                <w:sz w:val="20"/>
                <w:szCs w:val="20"/>
                <w:color w:val="auto"/>
              </w:rPr>
            </w:pPr>
            <w:r>
              <w:rPr>
                <w:rFonts w:ascii="Arial" w:cs="Arial" w:eastAsia="Arial" w:hAnsi="Arial"/>
                <w:sz w:val="15"/>
                <w:szCs w:val="15"/>
                <w:color w:val="auto"/>
                <w:w w:val="90"/>
              </w:rPr>
              <w:t>11 years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(3,744)</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1,803</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1,598,454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(544,419)</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1,054,035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7"/>
          </w:tcPr>
          <w:p>
            <w:pPr>
              <w:ind w:left="620"/>
              <w:spacing w:after="0"/>
              <w:rPr>
                <w:sz w:val="20"/>
                <w:szCs w:val="20"/>
                <w:color w:val="auto"/>
              </w:rPr>
            </w:pPr>
            <w:r>
              <w:rPr>
                <w:rFonts w:ascii="Arial" w:cs="Arial" w:eastAsia="Arial" w:hAnsi="Arial"/>
                <w:sz w:val="14"/>
                <w:szCs w:val="14"/>
                <w:b w:val="1"/>
                <w:bCs w:val="1"/>
                <w:color w:val="auto"/>
              </w:rPr>
              <w:t>December 31, 2021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3"/>
          </w:tcPr>
          <w:p>
            <w:pPr>
              <w:jc w:val="center"/>
              <w:ind w:right="280"/>
              <w:spacing w:after="0" w:line="122"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60" w:type="dxa"/>
            <w:vAlign w:val="bottom"/>
            <w:vMerge w:val="restart"/>
          </w:tcPr>
          <w:p>
            <w:pPr>
              <w:spacing w:after="0"/>
              <w:rPr>
                <w:sz w:val="12"/>
                <w:szCs w:val="12"/>
                <w:color w:val="auto"/>
              </w:rPr>
            </w:pPr>
          </w:p>
        </w:tc>
        <w:tc>
          <w:tcPr>
            <w:tcW w:w="15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040" w:type="dxa"/>
            <w:vAlign w:val="bottom"/>
            <w:vMerge w:val="restart"/>
          </w:tcPr>
          <w:p>
            <w:pPr>
              <w:jc w:val="right"/>
              <w:ind w:right="485"/>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50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50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Completed technology</w:t>
            </w:r>
          </w:p>
        </w:tc>
        <w:tc>
          <w:tcPr>
            <w:tcW w:w="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right="280"/>
              <w:spacing w:after="0"/>
              <w:rPr>
                <w:sz w:val="20"/>
                <w:szCs w:val="20"/>
                <w:color w:val="auto"/>
              </w:rPr>
            </w:pPr>
            <w:r>
              <w:rPr>
                <w:rFonts w:ascii="Arial" w:cs="Arial" w:eastAsia="Arial" w:hAnsi="Arial"/>
                <w:sz w:val="15"/>
                <w:szCs w:val="15"/>
                <w:color w:val="auto"/>
                <w:w w:val="90"/>
              </w:rPr>
              <w:t>18 years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1,132,954</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(307,013)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825,941</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Customer relationships</w:t>
            </w:r>
          </w:p>
        </w:tc>
        <w:tc>
          <w:tcPr>
            <w:tcW w:w="1560" w:type="dxa"/>
            <w:vAlign w:val="bottom"/>
            <w:gridSpan w:val="3"/>
          </w:tcPr>
          <w:p>
            <w:pPr>
              <w:jc w:val="center"/>
              <w:ind w:right="280"/>
              <w:spacing w:after="0"/>
              <w:rPr>
                <w:sz w:val="20"/>
                <w:szCs w:val="20"/>
                <w:color w:val="auto"/>
              </w:rPr>
            </w:pPr>
            <w:r>
              <w:rPr>
                <w:rFonts w:ascii="Arial" w:cs="Arial" w:eastAsia="Arial" w:hAnsi="Arial"/>
                <w:sz w:val="15"/>
                <w:szCs w:val="15"/>
                <w:color w:val="auto"/>
                <w:w w:val="90"/>
              </w:rPr>
              <w:t>12 years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211,344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(142,755)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68,589</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Trademarks/brand names</w:t>
            </w:r>
          </w:p>
        </w:tc>
        <w:tc>
          <w:tcPr>
            <w:tcW w:w="1560" w:type="dxa"/>
            <w:vAlign w:val="bottom"/>
            <w:gridSpan w:val="3"/>
            <w:shd w:val="clear" w:color="auto" w:fill="CCEEFF"/>
          </w:tcPr>
          <w:p>
            <w:pPr>
              <w:jc w:val="center"/>
              <w:ind w:right="280"/>
              <w:spacing w:after="0"/>
              <w:rPr>
                <w:sz w:val="20"/>
                <w:szCs w:val="20"/>
                <w:color w:val="auto"/>
              </w:rPr>
            </w:pPr>
            <w:r>
              <w:rPr>
                <w:rFonts w:ascii="Arial" w:cs="Arial" w:eastAsia="Arial" w:hAnsi="Arial"/>
                <w:sz w:val="15"/>
                <w:szCs w:val="15"/>
                <w:color w:val="auto"/>
                <w:w w:val="90"/>
              </w:rPr>
              <w:t>28 years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66,899</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Codman tradename</w:t>
            </w:r>
          </w:p>
        </w:tc>
        <w:tc>
          <w:tcPr>
            <w:tcW w:w="1560" w:type="dxa"/>
            <w:vAlign w:val="bottom"/>
            <w:gridSpan w:val="3"/>
          </w:tcPr>
          <w:p>
            <w:pPr>
              <w:jc w:val="center"/>
              <w:ind w:right="280"/>
              <w:spacing w:after="0"/>
              <w:rPr>
                <w:sz w:val="20"/>
                <w:szCs w:val="20"/>
                <w:color w:val="auto"/>
              </w:rPr>
            </w:pPr>
            <w:r>
              <w:rPr>
                <w:rFonts w:ascii="Arial" w:cs="Arial" w:eastAsia="Arial" w:hAnsi="Arial"/>
                <w:sz w:val="15"/>
                <w:szCs w:val="15"/>
                <w:color w:val="auto"/>
                <w:w w:val="98"/>
              </w:rPr>
              <w:t>Indefinite</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167,758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ind w:left="9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167,758</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Supplier relationships</w:t>
            </w:r>
          </w:p>
        </w:tc>
        <w:tc>
          <w:tcPr>
            <w:tcW w:w="1560" w:type="dxa"/>
            <w:vAlign w:val="bottom"/>
            <w:gridSpan w:val="3"/>
            <w:shd w:val="clear" w:color="auto" w:fill="CCEEFF"/>
          </w:tcPr>
          <w:p>
            <w:pPr>
              <w:jc w:val="center"/>
              <w:ind w:right="280"/>
              <w:spacing w:after="0"/>
              <w:rPr>
                <w:sz w:val="20"/>
                <w:szCs w:val="20"/>
                <w:color w:val="auto"/>
              </w:rPr>
            </w:pPr>
            <w:r>
              <w:rPr>
                <w:rFonts w:ascii="Arial" w:cs="Arial" w:eastAsia="Arial" w:hAnsi="Arial"/>
                <w:sz w:val="15"/>
                <w:szCs w:val="15"/>
                <w:color w:val="auto"/>
                <w:w w:val="90"/>
              </w:rPr>
              <w:t>30 years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14,019</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All other</w:t>
            </w:r>
          </w:p>
        </w:tc>
        <w:tc>
          <w:tcPr>
            <w:tcW w:w="1560" w:type="dxa"/>
            <w:vAlign w:val="bottom"/>
            <w:tcBorders>
              <w:bottom w:val="single" w:sz="8" w:color="CCEEFF"/>
            </w:tcBorders>
            <w:gridSpan w:val="3"/>
          </w:tcPr>
          <w:p>
            <w:pPr>
              <w:jc w:val="center"/>
              <w:ind w:right="280"/>
              <w:spacing w:after="0"/>
              <w:rPr>
                <w:sz w:val="20"/>
                <w:szCs w:val="20"/>
                <w:color w:val="auto"/>
              </w:rPr>
            </w:pPr>
            <w:r>
              <w:rPr>
                <w:rFonts w:ascii="Arial" w:cs="Arial" w:eastAsia="Arial" w:hAnsi="Arial"/>
                <w:sz w:val="15"/>
                <w:szCs w:val="15"/>
                <w:color w:val="auto"/>
                <w:w w:val="90"/>
              </w:rPr>
              <w:t>11 years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1,646,892</w:t>
            </w:r>
          </w:p>
        </w:tc>
        <w:tc>
          <w:tcPr>
            <w:tcW w:w="2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(501,319)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1,145,573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2022, $10.5 million of customer relationship assets, net were divested in conjunction with the sale of the TWC business. See Note 2</w:t>
      </w:r>
      <w:r>
        <w:rPr>
          <w:rFonts w:ascii="Arial" w:cs="Arial" w:eastAsia="Arial" w:hAnsi="Arial"/>
          <w:sz w:val="17"/>
          <w:szCs w:val="17"/>
          <w:i w:val="1"/>
          <w:iCs w:val="1"/>
          <w:color w:val="auto"/>
        </w:rPr>
        <w:t>, Acquisitions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Divestitures</w:t>
      </w: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 with Indefinite Lives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tests goodwill and intangible assets with indefinite lives for impairment annually in the third quarter in accordance with ASC Topic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third quarter of 2022, the Company elected to perform a qualitative analysis for its three reporting units and intangible asset with indefinite lives. The Company determined, after performing the qualitative analysis, that there was no evidence that it is more likely than not that the fair value was less that the carrying amounts, therefore, it was not necessary to perform a quantitative impairment test.</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Based on quarter-end exchange rates, amortization expense (including amounts reported in cost of goods sold) is expected to be approximately $19.1 million for the remainder of 2022, $76.3 million in 2023, $75.7 million in 2024, $75.7 million in 2025, $75.5 million in 2026, $73.6 million in 2027 and $499.0 million thereafter.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the Sixth Amended and Restated Senior Credit Agreement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maximum consolidated total leverage ratio in the financial covenants (as defined in the Senior Credit Facility) is the following:</w:t>
      </w: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Maximum Consolidated Total</w:t>
            </w:r>
          </w:p>
        </w:tc>
        <w:tc>
          <w:tcPr>
            <w:tcW w:w="0" w:type="dxa"/>
            <w:vAlign w:val="bottom"/>
          </w:tcPr>
          <w:p>
            <w:pPr>
              <w:spacing w:after="0"/>
              <w:rPr>
                <w:sz w:val="1"/>
                <w:szCs w:val="1"/>
                <w:color w:val="auto"/>
              </w:rPr>
            </w:pPr>
          </w:p>
        </w:tc>
      </w:tr>
      <w:tr>
        <w:trPr>
          <w:trHeight w:val="184"/>
        </w:trPr>
        <w:tc>
          <w:tcPr>
            <w:tcW w:w="6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Leverage Ratio</w:t>
            </w:r>
          </w:p>
        </w:tc>
        <w:tc>
          <w:tcPr>
            <w:tcW w:w="0" w:type="dxa"/>
            <w:vAlign w:val="bottom"/>
          </w:tcPr>
          <w:p>
            <w:pPr>
              <w:spacing w:after="0"/>
              <w:rPr>
                <w:sz w:val="1"/>
                <w:szCs w:val="1"/>
                <w:color w:val="auto"/>
              </w:rPr>
            </w:pPr>
          </w:p>
        </w:tc>
      </w:tr>
      <w:tr>
        <w:trPr>
          <w:trHeight w:val="205"/>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30, 2022 through June 30, 2023</w:t>
            </w:r>
          </w:p>
        </w:tc>
        <w:tc>
          <w:tcPr>
            <w:tcW w:w="2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4.50 to 1.00</w:t>
            </w:r>
          </w:p>
        </w:tc>
        <w:tc>
          <w:tcPr>
            <w:tcW w:w="0" w:type="dxa"/>
            <w:vAlign w:val="bottom"/>
          </w:tcPr>
          <w:p>
            <w:pPr>
              <w:spacing w:after="0"/>
              <w:rPr>
                <w:sz w:val="1"/>
                <w:szCs w:val="1"/>
                <w:color w:val="auto"/>
              </w:rPr>
            </w:pPr>
          </w:p>
        </w:tc>
      </w:tr>
      <w:tr>
        <w:trPr>
          <w:trHeight w:val="201"/>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September 30, 2023 and the last day of each fiscal quarter thereafter</w:t>
            </w:r>
          </w:p>
        </w:tc>
        <w:tc>
          <w:tcPr>
            <w:tcW w:w="2000" w:type="dxa"/>
            <w:vAlign w:val="bottom"/>
          </w:tcPr>
          <w:p>
            <w:pPr>
              <w:jc w:val="center"/>
              <w:spacing w:after="0"/>
              <w:rPr>
                <w:sz w:val="20"/>
                <w:szCs w:val="20"/>
                <w:color w:val="auto"/>
              </w:rPr>
            </w:pPr>
            <w:r>
              <w:rPr>
                <w:rFonts w:ascii="Arial" w:cs="Arial" w:eastAsia="Arial" w:hAnsi="Arial"/>
                <w:sz w:val="15"/>
                <w:szCs w:val="15"/>
                <w:color w:val="auto"/>
                <w:w w:val="90"/>
              </w:rPr>
              <w:t>4.00 to 1.00</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Borrowings under the Senior Credit Facility bear interest, at the Company’s option, at a rate equal to the following:</w:t>
      </w:r>
    </w:p>
    <w:p>
      <w:pPr>
        <w:spacing w:after="0" w:line="114" w:lineRule="exact"/>
        <w:rPr>
          <w:sz w:val="20"/>
          <w:szCs w:val="20"/>
          <w:color w:val="auto"/>
        </w:rPr>
      </w:pPr>
    </w:p>
    <w:p>
      <w:pPr>
        <w:ind w:left="600" w:hanging="287"/>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Eurodollar Rate (as defined in the amendment and restatement) in effect from time to time plus the applicable rate (ranging from 1.00% to 2.25%), or</w:t>
      </w:r>
    </w:p>
    <w:p>
      <w:pPr>
        <w:spacing w:after="0" w:line="85" w:lineRule="exact"/>
        <w:rPr>
          <w:rFonts w:ascii="Arial" w:cs="Arial" w:eastAsia="Arial" w:hAnsi="Arial"/>
          <w:sz w:val="15"/>
          <w:szCs w:val="15"/>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highest of:</w:t>
      </w:r>
    </w:p>
    <w:p>
      <w:pPr>
        <w:spacing w:after="0" w:line="62" w:lineRule="exact"/>
        <w:rPr>
          <w:rFonts w:ascii="Arial" w:cs="Arial" w:eastAsia="Arial" w:hAnsi="Arial"/>
          <w:sz w:val="17"/>
          <w:szCs w:val="17"/>
          <w:color w:val="auto"/>
        </w:rPr>
      </w:pPr>
    </w:p>
    <w:p>
      <w:pPr>
        <w:ind w:left="1240" w:hanging="309"/>
        <w:spacing w:after="0"/>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weighted average overnight Federal funds rate, as published by the Federal Reserve Bank of New York, plus 0.50%</w:t>
      </w:r>
    </w:p>
    <w:p>
      <w:pPr>
        <w:spacing w:after="0" w:line="62" w:lineRule="exact"/>
        <w:rPr>
          <w:rFonts w:ascii="Arial" w:cs="Arial" w:eastAsia="Arial" w:hAnsi="Arial"/>
          <w:sz w:val="17"/>
          <w:szCs w:val="17"/>
          <w:color w:val="auto"/>
        </w:rPr>
      </w:pPr>
    </w:p>
    <w:p>
      <w:pPr>
        <w:ind w:left="1240" w:hanging="309"/>
        <w:spacing w:after="0"/>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prime lending rate of Bank of America, N.A. or</w:t>
      </w:r>
    </w:p>
    <w:p>
      <w:pPr>
        <w:spacing w:after="0" w:line="62" w:lineRule="exact"/>
        <w:rPr>
          <w:rFonts w:ascii="Arial" w:cs="Arial" w:eastAsia="Arial" w:hAnsi="Arial"/>
          <w:sz w:val="17"/>
          <w:szCs w:val="17"/>
          <w:color w:val="auto"/>
        </w:rPr>
      </w:pPr>
    </w:p>
    <w:p>
      <w:pPr>
        <w:ind w:left="1240" w:hanging="309"/>
        <w:spacing w:after="0"/>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one-month Eurodollar Rate plus 1.00%</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for the period of four consecutive fiscal quarters ending on such date).</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pay an annual commitment fee (ranging from 0.15% to 0.30%), based on the Company's consolidated total leverage ratio, on the amount available for borrowing under the revolving credit facility.</w:t>
      </w:r>
    </w:p>
    <w:p>
      <w:pPr>
        <w:spacing w:after="0" w:line="6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September 30, 2022, the Company was in compliance with all such covenants.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At September 30, 2022 and December 31, 2021, there was $65.0 million and $31.3 million, respectively, outstanding under the revolving portion of the Senior Credit Facility at weighted average interest rates of 4.5% and 1.4%, respectively. At September 30, 2022 and December 31, 2021, there was $810.0 million and $843.8 million, respectively, outstanding under the Term Loan component of the Senior Credit Facility at a weighted average interest rate of 4.5% and 1.4%, respectively. At September 30, 2022 and December 31, 2021, there was $56.3 million and $45.0 million, respectively of the Term Loan component of the Senior Credit Facility classified as current on the consolidated balance sheets.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fair value of outstanding borrowings of the Senior Credit Facility's revolving credit and Term Loan components at September 30, 2022 were $64.1 million and $799.7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September 30, 2022 and December 31, 2021 totaled $1.6 million. There were no amounts drawn as of September 30,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Contractual repayments of the Term Loan component of the Senior Credit Facility are due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6980" w:type="dxa"/>
            <w:vAlign w:val="bottom"/>
            <w:gridSpan w:val="3"/>
          </w:tcPr>
          <w:p>
            <w:pPr>
              <w:jc w:val="right"/>
              <w:ind w:right="3723"/>
              <w:spacing w:after="0"/>
              <w:rPr>
                <w:sz w:val="20"/>
                <w:szCs w:val="20"/>
                <w:color w:val="auto"/>
              </w:rPr>
            </w:pPr>
            <w:r>
              <w:rPr>
                <w:rFonts w:ascii="Arial" w:cs="Arial" w:eastAsia="Arial" w:hAnsi="Arial"/>
                <w:sz w:val="14"/>
                <w:szCs w:val="14"/>
                <w:b w:val="1"/>
                <w:bCs w:val="1"/>
                <w:color w:val="auto"/>
              </w:rPr>
              <w:t>Quarter Ended September 30, 2022</w:t>
            </w:r>
          </w:p>
        </w:tc>
        <w:tc>
          <w:tcPr>
            <w:tcW w:w="1940" w:type="dxa"/>
            <w:vAlign w:val="bottom"/>
          </w:tcPr>
          <w:p>
            <w:pPr>
              <w:jc w:val="right"/>
              <w:ind w:right="404"/>
              <w:spacing w:after="0"/>
              <w:rPr>
                <w:sz w:val="20"/>
                <w:szCs w:val="20"/>
                <w:color w:val="auto"/>
              </w:rPr>
            </w:pPr>
            <w:r>
              <w:rPr>
                <w:rFonts w:ascii="Arial" w:cs="Arial" w:eastAsia="Arial" w:hAnsi="Arial"/>
                <w:sz w:val="14"/>
                <w:szCs w:val="14"/>
                <w:b w:val="1"/>
                <w:bCs w:val="1"/>
                <w:color w:val="auto"/>
              </w:rPr>
              <w:t>Principal Repayment</w:t>
            </w:r>
          </w:p>
        </w:tc>
      </w:tr>
      <w:tr>
        <w:trPr>
          <w:trHeight w:val="24"/>
        </w:trPr>
        <w:tc>
          <w:tcPr>
            <w:tcW w:w="232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77"/>
        </w:trPr>
        <w:tc>
          <w:tcPr>
            <w:tcW w:w="232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2022</w:t>
            </w:r>
          </w:p>
        </w:tc>
        <w:tc>
          <w:tcPr>
            <w:tcW w:w="6980" w:type="dxa"/>
            <w:vAlign w:val="bottom"/>
            <w:gridSpan w:val="3"/>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11,250</w:t>
            </w:r>
          </w:p>
        </w:tc>
      </w:tr>
      <w:tr>
        <w:trPr>
          <w:trHeight w:val="203"/>
        </w:trPr>
        <w:tc>
          <w:tcPr>
            <w:tcW w:w="2320" w:type="dxa"/>
            <w:vAlign w:val="bottom"/>
          </w:tcPr>
          <w:p>
            <w:pPr>
              <w:ind w:left="20"/>
              <w:spacing w:after="0"/>
              <w:rPr>
                <w:sz w:val="20"/>
                <w:szCs w:val="20"/>
                <w:color w:val="auto"/>
              </w:rPr>
            </w:pPr>
            <w:r>
              <w:rPr>
                <w:rFonts w:ascii="Arial" w:cs="Arial" w:eastAsia="Arial" w:hAnsi="Arial"/>
                <w:sz w:val="15"/>
                <w:szCs w:val="15"/>
                <w:color w:val="auto"/>
              </w:rPr>
              <w:t>2023</w:t>
            </w:r>
          </w:p>
        </w:tc>
        <w:tc>
          <w:tcPr>
            <w:tcW w:w="698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940" w:type="dxa"/>
            <w:vAlign w:val="bottom"/>
          </w:tcPr>
          <w:p>
            <w:pPr>
              <w:jc w:val="right"/>
              <w:spacing w:after="0"/>
              <w:rPr>
                <w:sz w:val="20"/>
                <w:szCs w:val="20"/>
                <w:color w:val="auto"/>
              </w:rPr>
            </w:pPr>
            <w:r>
              <w:rPr>
                <w:rFonts w:ascii="Arial" w:cs="Arial" w:eastAsia="Arial" w:hAnsi="Arial"/>
                <w:sz w:val="15"/>
                <w:szCs w:val="15"/>
                <w:color w:val="auto"/>
              </w:rPr>
              <w:t>61,875</w:t>
            </w: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6980" w:type="dxa"/>
            <w:vAlign w:val="bottom"/>
            <w:gridSpan w:val="3"/>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67,500</w:t>
            </w:r>
          </w:p>
        </w:tc>
      </w:tr>
      <w:tr>
        <w:trPr>
          <w:trHeight w:val="20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2025</w:t>
            </w:r>
          </w:p>
        </w:tc>
        <w:tc>
          <w:tcPr>
            <w:tcW w:w="670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669,375</w:t>
            </w:r>
          </w:p>
        </w:tc>
      </w:tr>
      <w:tr>
        <w:trPr>
          <w:trHeight w:val="219"/>
        </w:trPr>
        <w:tc>
          <w:tcPr>
            <w:tcW w:w="23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810,000</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interest payments on the term loan component of the Senior Credit Facility based on current interest rates are expected to approximate $9.0 million for remainder of 2022, $34.2 million in 2023, $31.2 million in 2024, and $2.8 million in 2025. Interest is calculated on the term loan portion of the Senior Credit Facility based on LIBOR plus the certain amounts set forth in the Sixth Amended and Restated Credit Agreement. As the revolving credit facility and Securitization Facility can be repaid at any time, no interest has been included in the calculation.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balance of the revolving credit component of the Senior Credit Facility is due on February 3, 2025.</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4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September 30, 2022, none of these conditions existed with respect to the 2025 Notes and as a result the 2025 Notes are classified as long term.</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1, </w:t>
      </w: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for further details. At September 30, 2022, the carrying amount of the liability was $575.0 million. The fair value of the 2025 Notes at</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was $505.2 million. Factors that the Company considered when estimating the fair value of the 2025 Notes included recent quoted market prices or dealer quote. The level of the 2025 Notes is considered as Level 1.</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adoption of ASU 2020-06, for the nine months ended September 30, 2022 and September 30, 2021, the Company recognized only cash interest related to the contractual interest coupon on the 2025 Notes of $2.2 million and $2.1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Securitization Facility</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2022, the Company was in compliance with the covenants and none of the termination events had occurred.</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September 30, 2022 and December 31, 2021, the Company had $106.0 million and $112.5 million, respectively, of outstanding borrowings under its Securitization Facility at a weighted average interest rate of 3.5% and 1.1%, respectively. The fair value of the outstanding borrowing of the Securitization Facility at September 30, 2022 was $104.5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Hedging</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the following interest rate swaps as of September 30, 2022 and December 31, 2021 (dollar 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4"/>
        </w:trPr>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1"/>
        </w:trPr>
        <w:tc>
          <w:tcPr>
            <w:tcW w:w="14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Hedged Item</w:t>
            </w:r>
          </w:p>
        </w:tc>
        <w:tc>
          <w:tcPr>
            <w:tcW w:w="186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Notional Amount</w:t>
            </w:r>
          </w:p>
        </w:tc>
        <w:tc>
          <w:tcPr>
            <w:tcW w:w="8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Designation Date</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Effective Date</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Termination Date</w:t>
            </w:r>
          </w:p>
        </w:tc>
        <w:tc>
          <w:tcPr>
            <w:tcW w:w="9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Fixed Interest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3"/>
            <w:vMerge w:val="restart"/>
          </w:tcPr>
          <w:p>
            <w:pPr>
              <w:jc w:val="right"/>
              <w:ind w:right="39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01"/>
        </w:trPr>
        <w:tc>
          <w:tcPr>
            <w:tcW w:w="1460" w:type="dxa"/>
            <w:vAlign w:val="bottom"/>
            <w:gridSpan w:val="3"/>
            <w:vMerge w:val="continue"/>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080" w:type="dxa"/>
            <w:vAlign w:val="bottom"/>
            <w:gridSpan w:val="3"/>
            <w:vMerge w:val="restart"/>
          </w:tcPr>
          <w:p>
            <w:pPr>
              <w:jc w:val="center"/>
              <w:ind w:right="91"/>
              <w:spacing w:after="0"/>
              <w:rPr>
                <w:sz w:val="20"/>
                <w:szCs w:val="20"/>
                <w:color w:val="auto"/>
              </w:rPr>
            </w:pPr>
            <w:r>
              <w:rPr>
                <w:rFonts w:ascii="Arial" w:cs="Arial" w:eastAsia="Arial" w:hAnsi="Arial"/>
                <w:sz w:val="14"/>
                <w:szCs w:val="14"/>
                <w:b w:val="1"/>
                <w:bCs w:val="1"/>
                <w:color w:val="auto"/>
                <w:w w:val="92"/>
              </w:rPr>
              <w:t>Rate</w:t>
            </w: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123"/>
        </w:trPr>
        <w:tc>
          <w:tcPr>
            <w:tcW w:w="146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13, 2017</w:t>
            </w:r>
          </w:p>
        </w:tc>
        <w:tc>
          <w:tcPr>
            <w:tcW w:w="15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7"/>
              </w:rPr>
              <w:t>January 1, 2018</w:t>
            </w: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31, 2022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2.201 %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1,078</w:t>
            </w: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97"/>
        </w:trPr>
        <w:tc>
          <w:tcPr>
            <w:tcW w:w="14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46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1-month USD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7"/>
              </w:rPr>
              <w:t>December 13, 2017</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July 1, 2019</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5"/>
              </w:rPr>
              <w:t>June 30, 2024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4,671</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(5,520)</w:t>
            </w:r>
          </w:p>
        </w:tc>
        <w:tc>
          <w:tcPr>
            <w:tcW w:w="0" w:type="dxa"/>
            <w:vAlign w:val="bottom"/>
          </w:tcPr>
          <w:p>
            <w:pPr>
              <w:spacing w:after="0"/>
              <w:rPr>
                <w:sz w:val="1"/>
                <w:szCs w:val="1"/>
                <w:color w:val="auto"/>
              </w:rPr>
            </w:pPr>
          </w:p>
        </w:tc>
      </w:tr>
      <w:tr>
        <w:trPr>
          <w:trHeight w:val="97"/>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13, 2017</w:t>
            </w:r>
          </w:p>
        </w:tc>
        <w:tc>
          <w:tcPr>
            <w:tcW w:w="15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7"/>
              </w:rPr>
              <w:t>January 1, 2018</w:t>
            </w: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31, 2024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8,212</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97"/>
        </w:trPr>
        <w:tc>
          <w:tcPr>
            <w:tcW w:w="14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46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1-month USD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8"/>
              </w:rPr>
              <w:t>October 10, 2018</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5"/>
              </w:rPr>
              <w:t>June 30, 2025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1,719</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97"/>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8"/>
              </w:rPr>
              <w:t>October 10, 2018</w:t>
            </w:r>
          </w:p>
        </w:tc>
        <w:tc>
          <w:tcPr>
            <w:tcW w:w="15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5"/>
              </w:rPr>
              <w:t>June 30, 2025</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1,828</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(5,464)</w:t>
            </w:r>
          </w:p>
        </w:tc>
        <w:tc>
          <w:tcPr>
            <w:tcW w:w="0" w:type="dxa"/>
            <w:vAlign w:val="bottom"/>
          </w:tcPr>
          <w:p>
            <w:pPr>
              <w:spacing w:after="0"/>
              <w:rPr>
                <w:sz w:val="1"/>
                <w:szCs w:val="1"/>
                <w:color w:val="auto"/>
              </w:rPr>
            </w:pPr>
          </w:p>
        </w:tc>
      </w:tr>
      <w:tr>
        <w:trPr>
          <w:trHeight w:val="97"/>
        </w:trPr>
        <w:tc>
          <w:tcPr>
            <w:tcW w:w="14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46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1-month USD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8"/>
              </w:rPr>
              <w:t>October 10, 2018</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5"/>
              </w:rPr>
              <w:t>June 30, 2025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1,673</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97"/>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18, 2018</w:t>
            </w:r>
          </w:p>
        </w:tc>
        <w:tc>
          <w:tcPr>
            <w:tcW w:w="15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7"/>
              </w:rPr>
              <w:t>December 30, 2022</w:t>
            </w: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31, 2027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4,578</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97"/>
        </w:trPr>
        <w:tc>
          <w:tcPr>
            <w:tcW w:w="14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46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1-month USD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7"/>
              </w:rPr>
              <w:t>December 18, 2018</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December 30, 2022</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7"/>
              </w:rPr>
              <w:t>December 31, 2027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4,545</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97"/>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1-month USD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8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15, 2020</w:t>
            </w: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8"/>
              </w:rPr>
              <w:t>July 31, 2025</w:t>
            </w: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7"/>
              </w:rPr>
              <w:t>December 31, 2027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26,261</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97"/>
        </w:trPr>
        <w:tc>
          <w:tcPr>
            <w:tcW w:w="14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gridSpan w:val="3"/>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46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1-month USD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7"/>
              </w:rPr>
              <w:t>December 15, 2020</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July 1, 2025</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7"/>
              </w:rPr>
              <w:t>December 31, 2027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4"/>
                <w:szCs w:val="14"/>
                <w:color w:val="auto"/>
              </w:rPr>
              <w:t>6,039</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97"/>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LIBOR Loan</w:t>
            </w: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4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60,604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(43,957)</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has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Hedging</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Cross-Currency Rate Swaps</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October 2, 2017, the Company entered into cross-currency swap agreements to convert a notional amount of $300.0 million equivalent to 291.2 million of Swiss Franc ("CHF") denominated intercompany loans into U.S. dollars. The CHF-denominated intercompany loans were the result of the purchase of intellectual property by a subsidiary in Switzerland as part of an acquisition. As of December 31, 2021, $150.0 million of the $300.0 million notional amount remained outstanding. On September 26, 2022, the Company amended the CHF-denominated intercompany loan to extend the termination date to September 2023 and as a result, the Company early terminated the cross-currency swap designated as cash flow hedge of an intercompany loan with aggregate notional amount of $50.0 million. Simultaneously, the Company entered into a cross-currency swap agreement to convert a notional amount of CHF 48.5 million equivalent to $49.1 million of this amended intercompany loan into U.S. dollars. The loss recorded by the Company upon the settlement of the swap was not material for the period.</w:t>
      </w:r>
    </w:p>
    <w:p>
      <w:pPr>
        <w:spacing w:after="0" w:line="5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the following cross-currency rate swaps as of September 30, 2022 and December 31, 2021 (dollar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8"/>
              </w:rPr>
              <w:t>September 30, 2022</w:t>
            </w:r>
          </w:p>
        </w:tc>
        <w:tc>
          <w:tcPr>
            <w:tcW w:w="260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w w:val="93"/>
              </w:rPr>
              <w:t>December 31, 2021   September 30, 2022</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Effective Date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Termination Date</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Fixed Rate</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80" w:type="dxa"/>
            <w:vAlign w:val="bottom"/>
            <w:gridSpan w:val="4"/>
            <w:vMerge w:val="restart"/>
          </w:tcPr>
          <w:p>
            <w:pPr>
              <w:jc w:val="right"/>
              <w:ind w:right="1260"/>
              <w:spacing w:after="0"/>
              <w:rPr>
                <w:sz w:val="20"/>
                <w:szCs w:val="20"/>
                <w:color w:val="auto"/>
              </w:rPr>
            </w:pPr>
            <w:r>
              <w:rPr>
                <w:rFonts w:ascii="Arial" w:cs="Arial" w:eastAsia="Arial" w:hAnsi="Arial"/>
                <w:sz w:val="14"/>
                <w:szCs w:val="14"/>
                <w:b w:val="1"/>
                <w:bCs w:val="1"/>
                <w:color w:val="auto"/>
                <w:w w:val="91"/>
              </w:rPr>
              <w:t>Aggregate Notional Amount</w:t>
            </w:r>
          </w:p>
        </w:tc>
        <w:tc>
          <w:tcPr>
            <w:tcW w:w="1500" w:type="dxa"/>
            <w:vAlign w:val="bottom"/>
            <w:gridSpan w:val="2"/>
          </w:tcPr>
          <w:p>
            <w:pPr>
              <w:jc w:val="center"/>
              <w:ind w:left="166"/>
              <w:spacing w:after="0" w:line="125" w:lineRule="exact"/>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4"/>
            <w:vMerge w:val="continue"/>
          </w:tcPr>
          <w:p>
            <w:pPr>
              <w:spacing w:after="0"/>
              <w:rPr>
                <w:sz w:val="8"/>
                <w:szCs w:val="8"/>
                <w:color w:val="auto"/>
              </w:rPr>
            </w:pPr>
          </w:p>
        </w:tc>
        <w:tc>
          <w:tcPr>
            <w:tcW w:w="1500" w:type="dxa"/>
            <w:vAlign w:val="bottom"/>
            <w:gridSpan w:val="2"/>
            <w:vMerge w:val="restart"/>
          </w:tcPr>
          <w:p>
            <w:pPr>
              <w:jc w:val="center"/>
              <w:ind w:left="166"/>
              <w:spacing w:after="0"/>
              <w:rPr>
                <w:sz w:val="20"/>
                <w:szCs w:val="20"/>
                <w:color w:val="auto"/>
              </w:rPr>
            </w:pPr>
            <w:r>
              <w:rPr>
                <w:rFonts w:ascii="Arial" w:cs="Arial" w:eastAsia="Arial" w:hAnsi="Arial"/>
                <w:sz w:val="14"/>
                <w:szCs w:val="14"/>
                <w:b w:val="1"/>
                <w:bCs w:val="1"/>
                <w:color w:val="auto"/>
                <w:w w:val="90"/>
              </w:rPr>
              <w:t>Asset (Liability)</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CHF</w:t>
            </w:r>
          </w:p>
        </w:tc>
        <w:tc>
          <w:tcPr>
            <w:tcW w:w="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1"/>
              </w:rPr>
              <w:t>September 28, 2022</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1"/>
              </w:rPr>
              <w:t>September 29, 2023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1.95%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CHF</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48,532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6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3"/>
        </w:trPr>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5.32%</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49,142</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40" w:type="dxa"/>
            <w:vAlign w:val="bottom"/>
            <w:gridSpan w:val="2"/>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CHF</w:t>
            </w:r>
          </w:p>
        </w:tc>
        <w:tc>
          <w:tcPr>
            <w:tcW w:w="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2"/>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October 3, 2022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1.95%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CHF</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97,065</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2,281</w:t>
            </w:r>
          </w:p>
        </w:tc>
        <w:tc>
          <w:tcPr>
            <w:tcW w:w="6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(8,283)</w:t>
            </w:r>
          </w:p>
        </w:tc>
        <w:tc>
          <w:tcPr>
            <w:tcW w:w="0" w:type="dxa"/>
            <w:vAlign w:val="bottom"/>
          </w:tcPr>
          <w:p>
            <w:pPr>
              <w:spacing w:after="0"/>
              <w:rPr>
                <w:sz w:val="1"/>
                <w:szCs w:val="1"/>
                <w:color w:val="auto"/>
              </w:rPr>
            </w:pPr>
          </w:p>
        </w:tc>
      </w:tr>
      <w:tr>
        <w:trPr>
          <w:trHeight w:val="103"/>
        </w:trPr>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4.52%</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100,000</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150,000</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40" w:type="dxa"/>
            <w:vAlign w:val="bottom"/>
            <w:gridSpan w:val="2"/>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CHF</w:t>
            </w:r>
          </w:p>
        </w:tc>
        <w:tc>
          <w:tcPr>
            <w:tcW w:w="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2"/>
              </w:rPr>
              <w:t>December 21, 2020</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December 22, 2025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CHF</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379,887</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397,137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18,394</w:t>
            </w:r>
          </w:p>
        </w:tc>
        <w:tc>
          <w:tcPr>
            <w:tcW w:w="6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03"/>
        </w:trPr>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3.98%</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426,456</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445,821</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40" w:type="dxa"/>
            <w:vAlign w:val="bottom"/>
            <w:tcBorders>
              <w:bottom w:val="single" w:sz="8" w:color="CCEEFF"/>
            </w:tcBorders>
            <w:gridSpan w:val="2"/>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24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20,569</w:t>
            </w:r>
          </w:p>
        </w:tc>
        <w:tc>
          <w:tcPr>
            <w:tcW w:w="64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(8,242)</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October 3</w:t>
      </w:r>
      <w:r>
        <w:rPr>
          <w:rFonts w:ascii="Arial" w:cs="Arial" w:eastAsia="Arial" w:hAnsi="Arial"/>
          <w:sz w:val="22"/>
          <w:szCs w:val="22"/>
          <w:color w:val="auto"/>
          <w:vertAlign w:val="superscript"/>
        </w:rPr>
        <w:t>rd</w:t>
      </w:r>
      <w:r>
        <w:rPr>
          <w:rFonts w:ascii="Arial" w:cs="Arial" w:eastAsia="Arial" w:hAnsi="Arial"/>
          <w:sz w:val="17"/>
          <w:szCs w:val="17"/>
          <w:color w:val="auto"/>
        </w:rPr>
        <w:t>, 2022, in accordance with the termination date, the Company settled cross-currency swaps designated as cash flow hedges of an intercompany loan with aggregate notional amounts of $100 million. Based on the closing exchange rates, the gain upon settlement of these swaps was approximately $1.6 million which was offset by the loss on the settlement of the intercompany loan.</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cross-currency swaps are carried on the consolidated balance sheet at fair value, and changes in the fair values are recorded as unrealized gains or losses in AOCL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Investment Hedges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December 16, 2020 and May 26, 2022, the Company entered into cross-currency swap agreements designated as net investment hedges to partially offset the effects of foreign currency on foreign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held the following cross-currency rate swaps designated as net investment hedges as of September 30, 2022 and December 31, 2021, respectively (dollar amounts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87"/>
              </w:rPr>
              <w:t>September 30, 2022</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4"/>
                <w:szCs w:val="14"/>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87"/>
              </w:rPr>
              <w:t>December 31, 2021</w:t>
            </w:r>
          </w:p>
        </w:tc>
        <w:tc>
          <w:tcPr>
            <w:tcW w:w="0" w:type="dxa"/>
            <w:vAlign w:val="bottom"/>
          </w:tcPr>
          <w:p>
            <w:pPr>
              <w:spacing w:after="0"/>
              <w:rPr>
                <w:sz w:val="1"/>
                <w:szCs w:val="1"/>
                <w:color w:val="auto"/>
              </w:rPr>
            </w:pPr>
          </w:p>
        </w:tc>
      </w:tr>
      <w:tr>
        <w:trPr>
          <w:trHeight w:val="101"/>
        </w:trPr>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8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Effective Date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Termination Date</w:t>
            </w:r>
          </w:p>
        </w:tc>
        <w:tc>
          <w:tcPr>
            <w:tcW w:w="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Fixed Rate</w:t>
            </w:r>
          </w:p>
        </w:tc>
        <w:tc>
          <w:tcPr>
            <w:tcW w:w="640" w:type="dxa"/>
            <w:vAlign w:val="bottom"/>
          </w:tcPr>
          <w:p>
            <w:pPr>
              <w:spacing w:after="0"/>
              <w:rPr>
                <w:sz w:val="11"/>
                <w:szCs w:val="11"/>
                <w:color w:val="auto"/>
              </w:rPr>
            </w:pPr>
          </w:p>
        </w:tc>
        <w:tc>
          <w:tcPr>
            <w:tcW w:w="2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Notional Amount</w:t>
            </w:r>
          </w:p>
        </w:tc>
        <w:tc>
          <w:tcPr>
            <w:tcW w:w="400" w:type="dxa"/>
            <w:vAlign w:val="bottom"/>
          </w:tcPr>
          <w:p>
            <w:pPr>
              <w:spacing w:after="0"/>
              <w:rPr>
                <w:sz w:val="11"/>
                <w:szCs w:val="11"/>
                <w:color w:val="auto"/>
              </w:rPr>
            </w:pPr>
          </w:p>
        </w:tc>
        <w:tc>
          <w:tcPr>
            <w:tcW w:w="2220" w:type="dxa"/>
            <w:vAlign w:val="bottom"/>
            <w:gridSpan w:val="4"/>
          </w:tcPr>
          <w:p>
            <w:pPr>
              <w:jc w:val="center"/>
              <w:ind w:right="324"/>
              <w:spacing w:after="0" w:line="131"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1"/>
        </w:trPr>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48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2220" w:type="dxa"/>
            <w:vAlign w:val="bottom"/>
            <w:gridSpan w:val="4"/>
            <w:vMerge w:val="restart"/>
          </w:tcPr>
          <w:p>
            <w:pPr>
              <w:jc w:val="center"/>
              <w:ind w:right="324"/>
              <w:spacing w:after="0"/>
              <w:rPr>
                <w:sz w:val="20"/>
                <w:szCs w:val="20"/>
                <w:color w:val="auto"/>
              </w:rPr>
            </w:pPr>
            <w:r>
              <w:rPr>
                <w:rFonts w:ascii="Arial" w:cs="Arial" w:eastAsia="Arial" w:hAnsi="Arial"/>
                <w:sz w:val="14"/>
                <w:szCs w:val="14"/>
                <w:b w:val="1"/>
                <w:bCs w:val="1"/>
                <w:color w:val="auto"/>
                <w:w w:val="90"/>
              </w:rPr>
              <w:t>Asset (Liability)</w:t>
            </w:r>
          </w:p>
        </w:tc>
        <w:tc>
          <w:tcPr>
            <w:tcW w:w="0" w:type="dxa"/>
            <w:vAlign w:val="bottom"/>
          </w:tcPr>
          <w:p>
            <w:pPr>
              <w:spacing w:after="0"/>
              <w:rPr>
                <w:sz w:val="1"/>
                <w:szCs w:val="1"/>
                <w:color w:val="auto"/>
              </w:rPr>
            </w:pPr>
          </w:p>
        </w:tc>
      </w:tr>
      <w:tr>
        <w:trPr>
          <w:trHeight w:val="83"/>
        </w:trPr>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EUR</w:t>
            </w:r>
          </w:p>
        </w:tc>
        <w:tc>
          <w:tcPr>
            <w:tcW w:w="8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2"/>
              </w:rPr>
              <w:t>October 3, 2018</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1"/>
              </w:rPr>
              <w:t>September 30, 2023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EUR</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51,760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2,503</w:t>
            </w:r>
          </w:p>
        </w:tc>
        <w:tc>
          <w:tcPr>
            <w:tcW w:w="0" w:type="dxa"/>
            <w:vAlign w:val="bottom"/>
          </w:tcPr>
          <w:p>
            <w:pPr>
              <w:spacing w:after="0"/>
              <w:rPr>
                <w:sz w:val="1"/>
                <w:szCs w:val="1"/>
                <w:color w:val="auto"/>
              </w:rPr>
            </w:pPr>
          </w:p>
        </w:tc>
      </w:tr>
      <w:tr>
        <w:trPr>
          <w:trHeight w:val="103"/>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2.57%</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60,000</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60,000</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6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gridSpan w:val="2"/>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EUR</w:t>
            </w:r>
          </w:p>
        </w:tc>
        <w:tc>
          <w:tcPr>
            <w:tcW w:w="8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2"/>
              </w:rPr>
              <w:t>October 3, 2018</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1"/>
              </w:rPr>
              <w:t>September 30, 2025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EUR</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38,820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2,147</w:t>
            </w:r>
          </w:p>
        </w:tc>
        <w:tc>
          <w:tcPr>
            <w:tcW w:w="0" w:type="dxa"/>
            <w:vAlign w:val="bottom"/>
          </w:tcPr>
          <w:p>
            <w:pPr>
              <w:spacing w:after="0"/>
              <w:rPr>
                <w:sz w:val="1"/>
                <w:szCs w:val="1"/>
                <w:color w:val="auto"/>
              </w:rPr>
            </w:pPr>
          </w:p>
        </w:tc>
      </w:tr>
      <w:tr>
        <w:trPr>
          <w:trHeight w:val="103"/>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2.19%</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45,000</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45,000</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6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gridSpan w:val="2"/>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CHF</w:t>
            </w: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December 16,</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December 16, 2027</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CHF</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222,300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1.10%</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0" w:type="dxa"/>
            <w:vAlign w:val="bottom"/>
          </w:tcPr>
          <w:p>
            <w:pPr>
              <w:spacing w:after="0"/>
              <w:rPr>
                <w:sz w:val="1"/>
                <w:szCs w:val="1"/>
                <w:color w:val="auto"/>
              </w:rPr>
            </w:pPr>
          </w:p>
        </w:tc>
      </w:tr>
      <w:tr>
        <w:trPr>
          <w:trHeight w:val="109"/>
        </w:trPr>
        <w:tc>
          <w:tcPr>
            <w:tcW w:w="16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gridSpan w:val="2"/>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 CHF</w:t>
            </w:r>
          </w:p>
        </w:tc>
        <w:tc>
          <w:tcPr>
            <w:tcW w:w="8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4"/>
              </w:rPr>
              <w:t>May 26, 2022</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December 16, 2028</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CHF</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288,210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Receive U.S.$</w:t>
            </w:r>
          </w:p>
        </w:tc>
        <w:tc>
          <w:tcPr>
            <w:tcW w:w="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1.94%</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300,000</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9"/>
        </w:trPr>
        <w:tc>
          <w:tcPr>
            <w:tcW w:w="16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Borders>
              <w:bottom w:val="single" w:sz="8" w:color="CCEEFF"/>
            </w:tcBorders>
            <w:gridSpan w:val="2"/>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40" w:type="dxa"/>
            <w:vAlign w:val="bottom"/>
            <w:tcBorders>
              <w:bottom w:val="single" w:sz="8" w:color="CCEEFF"/>
            </w:tcBorders>
          </w:tcPr>
          <w:p>
            <w:pPr>
              <w:spacing w:after="0"/>
              <w:rPr>
                <w:sz w:val="8"/>
                <w:szCs w:val="8"/>
                <w:color w:val="auto"/>
              </w:rPr>
            </w:pPr>
          </w:p>
        </w:tc>
        <w:tc>
          <w:tcPr>
            <w:tcW w:w="1300" w:type="dxa"/>
            <w:vAlign w:val="bottom"/>
            <w:tcBorders>
              <w:bottom w:val="single" w:sz="8" w:color="CCEEFF"/>
            </w:tcBorders>
          </w:tcPr>
          <w:p>
            <w:pPr>
              <w:spacing w:after="0"/>
              <w:rPr>
                <w:sz w:val="8"/>
                <w:szCs w:val="8"/>
                <w:color w:val="auto"/>
              </w:rPr>
            </w:pPr>
          </w:p>
        </w:tc>
        <w:tc>
          <w:tcPr>
            <w:tcW w:w="10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3,858</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26, 2022, the Company early settled cross-currency swaps designated as net investment hedge with an aggregate notional amount of $250 million equivalent to 222.3 million CHF. The original settlement date was December 16, 2027. As a result of the settlement, the Company recorded a gain of $4.9 million in AOCL. On May 26, 2022, the Company entered into cross-currency swap agreements designated as net investment hedge to replace these swaps with a notional amount of $300 million equivalent to 288 million CHF.</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September 30, 2021, in accordance with the termination date, the Company settled cross-currency swaps designated as net investment hedge with an aggregate notional amount of $52 million equivalent to 44.9 million Euros based on the termination date. As a result of the settlement, the Company recorded a gain of $0.1 million in AOCL.</w:t>
      </w:r>
    </w:p>
    <w:p>
      <w:pPr>
        <w:spacing w:after="0" w:line="7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cross-currency swaps are carried on the consolidated balance sheet at fair value, and changes in the fair values are recorded as unrealized gains or losses in AOCL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Counterparty Credit Risk</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Derivative Instruments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Effects of Derivative Instruments on Financial Position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fair value for derivatives designated as hedging instruments in the condensed consolidated balance sheets as of September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2022 and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Location on Balance Sheet</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8215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thousands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designated as hedges — Assets: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Prepaid expenses and other current assets</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Cash Flow Hedges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rate swap</w:t>
      </w:r>
      <w:r>
        <w:rPr>
          <w:rFonts w:ascii="Arial" w:cs="Arial" w:eastAsia="Arial" w:hAnsi="Arial"/>
          <w:sz w:val="20"/>
          <w:szCs w:val="20"/>
          <w:color w:val="auto"/>
          <w:vertAlign w:val="superscript"/>
        </w:rPr>
        <w:t>(2)</w:t>
      </w:r>
    </w:p>
    <w:p>
      <w:pPr>
        <w:ind w:left="320"/>
        <w:spacing w:after="0"/>
        <w:rPr>
          <w:sz w:val="20"/>
          <w:szCs w:val="20"/>
          <w:color w:val="auto"/>
        </w:rPr>
      </w:pPr>
      <w:r>
        <w:rPr>
          <w:rFonts w:ascii="Arial" w:cs="Arial" w:eastAsia="Arial" w:hAnsi="Arial"/>
          <w:sz w:val="15"/>
          <w:szCs w:val="15"/>
          <w:color w:val="auto"/>
        </w:rPr>
        <w:t>Cross-currency swap</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Net Investment Hedges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Cross-currency swap</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assets</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Cash Flow Hedges</w:t>
      </w:r>
    </w:p>
    <w:p>
      <w:pPr>
        <w:spacing w:after="0" w:line="22"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Interest rate swap</w:t>
      </w:r>
      <w:r>
        <w:rPr>
          <w:rFonts w:ascii="Arial" w:cs="Arial" w:eastAsia="Arial" w:hAnsi="Arial"/>
          <w:sz w:val="20"/>
          <w:szCs w:val="20"/>
          <w:color w:val="auto"/>
          <w:vertAlign w:val="superscript"/>
        </w:rPr>
        <w:t>(2)</w:t>
      </w:r>
    </w:p>
    <w:p>
      <w:pPr>
        <w:jc w:val="center"/>
        <w:ind w:right="5000"/>
        <w:spacing w:after="0"/>
        <w:rPr>
          <w:sz w:val="20"/>
          <w:szCs w:val="20"/>
          <w:color w:val="auto"/>
        </w:rPr>
      </w:pPr>
      <w:r>
        <w:rPr>
          <w:rFonts w:ascii="Arial" w:cs="Arial" w:eastAsia="Arial" w:hAnsi="Arial"/>
          <w:sz w:val="15"/>
          <w:szCs w:val="15"/>
          <w:color w:val="auto"/>
        </w:rPr>
        <w:t>Cross-currency swap</w:t>
      </w:r>
    </w:p>
    <w:p>
      <w:pPr>
        <w:spacing w:after="0" w:line="22" w:lineRule="exact"/>
        <w:rPr>
          <w:sz w:val="20"/>
          <w:szCs w:val="20"/>
          <w:color w:val="auto"/>
        </w:rPr>
      </w:pPr>
    </w:p>
    <w:p>
      <w:pPr>
        <w:jc w:val="center"/>
        <w:ind w:right="5080"/>
        <w:spacing w:after="0"/>
        <w:rPr>
          <w:sz w:val="20"/>
          <w:szCs w:val="20"/>
          <w:color w:val="auto"/>
        </w:rPr>
      </w:pPr>
      <w:r>
        <w:rPr>
          <w:rFonts w:ascii="Arial" w:cs="Arial" w:eastAsia="Arial" w:hAnsi="Arial"/>
          <w:sz w:val="15"/>
          <w:szCs w:val="15"/>
          <w:u w:val="single" w:color="auto"/>
          <w:color w:val="auto"/>
        </w:rPr>
        <w:t>Net Investment Hedges</w:t>
      </w:r>
    </w:p>
    <w:p>
      <w:pPr>
        <w:spacing w:after="0" w:line="34" w:lineRule="exact"/>
        <w:rPr>
          <w:sz w:val="20"/>
          <w:szCs w:val="20"/>
          <w:color w:val="auto"/>
        </w:rPr>
      </w:pPr>
    </w:p>
    <w:p>
      <w:pPr>
        <w:jc w:val="center"/>
        <w:ind w:right="5000"/>
        <w:spacing w:after="0"/>
        <w:rPr>
          <w:sz w:val="20"/>
          <w:szCs w:val="20"/>
          <w:color w:val="auto"/>
        </w:rPr>
      </w:pPr>
      <w:r>
        <w:rPr>
          <w:rFonts w:ascii="Arial" w:cs="Arial" w:eastAsia="Arial" w:hAnsi="Arial"/>
          <w:sz w:val="15"/>
          <w:szCs w:val="15"/>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derivatives designated as hedges — Assets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designated as hedges — Liabilities: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Accrued expenses and other current liabilities</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Cash Flow Hedges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rate swap</w:t>
      </w:r>
      <w:r>
        <w:rPr>
          <w:rFonts w:ascii="Arial" w:cs="Arial" w:eastAsia="Arial" w:hAnsi="Arial"/>
          <w:sz w:val="20"/>
          <w:szCs w:val="20"/>
          <w:color w:val="auto"/>
          <w:vertAlign w:val="superscript"/>
        </w:rPr>
        <w:t>(2)</w:t>
      </w:r>
    </w:p>
    <w:p>
      <w:pPr>
        <w:ind w:left="320"/>
        <w:spacing w:after="0"/>
        <w:rPr>
          <w:sz w:val="20"/>
          <w:szCs w:val="20"/>
          <w:color w:val="auto"/>
        </w:rPr>
      </w:pPr>
      <w:r>
        <w:rPr>
          <w:rFonts w:ascii="Arial" w:cs="Arial" w:eastAsia="Arial" w:hAnsi="Arial"/>
          <w:sz w:val="15"/>
          <w:szCs w:val="15"/>
          <w:color w:val="auto"/>
        </w:rPr>
        <w:t>Cross-currency swap</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Cash Flow Hedges</w:t>
      </w:r>
    </w:p>
    <w:p>
      <w:pPr>
        <w:spacing w:after="0" w:line="22"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Interest rate swap</w:t>
      </w:r>
      <w:r>
        <w:rPr>
          <w:rFonts w:ascii="Arial" w:cs="Arial" w:eastAsia="Arial" w:hAnsi="Arial"/>
          <w:sz w:val="20"/>
          <w:szCs w:val="20"/>
          <w:color w:val="auto"/>
          <w:vertAlign w:val="superscript"/>
        </w:rPr>
        <w:t>(2)</w:t>
      </w:r>
    </w:p>
    <w:p>
      <w:pPr>
        <w:jc w:val="center"/>
        <w:ind w:right="5000"/>
        <w:spacing w:after="0"/>
        <w:rPr>
          <w:sz w:val="20"/>
          <w:szCs w:val="20"/>
          <w:color w:val="auto"/>
        </w:rPr>
      </w:pPr>
      <w:r>
        <w:rPr>
          <w:rFonts w:ascii="Arial" w:cs="Arial" w:eastAsia="Arial" w:hAnsi="Arial"/>
          <w:sz w:val="15"/>
          <w:szCs w:val="15"/>
          <w:color w:val="auto"/>
        </w:rPr>
        <w:t>Cross-currency swap</w:t>
      </w:r>
    </w:p>
    <w:p>
      <w:pPr>
        <w:spacing w:after="0" w:line="22" w:lineRule="exact"/>
        <w:rPr>
          <w:sz w:val="20"/>
          <w:szCs w:val="20"/>
          <w:color w:val="auto"/>
        </w:rPr>
      </w:pPr>
    </w:p>
    <w:p>
      <w:pPr>
        <w:jc w:val="center"/>
        <w:ind w:right="5080"/>
        <w:spacing w:after="0"/>
        <w:rPr>
          <w:sz w:val="20"/>
          <w:szCs w:val="20"/>
          <w:color w:val="auto"/>
        </w:rPr>
      </w:pPr>
      <w:r>
        <w:rPr>
          <w:rFonts w:ascii="Arial" w:cs="Arial" w:eastAsia="Arial" w:hAnsi="Arial"/>
          <w:sz w:val="15"/>
          <w:szCs w:val="15"/>
          <w:u w:val="single" w:color="auto"/>
          <w:color w:val="auto"/>
        </w:rPr>
        <w:t>Net Investment Hedges</w:t>
      </w:r>
    </w:p>
    <w:p>
      <w:pPr>
        <w:spacing w:after="0" w:line="34" w:lineRule="exact"/>
        <w:rPr>
          <w:sz w:val="20"/>
          <w:szCs w:val="20"/>
          <w:color w:val="auto"/>
        </w:rPr>
      </w:pPr>
    </w:p>
    <w:p>
      <w:pPr>
        <w:jc w:val="center"/>
        <w:ind w:right="5000"/>
        <w:spacing w:after="0"/>
        <w:rPr>
          <w:sz w:val="20"/>
          <w:szCs w:val="20"/>
          <w:color w:val="auto"/>
        </w:rPr>
      </w:pPr>
      <w:r>
        <w:rPr>
          <w:rFonts w:ascii="Arial" w:cs="Arial" w:eastAsia="Arial" w:hAnsi="Arial"/>
          <w:sz w:val="15"/>
          <w:szCs w:val="15"/>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226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5" w:lineRule="exact"/>
        <w:rPr>
          <w:sz w:val="20"/>
          <w:szCs w:val="20"/>
          <w:color w:val="auto"/>
        </w:rPr>
      </w:pPr>
    </w:p>
    <w:p>
      <w:pPr>
        <w:ind w:left="280"/>
        <w:spacing w:after="0"/>
        <w:tabs>
          <w:tab w:leader="none" w:pos="208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1"/>
          <w:szCs w:val="11"/>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157480</wp:posOffset>
            </wp:positionV>
            <wp:extent cx="7105650" cy="130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419735</wp:posOffset>
            </wp:positionV>
            <wp:extent cx="7105650" cy="130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22269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13,111</w:t>
            </w:r>
          </w:p>
        </w:tc>
        <w:tc>
          <w:tcPr>
            <w:tcW w:w="74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9,287</w:t>
            </w:r>
          </w:p>
        </w:tc>
        <w:tc>
          <w:tcPr>
            <w:tcW w:w="74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4,900</w:t>
            </w:r>
          </w:p>
        </w:tc>
      </w:tr>
      <w:tr>
        <w:trPr>
          <w:trHeight w:val="413"/>
        </w:trPr>
        <w:tc>
          <w:tcPr>
            <w:tcW w:w="62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16,138</w:t>
            </w:r>
          </w:p>
        </w:tc>
        <w:tc>
          <w:tcPr>
            <w:tcW w:w="7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5,120</w:t>
            </w:r>
          </w:p>
        </w:tc>
      </w:tr>
      <w:tr>
        <w:trPr>
          <w:trHeight w:val="619"/>
        </w:trPr>
        <w:tc>
          <w:tcPr>
            <w:tcW w:w="62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47,493</w:t>
            </w:r>
          </w:p>
        </w:tc>
        <w:tc>
          <w:tcPr>
            <w:tcW w:w="7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4,373</w:t>
            </w:r>
          </w:p>
        </w:tc>
      </w:tr>
      <w:tr>
        <w:trPr>
          <w:trHeight w:val="206"/>
        </w:trPr>
        <w:tc>
          <w:tcPr>
            <w:tcW w:w="6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11,387</w:t>
            </w:r>
          </w:p>
        </w:tc>
        <w:tc>
          <w:tcPr>
            <w:tcW w:w="7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415"/>
        </w:trPr>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6,054</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2,104</w:t>
            </w:r>
          </w:p>
        </w:tc>
      </w:tr>
      <w:tr>
        <w:trPr>
          <w:trHeight w:val="199"/>
        </w:trPr>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103,470</w:t>
            </w:r>
          </w:p>
        </w:tc>
        <w:tc>
          <w:tcPr>
            <w:tcW w:w="7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16,497</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-1350010</wp:posOffset>
            </wp:positionV>
            <wp:extent cx="7105650" cy="130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-1088390</wp:posOffset>
            </wp:positionV>
            <wp:extent cx="7105650" cy="130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-826135</wp:posOffset>
            </wp:positionV>
            <wp:extent cx="7105650" cy="130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-564515</wp:posOffset>
            </wp:positionV>
            <wp:extent cx="7105650" cy="130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-302260</wp:posOffset>
            </wp:positionV>
            <wp:extent cx="7105650" cy="130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-15875</wp:posOffset>
            </wp:positionV>
            <wp:extent cx="7105650" cy="155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15557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269875</wp:posOffset>
            </wp:positionV>
            <wp:extent cx="710565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532130</wp:posOffset>
            </wp:positionV>
            <wp:extent cx="7105650" cy="130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18,187</w:t>
            </w:r>
          </w:p>
        </w:tc>
      </w:tr>
      <w:tr>
        <w:trPr>
          <w:trHeight w:val="206"/>
        </w:trPr>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105</w:t>
            </w:r>
          </w:p>
        </w:tc>
        <w:tc>
          <w:tcPr>
            <w:tcW w:w="7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8,283</w:t>
            </w:r>
          </w:p>
        </w:tc>
      </w:tr>
      <w:tr>
        <w:trPr>
          <w:trHeight w:val="413"/>
        </w:trPr>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30,143</w:t>
            </w:r>
          </w:p>
        </w:tc>
      </w:tr>
      <w:tr>
        <w:trPr>
          <w:trHeight w:val="206"/>
        </w:trPr>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4,859</w:t>
            </w:r>
          </w:p>
        </w:tc>
      </w:tr>
      <w:tr>
        <w:trPr>
          <w:trHeight w:val="415"/>
        </w:trPr>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6,467</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3,366</w:t>
            </w:r>
          </w:p>
        </w:tc>
      </w:tr>
      <w:tr>
        <w:trPr>
          <w:trHeight w:val="199"/>
        </w:trPr>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6,572</w:t>
            </w:r>
          </w:p>
        </w:tc>
        <w:tc>
          <w:tcPr>
            <w:tcW w:w="7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64,838</w:t>
            </w: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-826135</wp:posOffset>
            </wp:positionV>
            <wp:extent cx="7105650" cy="130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-564515</wp:posOffset>
            </wp:positionV>
            <wp:extent cx="7105650" cy="130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-302260</wp:posOffset>
            </wp:positionV>
            <wp:extent cx="7105650" cy="130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13081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ind w:left="140" w:hanging="137"/>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The Company classifies derivative assets and liabilities as current based on the cash flows expected to be incurred within the following 12 months.</w:t>
      </w:r>
    </w:p>
    <w:p>
      <w:pPr>
        <w:spacing w:after="0" w:line="8" w:lineRule="exact"/>
        <w:rPr>
          <w:rFonts w:ascii="Arial" w:cs="Arial" w:eastAsia="Arial" w:hAnsi="Arial"/>
          <w:sz w:val="16"/>
          <w:szCs w:val="16"/>
          <w:color w:val="auto"/>
          <w:vertAlign w:val="superscript"/>
        </w:rPr>
      </w:pPr>
    </w:p>
    <w:p>
      <w:pPr>
        <w:ind w:left="160" w:hanging="157"/>
        <w:spacing w:after="0" w:line="225" w:lineRule="auto"/>
        <w:tabs>
          <w:tab w:leader="none" w:pos="16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At September 30, 2022 and December 31, 2021, the total notional amounts related to the Company’s interest rate swaps were both $1.8 billion,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the effect of derivative instruments designated as cash flow hedges and net investment hedges on the AOCL and earnings, both net of tax, during the three and nine months ended September 30, 2022 and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in AOCL</w:t>
            </w: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 of Gain (Loss)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5"/>
              </w:rPr>
              <w:t>Reclassified from</w:t>
            </w:r>
          </w:p>
        </w:tc>
        <w:tc>
          <w:tcPr>
            <w:tcW w:w="10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w w:val="91"/>
              </w:rPr>
              <w:t>Balance in AOCL</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86"/>
              </w:rPr>
              <w:t>Beginning of</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6"/>
              </w:rPr>
              <w:t>Statements of</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Recognized in</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AOCL into</w:t>
            </w:r>
          </w:p>
        </w:tc>
        <w:tc>
          <w:tcPr>
            <w:tcW w:w="1080" w:type="dxa"/>
            <w:vAlign w:val="bottom"/>
            <w:gridSpan w:val="2"/>
            <w:vMerge w:val="restart"/>
          </w:tcPr>
          <w:p>
            <w:pPr>
              <w:jc w:val="right"/>
              <w:ind w:right="23"/>
              <w:spacing w:after="0" w:line="142" w:lineRule="exact"/>
              <w:rPr>
                <w:sz w:val="20"/>
                <w:szCs w:val="20"/>
                <w:color w:val="auto"/>
              </w:rPr>
            </w:pPr>
            <w:r>
              <w:rPr>
                <w:rFonts w:ascii="Arial" w:cs="Arial" w:eastAsia="Arial" w:hAnsi="Arial"/>
                <w:sz w:val="14"/>
                <w:szCs w:val="14"/>
                <w:b w:val="1"/>
                <w:bCs w:val="1"/>
                <w:color w:val="auto"/>
                <w:w w:val="97"/>
              </w:rPr>
              <w:t>End of Quarter</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101"/>
        </w:trPr>
        <w:tc>
          <w:tcPr>
            <w:tcW w:w="312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60" w:type="dxa"/>
            <w:vAlign w:val="bottom"/>
          </w:tcPr>
          <w:p>
            <w:pPr>
              <w:spacing w:after="0"/>
              <w:rPr>
                <w:sz w:val="8"/>
                <w:szCs w:val="8"/>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1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Three Months Ended September 30, 2022</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20" w:type="dxa"/>
            <w:vAlign w:val="bottom"/>
            <w:gridSpan w:val="4"/>
          </w:tcPr>
          <w:p>
            <w:pPr>
              <w:ind w:left="140"/>
              <w:spacing w:after="0" w:line="168" w:lineRule="exact"/>
              <w:rPr>
                <w:sz w:val="20"/>
                <w:szCs w:val="20"/>
                <w:color w:val="auto"/>
              </w:rPr>
            </w:pPr>
            <w:r>
              <w:rPr>
                <w:rFonts w:ascii="Arial" w:cs="Arial" w:eastAsia="Arial" w:hAnsi="Arial"/>
                <w:sz w:val="15"/>
                <w:szCs w:val="15"/>
                <w:color w:val="auto"/>
              </w:rPr>
              <w:t>Cash Flow Hedges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60,604</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Arial" w:cs="Arial" w:eastAsia="Arial" w:hAnsi="Arial"/>
                <w:sz w:val="15"/>
                <w:szCs w:val="15"/>
                <w:color w:val="auto"/>
              </w:rPr>
              <w:t>Cross-currency swap</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(17,835)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12,332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17,627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(23,130)</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0" w:type="dxa"/>
            <w:vAlign w:val="bottom"/>
          </w:tcPr>
          <w:p>
            <w:pPr>
              <w:spacing w:after="0"/>
              <w:rPr>
                <w:sz w:val="1"/>
                <w:szCs w:val="1"/>
                <w:color w:val="auto"/>
              </w:rPr>
            </w:pPr>
          </w:p>
        </w:tc>
      </w:tr>
      <w:tr>
        <w:trPr>
          <w:trHeight w:val="189"/>
        </w:trPr>
        <w:tc>
          <w:tcPr>
            <w:tcW w:w="3120" w:type="dxa"/>
            <w:vAlign w:val="bottom"/>
            <w:gridSpan w:val="4"/>
            <w:shd w:val="clear" w:color="auto" w:fill="CCEEFF"/>
          </w:tcPr>
          <w:p>
            <w:pPr>
              <w:ind w:left="140"/>
              <w:spacing w:after="0" w:line="171" w:lineRule="exact"/>
              <w:rPr>
                <w:sz w:val="20"/>
                <w:szCs w:val="20"/>
                <w:color w:val="auto"/>
              </w:rPr>
            </w:pPr>
            <w:r>
              <w:rPr>
                <w:rFonts w:ascii="Arial" w:cs="Arial" w:eastAsia="Arial" w:hAnsi="Arial"/>
                <w:sz w:val="15"/>
                <w:szCs w:val="15"/>
                <w:color w:val="auto"/>
              </w:rPr>
              <w:t>Net Investment Hedges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top w:val="single" w:sz="8" w:color="CCEEFF"/>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5"/>
                <w:szCs w:val="15"/>
                <w:color w:val="auto"/>
                <w:w w:val="95"/>
              </w:rPr>
              <w:t>Cross-currency swap</w:t>
            </w:r>
          </w:p>
        </w:tc>
        <w:tc>
          <w:tcPr>
            <w:tcW w:w="15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7,506</w:t>
            </w: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9,403</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2,378</w:t>
            </w:r>
          </w:p>
        </w:tc>
        <w:tc>
          <w:tcPr>
            <w:tcW w:w="10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14,531</w:t>
            </w:r>
          </w:p>
        </w:tc>
        <w:tc>
          <w:tcPr>
            <w:tcW w:w="80" w:type="dxa"/>
            <w:vAlign w:val="bottom"/>
            <w:tcBorders>
              <w:top w:val="single" w:sz="8" w:color="CCEEFF"/>
              <w:bottom w:val="single" w:sz="8" w:color="CCEEFF"/>
            </w:tcBorders>
          </w:tcPr>
          <w:p>
            <w:pPr>
              <w:spacing w:after="0"/>
              <w:rPr>
                <w:sz w:val="17"/>
                <w:szCs w:val="17"/>
                <w:color w:val="auto"/>
              </w:rPr>
            </w:pPr>
          </w:p>
        </w:tc>
        <w:tc>
          <w:tcPr>
            <w:tcW w:w="236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Interest income</w:t>
            </w:r>
          </w:p>
        </w:tc>
        <w:tc>
          <w:tcPr>
            <w:tcW w:w="0" w:type="dxa"/>
            <w:vAlign w:val="bottom"/>
          </w:tcPr>
          <w:p>
            <w:pPr>
              <w:spacing w:after="0"/>
              <w:rPr>
                <w:sz w:val="1"/>
                <w:szCs w:val="1"/>
                <w:color w:val="auto"/>
              </w:rPr>
            </w:pPr>
          </w:p>
        </w:tc>
      </w:tr>
      <w:tr>
        <w:trPr>
          <w:trHeight w:val="224"/>
        </w:trPr>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52,005</w:t>
            </w:r>
          </w:p>
        </w:tc>
        <w:tc>
          <w:tcPr>
            <w:tcW w:w="8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5"/>
                <w:szCs w:val="15"/>
                <w:b w:val="1"/>
                <w:bCs w:val="1"/>
                <w:color w:val="auto"/>
              </w:rPr>
              <w:t>Three Months Ended September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1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20" w:type="dxa"/>
            <w:vAlign w:val="bottom"/>
            <w:gridSpan w:val="4"/>
            <w:shd w:val="clear" w:color="auto" w:fill="CCEEFF"/>
          </w:tcPr>
          <w:p>
            <w:pPr>
              <w:ind w:left="140"/>
              <w:spacing w:after="0" w:line="170" w:lineRule="exact"/>
              <w:rPr>
                <w:sz w:val="20"/>
                <w:szCs w:val="20"/>
                <w:color w:val="auto"/>
              </w:rPr>
            </w:pPr>
            <w:r>
              <w:rPr>
                <w:rFonts w:ascii="Arial" w:cs="Arial" w:eastAsia="Arial" w:hAnsi="Arial"/>
                <w:sz w:val="15"/>
                <w:szCs w:val="15"/>
                <w:color w:val="auto"/>
              </w:rPr>
              <w:t>Cash Flow Hedges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Arial" w:cs="Arial" w:eastAsia="Arial" w:hAnsi="Arial"/>
                <w:sz w:val="15"/>
                <w:szCs w:val="15"/>
                <w:color w:val="auto"/>
              </w:rPr>
              <w:t>Interest rate swap</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(62,736)</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2,488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(5,434)</w:t>
            </w:r>
          </w:p>
        </w:tc>
        <w:tc>
          <w:tcPr>
            <w:tcW w:w="1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(54,814)</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Cross-currency swap</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(3,192)</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0" w:type="dxa"/>
            <w:vAlign w:val="bottom"/>
          </w:tcPr>
          <w:p>
            <w:pPr>
              <w:spacing w:after="0"/>
              <w:rPr>
                <w:sz w:val="1"/>
                <w:szCs w:val="1"/>
                <w:color w:val="auto"/>
              </w:rPr>
            </w:pPr>
          </w:p>
        </w:tc>
      </w:tr>
      <w:tr>
        <w:trPr>
          <w:trHeight w:val="177"/>
        </w:trPr>
        <w:tc>
          <w:tcPr>
            <w:tcW w:w="3120" w:type="dxa"/>
            <w:vAlign w:val="bottom"/>
            <w:gridSpan w:val="4"/>
          </w:tcPr>
          <w:p>
            <w:pPr>
              <w:ind w:left="140"/>
              <w:spacing w:after="0" w:line="168" w:lineRule="exact"/>
              <w:rPr>
                <w:sz w:val="20"/>
                <w:szCs w:val="20"/>
                <w:color w:val="auto"/>
              </w:rPr>
            </w:pPr>
            <w:r>
              <w:rPr>
                <w:rFonts w:ascii="Arial" w:cs="Arial" w:eastAsia="Arial" w:hAnsi="Arial"/>
                <w:sz w:val="15"/>
                <w:szCs w:val="15"/>
                <w:color w:val="auto"/>
              </w:rPr>
              <w:t>Net Investment Hedges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5"/>
                <w:szCs w:val="15"/>
                <w:color w:val="auto"/>
                <w:w w:val="95"/>
              </w:rPr>
              <w:t>Cross-currency swap</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3,055</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(69,177)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(54,951)</w:t>
            </w:r>
          </w:p>
        </w:tc>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in AOCL</w:t>
            </w:r>
          </w:p>
        </w:tc>
        <w:tc>
          <w:tcPr>
            <w:tcW w:w="20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 of Gain (Loss)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5"/>
              </w:rPr>
              <w:t>Reclassified from</w:t>
            </w:r>
          </w:p>
        </w:tc>
        <w:tc>
          <w:tcPr>
            <w:tcW w:w="10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w w:val="91"/>
              </w:rPr>
              <w:t>Balance in AOCL</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86"/>
              </w:rPr>
              <w:t>Beginning of</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6"/>
              </w:rPr>
              <w:t>Statements of</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Recognized in</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AOCL into</w:t>
            </w:r>
          </w:p>
        </w:tc>
        <w:tc>
          <w:tcPr>
            <w:tcW w:w="1080" w:type="dxa"/>
            <w:vAlign w:val="bottom"/>
            <w:gridSpan w:val="2"/>
            <w:vMerge w:val="restart"/>
          </w:tcPr>
          <w:p>
            <w:pPr>
              <w:jc w:val="right"/>
              <w:ind w:right="23"/>
              <w:spacing w:after="0" w:line="142" w:lineRule="exact"/>
              <w:rPr>
                <w:sz w:val="20"/>
                <w:szCs w:val="20"/>
                <w:color w:val="auto"/>
              </w:rPr>
            </w:pPr>
            <w:r>
              <w:rPr>
                <w:rFonts w:ascii="Arial" w:cs="Arial" w:eastAsia="Arial" w:hAnsi="Arial"/>
                <w:sz w:val="14"/>
                <w:szCs w:val="14"/>
                <w:b w:val="1"/>
                <w:bCs w:val="1"/>
                <w:color w:val="auto"/>
                <w:w w:val="97"/>
              </w:rPr>
              <w:t>End of Quarter</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101"/>
        </w:trPr>
        <w:tc>
          <w:tcPr>
            <w:tcW w:w="312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AOCL</w:t>
            </w:r>
          </w:p>
        </w:tc>
        <w:tc>
          <w:tcPr>
            <w:tcW w:w="160" w:type="dxa"/>
            <w:vAlign w:val="bottom"/>
          </w:tcPr>
          <w:p>
            <w:pPr>
              <w:spacing w:after="0"/>
              <w:rPr>
                <w:sz w:val="8"/>
                <w:szCs w:val="8"/>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1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Nine Months Ended September 30, 2022</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20" w:type="dxa"/>
            <w:vAlign w:val="bottom"/>
            <w:gridSpan w:val="4"/>
          </w:tcPr>
          <w:p>
            <w:pPr>
              <w:ind w:left="140"/>
              <w:spacing w:after="0" w:line="168" w:lineRule="exact"/>
              <w:rPr>
                <w:sz w:val="20"/>
                <w:szCs w:val="20"/>
                <w:color w:val="auto"/>
              </w:rPr>
            </w:pPr>
            <w:r>
              <w:rPr>
                <w:rFonts w:ascii="Arial" w:cs="Arial" w:eastAsia="Arial" w:hAnsi="Arial"/>
                <w:sz w:val="15"/>
                <w:szCs w:val="15"/>
                <w:color w:val="auto"/>
              </w:rPr>
              <w:t>Cash Flow Hedges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60,604</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Arial" w:cs="Arial" w:eastAsia="Arial" w:hAnsi="Arial"/>
                <w:sz w:val="15"/>
                <w:szCs w:val="15"/>
                <w:color w:val="auto"/>
              </w:rPr>
              <w:t>Cross-currency swap</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(9,688)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33,784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47,226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(23,130)</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0" w:type="dxa"/>
            <w:vAlign w:val="bottom"/>
          </w:tcPr>
          <w:p>
            <w:pPr>
              <w:spacing w:after="0"/>
              <w:rPr>
                <w:sz w:val="1"/>
                <w:szCs w:val="1"/>
                <w:color w:val="auto"/>
              </w:rPr>
            </w:pPr>
          </w:p>
        </w:tc>
      </w:tr>
      <w:tr>
        <w:trPr>
          <w:trHeight w:val="189"/>
        </w:trPr>
        <w:tc>
          <w:tcPr>
            <w:tcW w:w="3120" w:type="dxa"/>
            <w:vAlign w:val="bottom"/>
            <w:gridSpan w:val="4"/>
            <w:shd w:val="clear" w:color="auto" w:fill="CCEEFF"/>
          </w:tcPr>
          <w:p>
            <w:pPr>
              <w:ind w:left="140"/>
              <w:spacing w:after="0" w:line="171" w:lineRule="exact"/>
              <w:rPr>
                <w:sz w:val="20"/>
                <w:szCs w:val="20"/>
                <w:color w:val="auto"/>
              </w:rPr>
            </w:pPr>
            <w:r>
              <w:rPr>
                <w:rFonts w:ascii="Arial" w:cs="Arial" w:eastAsia="Arial" w:hAnsi="Arial"/>
                <w:sz w:val="15"/>
                <w:szCs w:val="15"/>
                <w:color w:val="auto"/>
              </w:rPr>
              <w:t>Net Investment Hedges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top w:val="single" w:sz="8" w:color="CCEEFF"/>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5"/>
                <w:szCs w:val="15"/>
                <w:color w:val="auto"/>
                <w:w w:val="95"/>
              </w:rPr>
              <w:t>Cross-currency swap</w:t>
            </w:r>
          </w:p>
        </w:tc>
        <w:tc>
          <w:tcPr>
            <w:tcW w:w="15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(2,321)</w:t>
            </w: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21,528</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4,676</w:t>
            </w:r>
          </w:p>
        </w:tc>
        <w:tc>
          <w:tcPr>
            <w:tcW w:w="10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rPr>
              <w:t>14,531</w:t>
            </w:r>
          </w:p>
        </w:tc>
        <w:tc>
          <w:tcPr>
            <w:tcW w:w="80" w:type="dxa"/>
            <w:vAlign w:val="bottom"/>
            <w:tcBorders>
              <w:top w:val="single" w:sz="8" w:color="CCEEFF"/>
              <w:bottom w:val="single" w:sz="8" w:color="CCEEFF"/>
            </w:tcBorders>
          </w:tcPr>
          <w:p>
            <w:pPr>
              <w:spacing w:after="0"/>
              <w:rPr>
                <w:sz w:val="17"/>
                <w:szCs w:val="17"/>
                <w:color w:val="auto"/>
              </w:rPr>
            </w:pPr>
          </w:p>
        </w:tc>
        <w:tc>
          <w:tcPr>
            <w:tcW w:w="236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Interest income</w:t>
            </w:r>
          </w:p>
        </w:tc>
        <w:tc>
          <w:tcPr>
            <w:tcW w:w="0" w:type="dxa"/>
            <w:vAlign w:val="bottom"/>
          </w:tcPr>
          <w:p>
            <w:pPr>
              <w:spacing w:after="0"/>
              <w:rPr>
                <w:sz w:val="1"/>
                <w:szCs w:val="1"/>
                <w:color w:val="auto"/>
              </w:rPr>
            </w:pPr>
          </w:p>
        </w:tc>
      </w:tr>
      <w:tr>
        <w:trPr>
          <w:trHeight w:val="224"/>
        </w:trPr>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(55,965)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150,041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42,071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52,005</w:t>
            </w:r>
          </w:p>
        </w:tc>
        <w:tc>
          <w:tcPr>
            <w:tcW w:w="8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5"/>
                <w:szCs w:val="15"/>
                <w:b w:val="1"/>
                <w:bCs w:val="1"/>
                <w:color w:val="auto"/>
              </w:rPr>
              <w:t>Nine Months Ended September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1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20" w:type="dxa"/>
            <w:vAlign w:val="bottom"/>
            <w:gridSpan w:val="4"/>
            <w:shd w:val="clear" w:color="auto" w:fill="CCEEFF"/>
          </w:tcPr>
          <w:p>
            <w:pPr>
              <w:ind w:left="140"/>
              <w:spacing w:after="0" w:line="170" w:lineRule="exact"/>
              <w:rPr>
                <w:sz w:val="20"/>
                <w:szCs w:val="20"/>
                <w:color w:val="auto"/>
              </w:rPr>
            </w:pPr>
            <w:r>
              <w:rPr>
                <w:rFonts w:ascii="Arial" w:cs="Arial" w:eastAsia="Arial" w:hAnsi="Arial"/>
                <w:sz w:val="15"/>
                <w:szCs w:val="15"/>
                <w:color w:val="auto"/>
              </w:rPr>
              <w:t>Cash Flow Hedges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Arial" w:cs="Arial" w:eastAsia="Arial" w:hAnsi="Arial"/>
                <w:sz w:val="15"/>
                <w:szCs w:val="15"/>
                <w:color w:val="auto"/>
              </w:rPr>
              <w:t>Interest rate swap</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(93,769)</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21,993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(16,962)</w:t>
            </w:r>
          </w:p>
        </w:tc>
        <w:tc>
          <w:tcPr>
            <w:tcW w:w="1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(54,814)</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Cross-currency swap</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(3,192)</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0" w:type="dxa"/>
            <w:vAlign w:val="bottom"/>
          </w:tcPr>
          <w:p>
            <w:pPr>
              <w:spacing w:after="0"/>
              <w:rPr>
                <w:sz w:val="1"/>
                <w:szCs w:val="1"/>
                <w:color w:val="auto"/>
              </w:rPr>
            </w:pPr>
          </w:p>
        </w:tc>
      </w:tr>
      <w:tr>
        <w:trPr>
          <w:trHeight w:val="177"/>
        </w:trPr>
        <w:tc>
          <w:tcPr>
            <w:tcW w:w="3120" w:type="dxa"/>
            <w:vAlign w:val="bottom"/>
            <w:gridSpan w:val="4"/>
          </w:tcPr>
          <w:p>
            <w:pPr>
              <w:ind w:left="140"/>
              <w:spacing w:after="0" w:line="168" w:lineRule="exact"/>
              <w:rPr>
                <w:sz w:val="20"/>
                <w:szCs w:val="20"/>
                <w:color w:val="auto"/>
              </w:rPr>
            </w:pPr>
            <w:r>
              <w:rPr>
                <w:rFonts w:ascii="Arial" w:cs="Arial" w:eastAsia="Arial" w:hAnsi="Arial"/>
                <w:sz w:val="15"/>
                <w:szCs w:val="15"/>
                <w:color w:val="auto"/>
              </w:rPr>
              <w:t>Net Investment Hedges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5"/>
                <w:szCs w:val="15"/>
                <w:color w:val="auto"/>
                <w:w w:val="95"/>
              </w:rPr>
              <w:t>Cross-currency swap</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(12,291)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3,055</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(107,133)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78,806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(54,951)</w:t>
            </w:r>
          </w:p>
        </w:tc>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three and nine months ended September 30, 2022, the Company recorded gains of $16.5 million and $42.2 million, respectively, in other income, net related to change in fair value related to the foreign currency rate translation of the cross-currency swaps, designated as cash flow hedges, to offset the losses recognized on the intercompany loans. For the three and nine months ended September 30, 2021, the Company recorded a gains of $4.3 million and $34.3 million, respectively, in other income, net related to change in fair value related to the foreign currency rate translation of the cross-currency swaps, designated as cash flow hedges, to offset the losses recognized on the intercompany loans.</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 the three and nine months ended September 30, 2022, the Company recorded gains of $1.1 million and $5.0 million, respectively, in other income, net included in the consolidated statements of operations related to the interest rate differential of the cross-currency swaps designated as cash flow hedges. For the three and nine months ended September 30, 2021, the Company recorded gains of $1.5 million and $4.1 million, respectively, in other income, net included in the consolidated statements of operations related to the interest rate differential of the cross-currency swaps designated as cash flow hedges.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estimated gain that is expected to be reclassified to other income, net from AOCL as of September 30, 2022, for the cross-currency swaps designated as cash flow hedges, within the next twelve months is $9.2 million. As of September 30, 2022, the Company does not expect any gains or losses will be reclassified into earnings as a result of the discontinuance of these cash flow hedges because the original forecasted transaction will not occur.</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estimated gain that is expected to be reclassified to interest income from AOCL as of September 30, 2022, for the cross-currency swaps designated as net investment hedges, within the next twelve months is $16.1 million.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not designated hedges:</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the fourth quarter of 2020, the Company entered into foreign currency forward contracts, with a notional amount of $4.2 million, to mitigate the foreign exchange risk related to certain intercompany loans denominated in Canadian Dollar ("CAD"). During the second quarter of 2022, the Company entered into foreign currency forward contract, with a notional amount of $4.2 million, to mitigate the foreign exchange risk related to certain intercompany receivables denominated in Japanese Yen ("JPY"). These contracts were settled in third quarter of 2022, in accordance with their termination date with a gain of $0.2 million. During the third quarter of 2022, the Company also entered into foreign currency forward contracts, with a notional amount of $2.0 million, which was also settled in the third quarter of 2022 in accordance with its term, resulting in a gain of $0.1 million. During the third quarter of 2022, the Company entered into foreign currency forward contracts, with a notional amount of $16.4 million, to mitigate the foreign exchange risk related to certain intercompany receivables denominated in JPY, CHF and the Chinese Renminbi traded in Hong Kong. The contracts are not designated as hedging instruments. The fair value of the foreign currency forward contracts was $1.2 million and $0.2 million as of September 30, 2022 and December 31, 2021, respectively.</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third quarter of 2022, the Company entered into a foreign currency swap, with a notional amount of $12.2 million to mitigate the risk from fluctuations in foreign currency exchange rates associated with an intercompany loan denominated in CHF. During the second quarter of 2021, the Company entered into a foreign currency swap, with a notional amount of $7.3 million to mitigate the risk from fluctuations in foreign currency exchange rates associated with an intercompany loan denominated in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$6.4 million.</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summarizes the gains (losses) of derivative instruments not designated as hedges on the condensed consolidated statements of income, which was included in other income:</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5"/>
        </w:trPr>
        <w:tc>
          <w:tcPr>
            <w:tcW w:w="2940" w:type="dxa"/>
            <w:vAlign w:val="bottom"/>
          </w:tcPr>
          <w:p>
            <w:pPr>
              <w:spacing w:after="0"/>
              <w:rPr>
                <w:sz w:val="20"/>
                <w:szCs w:val="20"/>
                <w:color w:val="auto"/>
              </w:rPr>
            </w:pPr>
            <w:r>
              <w:rPr>
                <w:rFonts w:ascii="Arial" w:cs="Arial" w:eastAsia="Arial" w:hAnsi="Arial"/>
                <w:sz w:val="14"/>
                <w:szCs w:val="14"/>
                <w:color w:val="auto"/>
              </w:rPr>
              <w:t>Dollars in thousands</w:t>
            </w:r>
          </w:p>
        </w:tc>
        <w:tc>
          <w:tcPr>
            <w:tcW w:w="312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5"/>
                <w:szCs w:val="15"/>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29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2021</w:t>
            </w:r>
          </w:p>
        </w:tc>
      </w:tr>
      <w:tr>
        <w:trPr>
          <w:trHeight w:val="201"/>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forward contracts</w:t>
            </w:r>
          </w:p>
        </w:tc>
        <w:tc>
          <w:tcPr>
            <w:tcW w:w="1160" w:type="dxa"/>
            <w:vAlign w:val="bottom"/>
            <w:shd w:val="clear" w:color="auto" w:fill="CCEEFF"/>
          </w:tcPr>
          <w:p>
            <w:pPr>
              <w:jc w:val="right"/>
              <w:ind w:right="100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1,162</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4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center"/>
              <w:ind w:left="883"/>
              <w:spacing w:after="0"/>
              <w:rPr>
                <w:sz w:val="20"/>
                <w:szCs w:val="20"/>
                <w:color w:val="auto"/>
              </w:rPr>
            </w:pPr>
            <w:r>
              <w:rPr>
                <w:rFonts w:ascii="Arial" w:cs="Arial" w:eastAsia="Arial" w:hAnsi="Arial"/>
                <w:sz w:val="15"/>
                <w:szCs w:val="15"/>
                <w:color w:val="auto"/>
                <w:w w:val="96"/>
              </w:rPr>
              <w:t>(186)</w:t>
            </w:r>
          </w:p>
        </w:tc>
      </w:tr>
      <w:tr>
        <w:trPr>
          <w:trHeight w:val="203"/>
        </w:trPr>
        <w:tc>
          <w:tcPr>
            <w:tcW w:w="29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Foreign currency swaps</w:t>
            </w: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184</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903"/>
              <w:spacing w:after="0"/>
              <w:rPr>
                <w:sz w:val="20"/>
                <w:szCs w:val="20"/>
                <w:color w:val="auto"/>
              </w:rPr>
            </w:pPr>
            <w:r>
              <w:rPr>
                <w:rFonts w:ascii="Arial" w:cs="Arial" w:eastAsia="Arial" w:hAnsi="Arial"/>
                <w:sz w:val="15"/>
                <w:szCs w:val="15"/>
                <w:color w:val="auto"/>
                <w:w w:val="95"/>
              </w:rPr>
              <w:t>404</w:t>
            </w:r>
          </w:p>
        </w:tc>
      </w:tr>
      <w:tr>
        <w:trPr>
          <w:trHeight w:val="22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16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1,346</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center"/>
              <w:ind w:left="903"/>
              <w:spacing w:after="0"/>
              <w:rPr>
                <w:sz w:val="20"/>
                <w:szCs w:val="20"/>
                <w:color w:val="auto"/>
              </w:rPr>
            </w:pPr>
            <w:r>
              <w:rPr>
                <w:rFonts w:ascii="Arial" w:cs="Arial" w:eastAsia="Arial" w:hAnsi="Arial"/>
                <w:sz w:val="15"/>
                <w:szCs w:val="15"/>
                <w:color w:val="auto"/>
                <w:w w:val="95"/>
              </w:rPr>
              <w:t>218</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2022,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spacing w:after="0" w:line="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As of September 30, 2022, there were approximately $3.9 million of total unrecognized compensation costs related to unvested stock options. These costs are expected to be recognized over a weighted-average period of approximately three years. There were 145,565 stock options granted during the nine months ended September 30, 2022. For the nine months ended September 30, 2022, the weighted average grant date fair value for stock options was $23.15 per option.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September 30, 2022, there was approximately $33.6 million of total unrecognized compensation costs related to these unvested awards. The Company expects to recognize these costs over a weighted-average period of approximately two years. The Company granted 397,333 restricted stock awards and 130,753 performance stock awards during the nine months ended September 30, 2022. For the nine months ended September 30, 2022, the weighted average grant date fair value for restricted stock awards and performance stock units was $63.62 and $65.11 per award, respectively.</w:t>
      </w:r>
    </w:p>
    <w:p>
      <w:pPr>
        <w:spacing w:after="0" w:line="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RETIREMENT PLANS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defined benefit pension plans that cover certain employees in France, Japan, Germany and Switzerland.</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periodic benefit cost for the Company’s defined benefit pension plans for the three and nine months ended September 30, 2022 were $0.3 million and $0.8 million. The components of the net periodic benefit costs other than the service cost component of $0.6 million and $1.9 million for the three and nine months ended September 30, 2022 are included in other income, net in the consolidated statements of operations.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periodic benefit costs for the Company’s defined benefit pension plans for the three and nine months ended September 30, 2021 were $0.5 million and $1.8 million. The components of the net periodic benefit costs other than the service cost component of $0.8 million and $2.4 million for the three and nine months ended September 30, 2021 are included in other income, net in the consolidated statements of operations.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estimated fair values of plan assets were $34.0 million and $39.9 million as of September 30, 2022 and December 31, 2021, respectively. The net plan assets of the pension plans are invested in common trusts as of September 30, 2022 and December 31, 2021.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maintains a Deferred Compensation Plan in which certain employees of the Company may defer the payment and taxation of up to 75% of their base salary and up to 100% of bonus amounts and other eligible cash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$4.3 million and $3.8 million as of September 30, 2022 and December 31, 2021. Offsetting liabilities relating to the deferred compensation plan are included in Other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LEASES AND RELATED PARTY LEASES</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leases administrative, manufacturing, research and distribution facilities and vehicles through operating lease agreements. The Company has no finance leases as of September 30, 2022.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lease expense for the nine months ended September 30, 2022 and September 30, 2021 was $16.6 million and $15.7 million respectively, which includes $0.2 million, in related party operating lease expense.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operating leases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ind w:left="20"/>
              <w:spacing w:after="0"/>
              <w:rPr>
                <w:sz w:val="20"/>
                <w:szCs w:val="20"/>
                <w:color w:val="auto"/>
              </w:rPr>
            </w:pPr>
            <w:r>
              <w:rPr>
                <w:rFonts w:ascii="Arial" w:cs="Arial" w:eastAsia="Arial" w:hAnsi="Arial"/>
                <w:sz w:val="14"/>
                <w:szCs w:val="14"/>
                <w:color w:val="auto"/>
              </w:rPr>
              <w:t>Dollars in thousands, except lease term and discount rate</w:t>
            </w:r>
          </w:p>
        </w:tc>
        <w:tc>
          <w:tcPr>
            <w:tcW w:w="320" w:type="dxa"/>
            <w:vAlign w:val="bottom"/>
          </w:tcPr>
          <w:p>
            <w:pPr>
              <w:spacing w:after="0"/>
              <w:rPr>
                <w:sz w:val="15"/>
                <w:szCs w:val="15"/>
                <w:color w:val="auto"/>
              </w:rPr>
            </w:pPr>
          </w:p>
        </w:tc>
        <w:tc>
          <w:tcPr>
            <w:tcW w:w="2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2022</w:t>
            </w:r>
          </w:p>
        </w:tc>
        <w:tc>
          <w:tcPr>
            <w:tcW w:w="340" w:type="dxa"/>
            <w:vAlign w:val="bottom"/>
          </w:tcPr>
          <w:p>
            <w:pPr>
              <w:spacing w:after="0"/>
              <w:rPr>
                <w:sz w:val="15"/>
                <w:szCs w:val="15"/>
                <w:color w:val="auto"/>
              </w:rPr>
            </w:pPr>
          </w:p>
        </w:tc>
        <w:tc>
          <w:tcPr>
            <w:tcW w:w="1920" w:type="dxa"/>
            <w:vAlign w:val="bottom"/>
          </w:tcPr>
          <w:p>
            <w:pPr>
              <w:jc w:val="right"/>
              <w:ind w:right="484"/>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ROU assets</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148,270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84,543</w:t>
            </w:r>
          </w:p>
        </w:tc>
      </w:tr>
      <w:tr>
        <w:trPr>
          <w:trHeight w:val="258"/>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lease liabilities</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13,488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14,775</w:t>
            </w:r>
          </w:p>
        </w:tc>
      </w:tr>
      <w:tr>
        <w:trPr>
          <w:trHeight w:val="20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lease liabilities</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157,533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90,329</w:t>
            </w:r>
          </w:p>
        </w:tc>
      </w:tr>
      <w:tr>
        <w:trPr>
          <w:trHeight w:val="22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lease liabilities</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171,021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105,104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remaining lease term (in years):</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5"/>
                <w:szCs w:val="15"/>
                <w:color w:val="auto"/>
              </w:rPr>
              <w:t>Leased facilities</w:t>
            </w:r>
          </w:p>
        </w:tc>
        <w:tc>
          <w:tcPr>
            <w:tcW w:w="320" w:type="dxa"/>
            <w:vAlign w:val="bottom"/>
          </w:tcPr>
          <w:p>
            <w:pPr>
              <w:spacing w:after="0"/>
              <w:rPr>
                <w:sz w:val="17"/>
                <w:szCs w:val="17"/>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5"/>
                <w:szCs w:val="15"/>
                <w:color w:val="auto"/>
              </w:rPr>
              <w:t>17.3 years</w:t>
            </w: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10.4 years</w:t>
            </w:r>
          </w:p>
        </w:tc>
      </w:tr>
      <w:tr>
        <w:trPr>
          <w:trHeight w:val="209"/>
        </w:trPr>
        <w:tc>
          <w:tcPr>
            <w:tcW w:w="66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Leased vehicles</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 years</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years</w:t>
            </w:r>
          </w:p>
        </w:tc>
      </w:tr>
      <w:tr>
        <w:trPr>
          <w:trHeight w:val="258"/>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discount rate:</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5"/>
                <w:szCs w:val="15"/>
                <w:color w:val="auto"/>
              </w:rPr>
              <w:t>Leased facilities</w:t>
            </w:r>
          </w:p>
        </w:tc>
        <w:tc>
          <w:tcPr>
            <w:tcW w:w="3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5.3 %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5.1 %</w:t>
            </w:r>
          </w:p>
        </w:tc>
      </w:tr>
      <w:tr>
        <w:trPr>
          <w:trHeight w:val="209"/>
        </w:trPr>
        <w:tc>
          <w:tcPr>
            <w:tcW w:w="66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Leased vehicles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for the nine months ended September 30, 2022 and 2021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14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52"/>
        </w:trPr>
        <w:tc>
          <w:tcPr>
            <w:tcW w:w="78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7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rPr>
                <w:sz w:val="20"/>
                <w:szCs w:val="20"/>
                <w:color w:val="auto"/>
              </w:rPr>
            </w:pPr>
            <w:r>
              <w:rPr>
                <w:rFonts w:ascii="Arial" w:cs="Arial" w:eastAsia="Arial" w:hAnsi="Arial"/>
                <w:sz w:val="15"/>
                <w:szCs w:val="15"/>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12,804</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10,942</w:t>
            </w:r>
          </w:p>
        </w:tc>
        <w:tc>
          <w:tcPr>
            <w:tcW w:w="0" w:type="dxa"/>
            <w:vAlign w:val="bottom"/>
          </w:tcPr>
          <w:p>
            <w:pPr>
              <w:spacing w:after="0"/>
              <w:rPr>
                <w:sz w:val="1"/>
                <w:szCs w:val="1"/>
                <w:color w:val="auto"/>
              </w:rPr>
            </w:pPr>
          </w:p>
        </w:tc>
      </w:tr>
      <w:tr>
        <w:trPr>
          <w:trHeight w:val="261"/>
        </w:trPr>
        <w:tc>
          <w:tcPr>
            <w:tcW w:w="7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rPr>
                <w:sz w:val="20"/>
                <w:szCs w:val="20"/>
                <w:color w:val="auto"/>
              </w:rPr>
            </w:pPr>
            <w:r>
              <w:rPr>
                <w:rFonts w:ascii="Arial" w:cs="Arial" w:eastAsia="Arial" w:hAnsi="Arial"/>
                <w:sz w:val="15"/>
                <w:szCs w:val="15"/>
                <w:color w:val="auto"/>
              </w:rPr>
              <w:t>ROU assets obtained in exchange for lease liabilities: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10,725</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operating leases at September 30,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8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Parties</w:t>
            </w:r>
          </w:p>
        </w:tc>
        <w:tc>
          <w:tcPr>
            <w:tcW w:w="340" w:type="dxa"/>
            <w:vAlign w:val="bottom"/>
          </w:tcPr>
          <w:p>
            <w:pPr>
              <w:spacing w:after="0"/>
              <w:rPr>
                <w:sz w:val="15"/>
                <w:szCs w:val="15"/>
                <w:color w:val="auto"/>
              </w:rPr>
            </w:pPr>
          </w:p>
        </w:tc>
        <w:tc>
          <w:tcPr>
            <w:tcW w:w="1180" w:type="dxa"/>
            <w:vAlign w:val="bottom"/>
          </w:tcPr>
          <w:p>
            <w:pPr>
              <w:jc w:val="right"/>
              <w:ind w:right="543"/>
              <w:spacing w:after="0"/>
              <w:rPr>
                <w:sz w:val="20"/>
                <w:szCs w:val="20"/>
                <w:color w:val="auto"/>
              </w:rPr>
            </w:pPr>
            <w:r>
              <w:rPr>
                <w:rFonts w:ascii="Arial" w:cs="Arial" w:eastAsia="Arial" w:hAnsi="Arial"/>
                <w:sz w:val="14"/>
                <w:szCs w:val="14"/>
                <w:b w:val="1"/>
                <w:bCs w:val="1"/>
                <w:color w:val="auto"/>
              </w:rPr>
              <w:t>Total</w:t>
            </w:r>
          </w:p>
        </w:tc>
      </w:tr>
      <w:tr>
        <w:trPr>
          <w:trHeight w:val="24"/>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2022</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4,186</w:t>
            </w:r>
          </w:p>
        </w:tc>
      </w:tr>
      <w:tr>
        <w:trPr>
          <w:trHeight w:val="203"/>
        </w:trPr>
        <w:tc>
          <w:tcPr>
            <w:tcW w:w="6480" w:type="dxa"/>
            <w:vAlign w:val="bottom"/>
          </w:tcPr>
          <w:p>
            <w:pPr>
              <w:ind w:left="20"/>
              <w:spacing w:after="0"/>
              <w:rPr>
                <w:sz w:val="20"/>
                <w:szCs w:val="20"/>
                <w:color w:val="auto"/>
              </w:rPr>
            </w:pPr>
            <w:r>
              <w:rPr>
                <w:rFonts w:ascii="Arial" w:cs="Arial" w:eastAsia="Arial" w:hAnsi="Arial"/>
                <w:sz w:val="15"/>
                <w:szCs w:val="15"/>
                <w:color w:val="auto"/>
              </w:rPr>
              <w:t>2023</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18,902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19,198</w:t>
            </w: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19,731</w:t>
            </w:r>
          </w:p>
        </w:tc>
      </w:tr>
      <w:tr>
        <w:trPr>
          <w:trHeight w:val="203"/>
        </w:trPr>
        <w:tc>
          <w:tcPr>
            <w:tcW w:w="6480" w:type="dxa"/>
            <w:vAlign w:val="bottom"/>
          </w:tcPr>
          <w:p>
            <w:pPr>
              <w:ind w:left="20"/>
              <w:spacing w:after="0"/>
              <w:rPr>
                <w:sz w:val="20"/>
                <w:szCs w:val="20"/>
                <w:color w:val="auto"/>
              </w:rPr>
            </w:pPr>
            <w:r>
              <w:rPr>
                <w:rFonts w:ascii="Arial" w:cs="Arial" w:eastAsia="Arial" w:hAnsi="Arial"/>
                <w:sz w:val="15"/>
                <w:szCs w:val="15"/>
                <w:color w:val="auto"/>
              </w:rPr>
              <w:t>2025</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18,310</w:t>
            </w: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16,920</w:t>
            </w:r>
          </w:p>
        </w:tc>
      </w:tr>
      <w:tr>
        <w:trPr>
          <w:trHeight w:val="203"/>
        </w:trPr>
        <w:tc>
          <w:tcPr>
            <w:tcW w:w="6480" w:type="dxa"/>
            <w:vAlign w:val="bottom"/>
          </w:tcPr>
          <w:p>
            <w:pPr>
              <w:ind w:left="20"/>
              <w:spacing w:after="0"/>
              <w:rPr>
                <w:sz w:val="20"/>
                <w:szCs w:val="20"/>
                <w:color w:val="auto"/>
              </w:rPr>
            </w:pPr>
            <w:r>
              <w:rPr>
                <w:rFonts w:ascii="Arial" w:cs="Arial" w:eastAsia="Arial" w:hAnsi="Arial"/>
                <w:sz w:val="15"/>
                <w:szCs w:val="15"/>
                <w:color w:val="auto"/>
              </w:rPr>
              <w:t>2027</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15,773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16,069</w:t>
            </w:r>
          </w:p>
        </w:tc>
      </w:tr>
      <w:tr>
        <w:trPr>
          <w:trHeight w:val="206"/>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164,838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165,084</w:t>
            </w:r>
          </w:p>
        </w:tc>
      </w:tr>
      <w:tr>
        <w:trPr>
          <w:trHeight w:val="202"/>
        </w:trPr>
        <w:tc>
          <w:tcPr>
            <w:tcW w:w="6480" w:type="dxa"/>
            <w:vAlign w:val="bottom"/>
          </w:tcPr>
          <w:p>
            <w:pPr>
              <w:ind w:left="20"/>
              <w:spacing w:after="0"/>
              <w:rPr>
                <w:sz w:val="20"/>
                <w:szCs w:val="20"/>
                <w:color w:val="auto"/>
              </w:rPr>
            </w:pPr>
            <w:r>
              <w:rPr>
                <w:rFonts w:ascii="Arial" w:cs="Arial" w:eastAsia="Arial" w:hAnsi="Arial"/>
                <w:sz w:val="15"/>
                <w:szCs w:val="15"/>
                <w:color w:val="auto"/>
              </w:rPr>
              <w:t>Total minimum lease payments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257,698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259,498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8"/>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Imputed interest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88,477</w:t>
            </w:r>
          </w:p>
        </w:tc>
      </w:tr>
      <w:tr>
        <w:trPr>
          <w:trHeight w:val="203"/>
        </w:trPr>
        <w:tc>
          <w:tcPr>
            <w:tcW w:w="6480" w:type="dxa"/>
            <w:vAlign w:val="bottom"/>
          </w:tcPr>
          <w:p>
            <w:pPr>
              <w:ind w:left="20"/>
              <w:spacing w:after="0"/>
              <w:rPr>
                <w:sz w:val="20"/>
                <w:szCs w:val="20"/>
                <w:color w:val="auto"/>
              </w:rPr>
            </w:pPr>
            <w:r>
              <w:rPr>
                <w:rFonts w:ascii="Arial" w:cs="Arial" w:eastAsia="Arial" w:hAnsi="Arial"/>
                <w:sz w:val="15"/>
                <w:szCs w:val="15"/>
                <w:color w:val="auto"/>
              </w:rPr>
              <w:t>Total lease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171,021</w:t>
            </w: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Current lease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13,488</w:t>
            </w:r>
          </w:p>
        </w:tc>
      </w:tr>
      <w:tr>
        <w:trPr>
          <w:trHeight w:val="201"/>
        </w:trPr>
        <w:tc>
          <w:tcPr>
            <w:tcW w:w="6480" w:type="dxa"/>
            <w:vAlign w:val="bottom"/>
          </w:tcPr>
          <w:p>
            <w:pPr>
              <w:ind w:left="20"/>
              <w:spacing w:after="0"/>
              <w:rPr>
                <w:sz w:val="20"/>
                <w:szCs w:val="20"/>
                <w:color w:val="auto"/>
              </w:rPr>
            </w:pPr>
            <w:r>
              <w:rPr>
                <w:rFonts w:ascii="Arial" w:cs="Arial" w:eastAsia="Arial" w:hAnsi="Arial"/>
                <w:sz w:val="15"/>
                <w:szCs w:val="15"/>
                <w:color w:val="auto"/>
              </w:rPr>
              <w:t>Long-term lease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157,533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Leases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leases its manufacturing facility in Plainsboro, New Jersey, from a general partnership that is 50% owned by a corporation whose stockholders are trusts, whose beneficiaries include family members of the Company’s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TREASURY STOCK</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and December 31, 2021, there were 6.8 million and 4.9 million shares of treasury stock outstanding with a cost of $362.9 million and $234.4 million, at a weighted average cost per share of $53.18 and $47.86, respectively.</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12, 2022, the Company entered into a $125.0 million accelerated share repurchase ("2022 ASR") and received 1.48 million shares of Company common stock at inception, which represented approximately 80% of the expected total shares. On March 24, 2022, the early exercise provision was exercised by the 2022 ASR counterparty. Upon settlement on March 24, 2022, the Company received an additional 0.46 million shares determined using the volume-weighted average price of the Company's common stock during the term of the 2022 ASR.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Company's effective tax rate: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0" w:type="dxa"/>
            <w:vAlign w:val="bottom"/>
          </w:tcPr>
          <w:p>
            <w:pPr>
              <w:spacing w:after="0"/>
              <w:rPr>
                <w:sz w:val="15"/>
                <w:szCs w:val="15"/>
                <w:color w:val="auto"/>
              </w:rPr>
            </w:pPr>
          </w:p>
        </w:tc>
        <w:tc>
          <w:tcPr>
            <w:tcW w:w="29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3"/>
          </w:tcPr>
          <w:p>
            <w:pPr>
              <w:jc w:val="right"/>
              <w:ind w:right="647"/>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300" w:type="dxa"/>
            <w:vAlign w:val="bottom"/>
            <w:gridSpan w:val="2"/>
          </w:tcPr>
          <w:p>
            <w:pPr>
              <w:spacing w:after="0"/>
              <w:rPr>
                <w:sz w:val="2"/>
                <w:szCs w:val="2"/>
                <w:color w:val="auto"/>
              </w:rPr>
            </w:pPr>
          </w:p>
        </w:tc>
        <w:tc>
          <w:tcPr>
            <w:tcW w:w="180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79"/>
        </w:trPr>
        <w:tc>
          <w:tcPr>
            <w:tcW w:w="4200" w:type="dxa"/>
            <w:vAlign w:val="bottom"/>
          </w:tcPr>
          <w:p>
            <w:pPr>
              <w:spacing w:after="0"/>
              <w:rPr>
                <w:sz w:val="15"/>
                <w:szCs w:val="15"/>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2022</w:t>
            </w:r>
          </w:p>
        </w:tc>
        <w:tc>
          <w:tcPr>
            <w:tcW w:w="18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627"/>
              <w:spacing w:after="0"/>
              <w:rPr>
                <w:sz w:val="20"/>
                <w:szCs w:val="20"/>
                <w:color w:val="auto"/>
              </w:rPr>
            </w:pPr>
            <w:r>
              <w:rPr>
                <w:rFonts w:ascii="Arial" w:cs="Arial" w:eastAsia="Arial" w:hAnsi="Arial"/>
                <w:sz w:val="14"/>
                <w:szCs w:val="14"/>
                <w:b w:val="1"/>
                <w:bCs w:val="1"/>
                <w:color w:val="auto"/>
              </w:rPr>
              <w:t>2021</w:t>
            </w: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Reported tax rate</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effective income tax rates for the three months ended September 30, 2022 and 2021 were 15.1% and 14.9%, respectively. For the three months ended September 30, 2022, the primary driver of the higher tax rate is a decrease of income in lower-taxed jurisdictions, offset by a $1.2 million benefit related to prior year amended tax returns.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effective income tax rates for the nine months ended September 30, 2022 and 2021 were 14.8% and 24.1%, respectively. For the nine months ended September 30, 2022, the primary driver of the lower tax rate is a $5.5 million benefit related to excess tax benefits from stock compensation, offset by the prior year tax impact of the gain on the sale of the Extremity Orthopedics business, which was completed during the first quarter of 2021.</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Changes to income tax laws and regulations, in any of the tax jurisdictions in which the Company operates, could impact the effective tax rate. Various governments, both U.S. and non-U.S., are increasingly focused on tax reform and revenue-raising legislation. Further, legislation in foreign jurisdictions may be enacted, in response to the base erosion and profit-sharing project begun by the Organization for Economic Cooperation and Development ("OECD"). The OECD recently finalized major reform of the international tax system with respect to a global minimum tax rate. Such changes in U.S. and non-U.S. jurisdictions could have an adverse effect on the Company’s effective tax rate.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16, President Biden signed into law the Inflation Reduction Act of 2022. The Act imposes a Corporate Minimum Tax of 15% on book income profits greater than $1 billion. The company is not expected to be subject to the Corporate Minimum Tax. The act provides for credits for investments in clean energy production, and the Company is exploring whether those credits align with any plans it may develop for clean energy production. The Act imposes an excise tax of 1% on share repurchases. Beginning in 2023, all share repurchases shall be subject to the excise tax, but the Company does not expect the excise tax to impact the company’s capital deployment plans.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September 30, 2022,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there is no material cost to bring the earnings back to the United States. Reinvestment considerations would include future acquisitions, transactions, and capital expenditure plans. As such, the Company has determined the tax impact of repatriating these foreign earnings would not be material as of September 30, 2022.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NET INCOME PER SHARE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income per share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60" w:type="dxa"/>
            <w:vAlign w:val="bottom"/>
            <w:gridSpan w:val="4"/>
          </w:tcPr>
          <w:p>
            <w:pPr>
              <w:jc w:val="right"/>
              <w:ind w:right="364"/>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240" w:type="dxa"/>
            <w:vAlign w:val="bottom"/>
            <w:gridSpan w:val="3"/>
            <w:vMerge w:val="restart"/>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b w:val="1"/>
                <w:bCs w:val="1"/>
                <w:color w:val="auto"/>
                <w:w w:val="89"/>
              </w:rPr>
              <w:t>Basic net income per share:</w:t>
            </w:r>
          </w:p>
        </w:tc>
        <w:tc>
          <w:tcPr>
            <w:tcW w:w="342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gridSpan w:val="4"/>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49,915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43,229</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127,604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123,691</w:t>
            </w:r>
          </w:p>
        </w:tc>
        <w:tc>
          <w:tcPr>
            <w:tcW w:w="0" w:type="dxa"/>
            <w:vAlign w:val="bottom"/>
          </w:tcPr>
          <w:p>
            <w:pPr>
              <w:spacing w:after="0"/>
              <w:rPr>
                <w:sz w:val="1"/>
                <w:szCs w:val="1"/>
                <w:color w:val="auto"/>
              </w:rPr>
            </w:pPr>
          </w:p>
        </w:tc>
      </w:tr>
      <w:tr>
        <w:trPr>
          <w:trHeight w:val="209"/>
        </w:trPr>
        <w:tc>
          <w:tcPr>
            <w:tcW w:w="52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84,647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Basic net income per common share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5"/>
                <w:szCs w:val="15"/>
                <w:b w:val="1"/>
                <w:bCs w:val="1"/>
                <w:color w:val="auto"/>
                <w:w w:val="91"/>
              </w:rPr>
              <w:t>Diluted net income per share:</w:t>
            </w:r>
          </w:p>
        </w:tc>
        <w:tc>
          <w:tcPr>
            <w:tcW w:w="3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gridSpan w:val="4"/>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49,915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43,229</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127,604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123,691</w:t>
            </w: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60" w:type="dxa"/>
            <w:vAlign w:val="bottom"/>
            <w:gridSpan w:val="4"/>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83,042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84,754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82,955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84,647</w:t>
            </w:r>
          </w:p>
        </w:tc>
        <w:tc>
          <w:tcPr>
            <w:tcW w:w="0" w:type="dxa"/>
            <w:vAlign w:val="bottom"/>
          </w:tcPr>
          <w:p>
            <w:pPr>
              <w:spacing w:after="0"/>
              <w:rPr>
                <w:sz w:val="1"/>
                <w:szCs w:val="1"/>
                <w:color w:val="auto"/>
              </w:rPr>
            </w:pPr>
          </w:p>
        </w:tc>
      </w:tr>
      <w:tr>
        <w:trPr>
          <w:trHeight w:val="209"/>
        </w:trPr>
        <w:tc>
          <w:tcPr>
            <w:tcW w:w="52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3"/>
          </w:tcPr>
          <w:p>
            <w:pPr>
              <w:ind w:left="120"/>
              <w:spacing w:after="0"/>
              <w:rPr>
                <w:sz w:val="20"/>
                <w:szCs w:val="20"/>
                <w:color w:val="auto"/>
              </w:rPr>
            </w:pPr>
            <w:r>
              <w:rPr>
                <w:rFonts w:ascii="Arial" w:cs="Arial" w:eastAsia="Arial" w:hAnsi="Arial"/>
                <w:sz w:val="15"/>
                <w:szCs w:val="15"/>
                <w:color w:val="auto"/>
              </w:rPr>
              <w:t>Stock options and restricted stock</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202"/>
        </w:trPr>
        <w:tc>
          <w:tcPr>
            <w:tcW w:w="52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for diluted earnings per share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85,447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83,476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85,391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Diluted net income per common share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Common stock of approximately 0.3 million and 0.1 million shares at September 30, 2022, and 2021, respectively that are issuable through exercise of dilutive securities were not included in the computation of diluted net income per share because their effect would have been anti-dilutive.</w:t>
      </w:r>
    </w:p>
    <w:p>
      <w:pPr>
        <w:spacing w:after="0" w:line="6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for the nine months ended September 30, 2022 and 2021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8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4"/>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88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49,915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43,229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123,691</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(21,392)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2"/>
              </w:rPr>
              <w:t>(7,815)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(45,142)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(13,058)</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unrealized gain (loss) on derivatives, net of tax</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27,213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10,964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40,075</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Pension liability adjustment, net of tax</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2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net</w:t>
            </w:r>
          </w:p>
        </w:tc>
        <w:tc>
          <w:tcPr>
            <w:tcW w:w="92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55,691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46,417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165,320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150,975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Changes in accumulated other comprehensive loss by component between December 31, 2021 and September 30, 2022 are presented in the table below, net of tax: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3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Gains and Losses</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Defined Benefit</w:t>
            </w:r>
          </w:p>
        </w:tc>
        <w:tc>
          <w:tcPr>
            <w:tcW w:w="2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1"/>
        </w:trPr>
        <w:tc>
          <w:tcPr>
            <w:tcW w:w="63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on Derivatives</w:t>
            </w:r>
          </w:p>
        </w:tc>
        <w:tc>
          <w:tcPr>
            <w:tcW w:w="120" w:type="dxa"/>
            <w:vAlign w:val="bottom"/>
          </w:tcPr>
          <w:p>
            <w:pPr>
              <w:spacing w:after="0"/>
              <w:rPr>
                <w:sz w:val="8"/>
                <w:szCs w:val="8"/>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Pension Items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Currency Items</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6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(4,067)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(45,155)</w:t>
            </w:r>
          </w:p>
        </w:tc>
        <w:tc>
          <w:tcPr>
            <w:tcW w:w="0" w:type="dxa"/>
            <w:vAlign w:val="bottom"/>
          </w:tcPr>
          <w:p>
            <w:pPr>
              <w:spacing w:after="0"/>
              <w:rPr>
                <w:sz w:val="1"/>
                <w:szCs w:val="1"/>
                <w:color w:val="auto"/>
              </w:rPr>
            </w:pPr>
          </w:p>
        </w:tc>
      </w:tr>
      <w:tr>
        <w:trPr>
          <w:trHeight w:val="203"/>
        </w:trPr>
        <w:tc>
          <w:tcPr>
            <w:tcW w:w="6300" w:type="dxa"/>
            <w:vAlign w:val="bottom"/>
          </w:tcPr>
          <w:p>
            <w:pPr>
              <w:ind w:left="220"/>
              <w:spacing w:after="0"/>
              <w:rPr>
                <w:sz w:val="20"/>
                <w:szCs w:val="20"/>
                <w:color w:val="auto"/>
              </w:rPr>
            </w:pPr>
            <w:r>
              <w:rPr>
                <w:rFonts w:ascii="Arial" w:cs="Arial" w:eastAsia="Arial" w:hAnsi="Arial"/>
                <w:sz w:val="15"/>
                <w:szCs w:val="15"/>
                <w:color w:val="auto"/>
              </w:rPr>
              <w:t>Other comprehensive gain (loss)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115,298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(45,142)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70,057</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Less: Amounts reclassified from accumulated other comprehensive income,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32,341</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Net current-period other comprehensive gain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82,957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37,716</w:t>
            </w:r>
          </w:p>
        </w:tc>
        <w:tc>
          <w:tcPr>
            <w:tcW w:w="0" w:type="dxa"/>
            <w:vAlign w:val="bottom"/>
          </w:tcPr>
          <w:p>
            <w:pPr>
              <w:spacing w:after="0"/>
              <w:rPr>
                <w:sz w:val="1"/>
                <w:szCs w:val="1"/>
                <w:color w:val="auto"/>
              </w:rPr>
            </w:pPr>
          </w:p>
        </w:tc>
      </w:tr>
      <w:tr>
        <w:trPr>
          <w:trHeight w:val="22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(7,439)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2022, the Company reclassified a gain of $36.3 million and a loss of $4.0 million from accumulated other comprehensive loss to other income, net and interest income,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AND GEOGRAPHIC INFORMATION</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 The two reportable segments and their activities are described below.</w:t>
      </w:r>
    </w:p>
    <w:p>
      <w:pPr>
        <w:spacing w:after="0" w:line="61" w:lineRule="exact"/>
        <w:rPr>
          <w:sz w:val="20"/>
          <w:szCs w:val="20"/>
          <w:color w:val="auto"/>
        </w:rPr>
      </w:pPr>
    </w:p>
    <w:p>
      <w:pPr>
        <w:jc w:val="both"/>
        <w:ind w:left="620" w:hanging="307"/>
        <w:spacing w:after="0" w:line="25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cranial stabilization equipment, and solutions for use in minimally invasive neurosurgery and in the management of intracerebral hemorrhages, and (ii) the Instruments business, which sells more than 40,000 instrument patterns and surgical and lighting products to hospitals, surgery centers, dental, podiatry, and veterinary offices.</w:t>
      </w:r>
    </w:p>
    <w:p>
      <w:pPr>
        <w:spacing w:after="0" w:line="28"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Tissue Technologies segment includes a large, complementary portfolio of products to address plastic and surgical reconstructive procedures such as complex and traumatic wounds, hernia and abdominal wall repair, breast reconstruction, and peripheral nerve repair. The Tissue Technologies segment has four unique technology platforms, including bovine engineered collagen matrix, bovine dermal matrix, amniotic technology and porcine bladder matrix technology, to address regenerative soft tissue reconstruction procedures.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Corporate and other category includes (i) various executive, finance, human resource, information systems and legal functions, (ii) brand management, and (iii) share-based compensation costs.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nine months ended September 30, 2022 and 2021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328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72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Segment Net Sales</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5"/>
                <w:szCs w:val="15"/>
                <w:color w:val="auto"/>
              </w:rPr>
              <w:t>Codman Specialty Surgical</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249,796</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256,497</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754,967</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754,575</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Tissue Technologies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135,395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130,364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404,677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382,349</w:t>
            </w:r>
          </w:p>
        </w:tc>
        <w:tc>
          <w:tcPr>
            <w:tcW w:w="0" w:type="dxa"/>
            <w:vAlign w:val="bottom"/>
          </w:tcPr>
          <w:p>
            <w:pPr>
              <w:spacing w:after="0"/>
              <w:rPr>
                <w:sz w:val="1"/>
                <w:szCs w:val="1"/>
                <w:color w:val="auto"/>
              </w:rPr>
            </w:pPr>
          </w:p>
        </w:tc>
      </w:tr>
      <w:tr>
        <w:trPr>
          <w:trHeight w:val="196"/>
        </w:trPr>
        <w:tc>
          <w:tcPr>
            <w:tcW w:w="372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385,191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386,861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1,159,644</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1,136,924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2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Segment Profit</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5"/>
                <w:szCs w:val="15"/>
                <w:color w:val="auto"/>
              </w:rPr>
              <w:t>Codman Specialty Surgical</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105,717</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110,686</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308,073</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331,460</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Tissue Technologies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59,754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57,730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175,273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172,154</w:t>
            </w:r>
          </w:p>
        </w:tc>
        <w:tc>
          <w:tcPr>
            <w:tcW w:w="0" w:type="dxa"/>
            <w:vAlign w:val="bottom"/>
          </w:tcPr>
          <w:p>
            <w:pPr>
              <w:spacing w:after="0"/>
              <w:rPr>
                <w:sz w:val="1"/>
                <w:szCs w:val="1"/>
                <w:color w:val="auto"/>
              </w:rPr>
            </w:pPr>
          </w:p>
        </w:tc>
      </w:tr>
      <w:tr>
        <w:trPr>
          <w:trHeight w:val="196"/>
        </w:trPr>
        <w:tc>
          <w:tcPr>
            <w:tcW w:w="3720" w:type="dxa"/>
            <w:vAlign w:val="bottom"/>
          </w:tcPr>
          <w:p>
            <w:pPr>
              <w:ind w:left="320"/>
              <w:spacing w:after="0"/>
              <w:rPr>
                <w:sz w:val="20"/>
                <w:szCs w:val="20"/>
                <w:color w:val="auto"/>
              </w:rPr>
            </w:pPr>
            <w:r>
              <w:rPr>
                <w:rFonts w:ascii="Arial" w:cs="Arial" w:eastAsia="Arial" w:hAnsi="Arial"/>
                <w:sz w:val="15"/>
                <w:szCs w:val="15"/>
                <w:color w:val="auto"/>
              </w:rPr>
              <w:t>Segment profit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165,471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168,416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483,346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503,614</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(12,838)</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 and other</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(97,281)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(107,864)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(301,927)</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(351,769)</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65,049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56,439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171,080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139,007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80" w:type="dxa"/>
            <w:vAlign w:val="bottom"/>
          </w:tcPr>
          <w:p>
            <w:pPr>
              <w:spacing w:after="0"/>
              <w:rPr>
                <w:sz w:val="15"/>
                <w:szCs w:val="15"/>
                <w:color w:val="auto"/>
              </w:rPr>
            </w:pPr>
          </w:p>
        </w:tc>
        <w:tc>
          <w:tcPr>
            <w:tcW w:w="310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4"/>
          </w:tcPr>
          <w:p>
            <w:pPr>
              <w:jc w:val="right"/>
              <w:ind w:right="66"/>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8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1160" w:type="dxa"/>
            <w:vAlign w:val="bottom"/>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282,016</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6"/>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275,775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832,714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801,754</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Europe</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38,301</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46,458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128,907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140,714</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Asia Pacific</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42,774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45,015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133,856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136,616</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 of World</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22,100</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19,613</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64,167</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57,840</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160" w:type="dxa"/>
            <w:vAlign w:val="bottom"/>
            <w:tcBorders>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385,191</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6"/>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386,861</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1,159,644</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1,136,924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determined the fair value of contingent consideration during the nine month period ended September 30, 2022 and September 30, 2021 to reflect the change in estimate, additions, payments, transfers and the time value of money during the period.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reconciliation of the opening balances to the closing balances of these Level 3 measurements for the nine months ended September 30, 2022 and September 30, 2021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20"/>
          </w:tcPr>
          <w:p>
            <w:pPr>
              <w:jc w:val="right"/>
              <w:ind w:right="400"/>
              <w:spacing w:after="0"/>
              <w:rPr>
                <w:sz w:val="20"/>
                <w:szCs w:val="20"/>
                <w:color w:val="auto"/>
              </w:rPr>
            </w:pPr>
            <w:r>
              <w:rPr>
                <w:rFonts w:ascii="Arial" w:cs="Arial" w:eastAsia="Arial" w:hAnsi="Arial"/>
                <w:sz w:val="14"/>
                <w:szCs w:val="14"/>
                <w:b w:val="1"/>
                <w:bCs w:val="1"/>
                <w:color w:val="auto"/>
                <w:w w:val="96"/>
              </w:rPr>
              <w:t>Contingent Consideration Liability Related to Acquisition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left="87"/>
              <w:spacing w:after="0"/>
              <w:rPr>
                <w:sz w:val="20"/>
                <w:szCs w:val="20"/>
                <w:color w:val="auto"/>
              </w:rPr>
            </w:pPr>
            <w:r>
              <w:rPr>
                <w:rFonts w:ascii="Arial" w:cs="Arial" w:eastAsia="Arial" w:hAnsi="Arial"/>
                <w:sz w:val="14"/>
                <w:szCs w:val="14"/>
                <w:b w:val="1"/>
                <w:bCs w:val="1"/>
                <w:color w:val="auto"/>
                <w:w w:val="88"/>
              </w:rPr>
              <w:t>Location in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ACell Inc.</w:t>
            </w:r>
          </w:p>
        </w:tc>
        <w:tc>
          <w:tcPr>
            <w:tcW w:w="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 in Financial</w:t>
            </w:r>
          </w:p>
        </w:tc>
        <w:tc>
          <w:tcPr>
            <w:tcW w:w="0" w:type="dxa"/>
            <w:vAlign w:val="bottom"/>
          </w:tcPr>
          <w:p>
            <w:pPr>
              <w:spacing w:after="0"/>
              <w:rPr>
                <w:sz w:val="1"/>
                <w:szCs w:val="1"/>
                <w:color w:val="auto"/>
              </w:rPr>
            </w:pPr>
          </w:p>
        </w:tc>
      </w:tr>
      <w:tr>
        <w:trPr>
          <w:trHeight w:val="77"/>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4"/>
            <w:vMerge w:val="restart"/>
          </w:tcPr>
          <w:p>
            <w:pPr>
              <w:jc w:val="right"/>
              <w:ind w:right="345"/>
              <w:spacing w:after="0" w:line="139" w:lineRule="exact"/>
              <w:rPr>
                <w:sz w:val="20"/>
                <w:szCs w:val="20"/>
                <w:color w:val="auto"/>
              </w:rPr>
            </w:pPr>
            <w:r>
              <w:rPr>
                <w:rFonts w:ascii="Arial" w:cs="Arial" w:eastAsia="Arial" w:hAnsi="Arial"/>
                <w:sz w:val="14"/>
                <w:szCs w:val="14"/>
                <w:b w:val="1"/>
                <w:bCs w:val="1"/>
                <w:color w:val="auto"/>
              </w:rPr>
              <w:t>Arkis</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restart"/>
          </w:tcPr>
          <w:p>
            <w:pPr>
              <w:jc w:val="center"/>
              <w:ind w:left="87"/>
              <w:spacing w:after="0" w:line="139"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7"/>
            <w:vMerge w:val="restart"/>
          </w:tcPr>
          <w:p>
            <w:pPr>
              <w:ind w:left="20"/>
              <w:spacing w:after="0" w:line="139" w:lineRule="exact"/>
              <w:rPr>
                <w:sz w:val="20"/>
                <w:szCs w:val="20"/>
                <w:color w:val="auto"/>
              </w:rPr>
            </w:pPr>
            <w:r>
              <w:rPr>
                <w:rFonts w:ascii="Arial" w:cs="Arial" w:eastAsia="Arial" w:hAnsi="Arial"/>
                <w:sz w:val="14"/>
                <w:szCs w:val="14"/>
                <w:b w:val="1"/>
                <w:bCs w:val="1"/>
                <w:color w:val="auto"/>
              </w:rPr>
              <w:t>Derma Sciences</w:t>
            </w:r>
          </w:p>
        </w:tc>
        <w:tc>
          <w:tcPr>
            <w:tcW w:w="20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7"/>
            <w:vMerge w:val="continue"/>
          </w:tcPr>
          <w:p>
            <w:pPr>
              <w:spacing w:after="0"/>
              <w:rPr>
                <w:sz w:val="5"/>
                <w:szCs w:val="5"/>
                <w:color w:val="auto"/>
              </w:rPr>
            </w:pPr>
          </w:p>
        </w:tc>
        <w:tc>
          <w:tcPr>
            <w:tcW w:w="202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w w:val="86"/>
              </w:rPr>
              <w:t>(See Note 2)</w:t>
            </w:r>
          </w:p>
        </w:tc>
        <w:tc>
          <w:tcPr>
            <w:tcW w:w="4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117"/>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restart"/>
          </w:tcPr>
          <w:p>
            <w:pPr>
              <w:jc w:val="center"/>
              <w:ind w:left="87"/>
              <w:spacing w:after="0"/>
              <w:rPr>
                <w:sz w:val="20"/>
                <w:szCs w:val="20"/>
                <w:color w:val="auto"/>
              </w:rPr>
            </w:pPr>
            <w:r>
              <w:rPr>
                <w:rFonts w:ascii="Arial" w:cs="Arial" w:eastAsia="Arial" w:hAnsi="Arial"/>
                <w:sz w:val="14"/>
                <w:szCs w:val="14"/>
                <w:b w:val="1"/>
                <w:bCs w:val="1"/>
                <w:color w:val="auto"/>
                <w:w w:val="87"/>
              </w:rPr>
              <w:t>Statements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9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w w:val="94"/>
              </w:rPr>
              <w:t>Short-term</w:t>
            </w:r>
          </w:p>
        </w:tc>
        <w:tc>
          <w:tcPr>
            <w:tcW w:w="1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4"/>
          </w:tcPr>
          <w:p>
            <w:pPr>
              <w:jc w:val="right"/>
              <w:ind w:right="46"/>
              <w:spacing w:after="0"/>
              <w:rPr>
                <w:sz w:val="20"/>
                <w:szCs w:val="20"/>
                <w:color w:val="auto"/>
              </w:rPr>
            </w:pPr>
            <w:r>
              <w:rPr>
                <w:rFonts w:ascii="Arial" w:cs="Arial" w:eastAsia="Arial" w:hAnsi="Arial"/>
                <w:sz w:val="14"/>
                <w:szCs w:val="14"/>
                <w:b w:val="1"/>
                <w:bCs w:val="1"/>
                <w:color w:val="auto"/>
                <w:w w:val="98"/>
              </w:rPr>
              <w:t>Long-term</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Long-term</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4"/>
              </w:rPr>
              <w:t>Short-term</w:t>
            </w:r>
          </w:p>
        </w:tc>
        <w:tc>
          <w:tcPr>
            <w:tcW w:w="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8"/>
              </w:rPr>
              <w:t>Long-term</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as of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11,408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21,800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Transfers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w w:val="93"/>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4,885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(4,885)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Change in fair value of contingent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Research and</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(4,885)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(11,915)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Selling, general and</w:t>
            </w:r>
          </w:p>
        </w:tc>
        <w:tc>
          <w:tcPr>
            <w:tcW w:w="0" w:type="dxa"/>
            <w:vAlign w:val="bottom"/>
          </w:tcPr>
          <w:p>
            <w:pPr>
              <w:spacing w:after="0"/>
              <w:rPr>
                <w:sz w:val="1"/>
                <w:szCs w:val="1"/>
                <w:color w:val="auto"/>
              </w:rPr>
            </w:pPr>
          </w:p>
        </w:tc>
      </w:tr>
      <w:tr>
        <w:trPr>
          <w:trHeight w:val="19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consideration liabilities</w:t>
            </w:r>
          </w:p>
        </w:tc>
        <w:tc>
          <w:tcPr>
            <w:tcW w:w="12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980" w:type="dxa"/>
            <w:vAlign w:val="bottom"/>
            <w:gridSpan w:val="9"/>
            <w:shd w:val="clear" w:color="auto" w:fill="CCEEFF"/>
          </w:tcPr>
          <w:p>
            <w:pPr>
              <w:ind w:left="380"/>
              <w:spacing w:after="0"/>
              <w:rPr>
                <w:sz w:val="20"/>
                <w:szCs w:val="20"/>
                <w:color w:val="auto"/>
              </w:rPr>
            </w:pPr>
            <w:r>
              <w:rPr>
                <w:rFonts w:ascii="Arial" w:cs="Arial" w:eastAsia="Arial" w:hAnsi="Arial"/>
                <w:sz w:val="15"/>
                <w:szCs w:val="15"/>
                <w:color w:val="auto"/>
              </w:rPr>
              <w:t>(1,819)  development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administrative</w:t>
            </w:r>
          </w:p>
        </w:tc>
        <w:tc>
          <w:tcPr>
            <w:tcW w:w="0" w:type="dxa"/>
            <w:vAlign w:val="bottom"/>
          </w:tcPr>
          <w:p>
            <w:pPr>
              <w:spacing w:after="0"/>
              <w:rPr>
                <w:sz w:val="1"/>
                <w:szCs w:val="1"/>
                <w:color w:val="auto"/>
              </w:rPr>
            </w:pPr>
          </w:p>
        </w:tc>
      </w:tr>
      <w:tr>
        <w:trPr>
          <w:trHeight w:val="202"/>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Balance as of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rPr>
              <w:t>2,829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w w:val="90"/>
              </w:rPr>
              <w:t>9,589</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rPr>
              <w:t>230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7"/>
          </w:tcPr>
          <w:p>
            <w:pPr>
              <w:jc w:val="center"/>
              <w:ind w:right="100"/>
              <w:spacing w:after="0"/>
              <w:rPr>
                <w:sz w:val="20"/>
                <w:szCs w:val="20"/>
                <w:color w:val="auto"/>
              </w:rPr>
            </w:pPr>
            <w:r>
              <w:rPr>
                <w:rFonts w:ascii="Arial" w:cs="Arial" w:eastAsia="Arial" w:hAnsi="Arial"/>
                <w:sz w:val="14"/>
                <w:szCs w:val="14"/>
                <w:b w:val="1"/>
                <w:bCs w:val="1"/>
                <w:color w:val="auto"/>
                <w:w w:val="89"/>
              </w:rPr>
              <w:t>Contingent Consideration Liability Related to Acquisition of: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Location in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ACell Inc.</w:t>
            </w:r>
          </w:p>
        </w:tc>
        <w:tc>
          <w:tcPr>
            <w:tcW w:w="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Location in Financial</w:t>
            </w:r>
          </w:p>
        </w:tc>
        <w:tc>
          <w:tcPr>
            <w:tcW w:w="0" w:type="dxa"/>
            <w:vAlign w:val="bottom"/>
          </w:tcPr>
          <w:p>
            <w:pPr>
              <w:spacing w:after="0"/>
              <w:rPr>
                <w:sz w:val="1"/>
                <w:szCs w:val="1"/>
                <w:color w:val="auto"/>
              </w:rPr>
            </w:pPr>
          </w:p>
        </w:tc>
      </w:tr>
      <w:tr>
        <w:trPr>
          <w:trHeight w:val="64"/>
        </w:trPr>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4"/>
            <w:vMerge w:val="restart"/>
          </w:tcPr>
          <w:p>
            <w:pPr>
              <w:jc w:val="right"/>
              <w:ind w:right="46"/>
              <w:spacing w:after="0" w:line="133" w:lineRule="exact"/>
              <w:rPr>
                <w:sz w:val="20"/>
                <w:szCs w:val="20"/>
                <w:color w:val="auto"/>
              </w:rPr>
            </w:pPr>
            <w:r>
              <w:rPr>
                <w:rFonts w:ascii="Arial" w:cs="Arial" w:eastAsia="Arial" w:hAnsi="Arial"/>
                <w:sz w:val="14"/>
                <w:szCs w:val="14"/>
                <w:b w:val="1"/>
                <w:bCs w:val="1"/>
                <w:color w:val="auto"/>
              </w:rPr>
              <w:t>Arkis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3"/>
            <w:vMerge w:val="restart"/>
          </w:tcPr>
          <w:p>
            <w:pPr>
              <w:jc w:val="center"/>
              <w:spacing w:after="0" w:line="133"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5"/>
            <w:vMerge w:val="restart"/>
          </w:tcPr>
          <w:p>
            <w:pPr>
              <w:jc w:val="right"/>
              <w:ind w:right="200"/>
              <w:spacing w:after="0" w:line="133" w:lineRule="exact"/>
              <w:rPr>
                <w:sz w:val="20"/>
                <w:szCs w:val="20"/>
                <w:color w:val="auto"/>
              </w:rPr>
            </w:pPr>
            <w:r>
              <w:rPr>
                <w:rFonts w:ascii="Arial" w:cs="Arial" w:eastAsia="Arial" w:hAnsi="Arial"/>
                <w:sz w:val="14"/>
                <w:szCs w:val="14"/>
                <w:b w:val="1"/>
                <w:bCs w:val="1"/>
                <w:color w:val="auto"/>
                <w:w w:val="83"/>
              </w:rPr>
              <w:t>Derma Sciences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(See Note 2)</w:t>
            </w:r>
          </w:p>
        </w:tc>
        <w:tc>
          <w:tcPr>
            <w:tcW w:w="4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111"/>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Statements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9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Short-term</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w w:val="89"/>
              </w:rPr>
              <w:t>Long-term</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Long-term</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as of January 1, 2021</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67"/>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3,415</w:t>
            </w:r>
          </w:p>
        </w:tc>
        <w:tc>
          <w:tcPr>
            <w:tcW w:w="380" w:type="dxa"/>
            <w:vAlign w:val="bottom"/>
            <w:gridSpan w:val="3"/>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11,746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center"/>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Additions from acquisition of ACell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6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23,900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Transfers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2"/>
              </w:rPr>
              <w:t>(3,415)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20" w:type="dxa"/>
            <w:vAlign w:val="bottom"/>
            <w:gridSpan w:val="2"/>
          </w:tcPr>
          <w:p>
            <w:pPr>
              <w:ind w:left="20"/>
              <w:spacing w:after="0" w:line="160" w:lineRule="exact"/>
              <w:rPr>
                <w:sz w:val="20"/>
                <w:szCs w:val="20"/>
                <w:color w:val="auto"/>
              </w:rPr>
            </w:pPr>
            <w:r>
              <w:rPr>
                <w:rFonts w:ascii="Arial" w:cs="Arial" w:eastAsia="Arial" w:hAnsi="Arial"/>
                <w:sz w:val="15"/>
                <w:szCs w:val="15"/>
                <w:color w:val="auto"/>
                <w:w w:val="94"/>
              </w:rPr>
              <w:t>Change in fair value of contingent consideration</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spacing w:after="0" w:line="160" w:lineRule="exact"/>
              <w:rPr>
                <w:sz w:val="20"/>
                <w:szCs w:val="20"/>
                <w:color w:val="auto"/>
              </w:rPr>
            </w:pPr>
            <w:r>
              <w:rPr>
                <w:rFonts w:ascii="Arial" w:cs="Arial" w:eastAsia="Arial" w:hAnsi="Arial"/>
                <w:sz w:val="15"/>
                <w:szCs w:val="15"/>
                <w:color w:val="auto"/>
              </w:rPr>
              <w:t>Research and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(900)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Pr>
          <w:p>
            <w:pPr>
              <w:ind w:left="20"/>
              <w:spacing w:after="0" w:line="160" w:lineRule="exact"/>
              <w:rPr>
                <w:sz w:val="20"/>
                <w:szCs w:val="20"/>
                <w:color w:val="auto"/>
              </w:rPr>
            </w:pPr>
            <w:r>
              <w:rPr>
                <w:rFonts w:ascii="Arial" w:cs="Arial" w:eastAsia="Arial" w:hAnsi="Arial"/>
                <w:sz w:val="15"/>
                <w:szCs w:val="15"/>
                <w:color w:val="auto"/>
              </w:rPr>
              <w:t>Selling, general and</w:t>
            </w:r>
          </w:p>
        </w:tc>
        <w:tc>
          <w:tcPr>
            <w:tcW w:w="0" w:type="dxa"/>
            <w:vAlign w:val="bottom"/>
          </w:tcPr>
          <w:p>
            <w:pPr>
              <w:spacing w:after="0"/>
              <w:rPr>
                <w:sz w:val="1"/>
                <w:szCs w:val="1"/>
                <w:color w:val="auto"/>
              </w:rPr>
            </w:pPr>
          </w:p>
        </w:tc>
      </w:tr>
      <w:tr>
        <w:trPr>
          <w:trHeight w:val="199"/>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ind w:left="380"/>
              <w:spacing w:after="0"/>
              <w:rPr>
                <w:sz w:val="20"/>
                <w:szCs w:val="20"/>
                <w:color w:val="auto"/>
              </w:rPr>
            </w:pPr>
            <w:r>
              <w:rPr>
                <w:rFonts w:ascii="Arial" w:cs="Arial" w:eastAsia="Arial" w:hAnsi="Arial"/>
                <w:sz w:val="15"/>
                <w:szCs w:val="15"/>
                <w:color w:val="auto"/>
              </w:rPr>
              <w:t>(544)  development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5"/>
                <w:szCs w:val="15"/>
                <w:color w:val="auto"/>
              </w:rPr>
              <w:t>administrative</w:t>
            </w:r>
          </w:p>
        </w:tc>
        <w:tc>
          <w:tcPr>
            <w:tcW w:w="0" w:type="dxa"/>
            <w:vAlign w:val="bottom"/>
          </w:tcPr>
          <w:p>
            <w:pPr>
              <w:spacing w:after="0"/>
              <w:rPr>
                <w:sz w:val="1"/>
                <w:szCs w:val="1"/>
                <w:color w:val="auto"/>
              </w:rPr>
            </w:pPr>
          </w:p>
        </w:tc>
      </w:tr>
      <w:tr>
        <w:trPr>
          <w:trHeight w:val="227"/>
        </w:trPr>
        <w:tc>
          <w:tcPr>
            <w:tcW w:w="3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as of September 30, 2021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14,617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center"/>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23,000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Arkis BioSciences Inc.</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Arkis was a privately-held company that marketed the CerebroFlo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external ventricular drainage catheter with Endexo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a permanent additive designed to reduce the potential for catheter obstruction due to thrombus formation.</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September 30, 2022 and September 30, 2021 was $12.4 million and $14.6 million, respectively. The Company recorded $9.6 million and $14.6 million in other liabilities at September 30, 2022 and September 30, 2021, respectively, and $2.8 million in accrued expenses and other current liabilities at September 30, 2022, in the consolidated balance sheet of the Company.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Derma Sciences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September 30, 2022 and September 30, 2021 was $0.2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2021 included in our Annual Report on Form 10-K.</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as amended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risk of the COVID-19 pandemic could lead to further material delays and cancellations of, or reduced demand for, procedures; delayed capital spending by the Company's customers; disruption and/or higher costs to the Company’s supply chain; staffing shortages in hospitals; labor impacts in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2021, under the heading "Risk Factors" in this report, and in other filings with the SEC. We undertake no obligation to publicly update or revise any forward-looking statements, whether as a result of new information, future events or otherwise, except to the extent required by applicable law.</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can identify these forward-looking statements by forward-looking words such as “believe,” “may,” “might,” “could,” “will,” “estimate,” “continue,” “anticipate,” “intend,” “seek,” “plan,” “expect,” “should,” “would” and similar expressions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peripheral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Integra manufactures and sells medical technologies and products in two reportable business segments: Codman Specialty Surgical ("CSS") and Tissue Technologies ("TT"). The CSS segment, which represents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key manufacturing and research facilities located in California, Indiana, Maryland, Massachusetts, New Jersey, Ohio, Puerto Rico, Tennessee, Utah, France, Germany, Ireland and Switzerland. We source most of our handheld surgical instruments and dural sealant products through specialized third-party vendors.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acquisitions, we can build scale, increase competitiveness, and achieve our long-term goals.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To this end, the executive leadership team has established the following key priorities aligned to the following areas of focus: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Strategic Acquisitions. </w:t>
      </w:r>
      <w:r>
        <w:rPr>
          <w:rFonts w:ascii="Arial" w:cs="Arial" w:eastAsia="Arial" w:hAnsi="Arial"/>
          <w:sz w:val="17"/>
          <w:szCs w:val="17"/>
          <w:color w:val="auto"/>
        </w:rPr>
        <w:t>An important part of the Company's strategy is pursuing strategic transactions and licensing agreements that increase relevant scale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clinical areas in which Integra competes. Our growth strategy includes the acquisition of businesses, assets or products lines to increase the breadth of our offerings, the reach of our product portfolios and drive relevant scale to our customers. In 2022, we continued to advance the development of pioneering neurosurgical technologies from our 2019 acquisitions of Arkis Biosciences, Inc. and Rebound Therapeutics Corporation and the expansion our product offering of regenerative technologies from our 2021 ACell acquisition.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to the Notes to Consolidated Financial Statements (Part I, Item 1 of this Form 10-Q) for additional details.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Portfolio Optimization and New Product Introductions. </w:t>
      </w:r>
      <w:r>
        <w:rPr>
          <w:rFonts w:ascii="Arial" w:cs="Arial" w:eastAsia="Arial" w:hAnsi="Arial"/>
          <w:sz w:val="16"/>
          <w:szCs w:val="16"/>
          <w:color w:val="auto"/>
        </w:rPr>
        <w:t>We are investing in innovative product development to drive a multi-generational pipeline for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franchises. Our product development efforts span across our key global franchises focused on potential technological innovations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 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6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In August 2022, we completed the sale of our non-core traditional wound care ("TWC") business to Gentell, LLC for $28.8 million, which consists of $27.8 million in cash plus $1.0 million in contingent consideration which may be received upon achieving certain revenue-based performance milestones. In January 2021, we completed the sale of our Extremity Orthopedics business to Smith &amp; Nephew USD Limited ("Smith &amp; Nephew"), a subsidiary of Smith &amp; Nephew plc, for approximately $240 million in cash. Our portfolio optimization actions over the past two years have allowed us to increase our focus on Integra’s core portfolio of market-leading products in neurosurgery, surgical instrumentation and regenerative tissue and moves us closer to achieving our long-term organic growth and profitability targets. See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to the Notes to Consolidated Financial Statements (Part I, Item 1 of this Form 10-Q) for details.</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Commercial Channel Investments. </w:t>
      </w:r>
      <w:r>
        <w:rPr>
          <w:rFonts w:ascii="Arial" w:cs="Arial" w:eastAsia="Arial" w:hAnsi="Arial"/>
          <w:sz w:val="16"/>
          <w:szCs w:val="16"/>
          <w:color w:val="auto"/>
        </w:rPr>
        <w:t>Investing in our sales channels is a core part of our strategy to create specialization and greater focus on reaching new and</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customers and addressing their needs. To support our commercial efforts in Tissue Technologies, we utilize a two-tier specialist model to increase our presence in focused segments by creating a virtual selling organization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Domestically, we have also increased our TT sales force in the United States to support the expanded regenerative tissue product portfolio that includes ACell products. These investments in our international and domestic sales channel position us well for expansion and long-term growth.</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Customer Experience</w:t>
      </w:r>
      <w:r>
        <w:rPr>
          <w:rFonts w:ascii="Arial" w:cs="Arial" w:eastAsia="Arial" w:hAnsi="Arial"/>
          <w:sz w:val="17"/>
          <w:szCs w:val="17"/>
          <w:color w:val="auto"/>
        </w:rPr>
        <w:t>. We aspire to be ranked as a best-in-class provider and are committed to strengthening our relationships with all customers. We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technologies, systems and processes to enhance the customer experience. We also launched digital tools and programs, resources and virtual product training to drive continued customer familiarity with our growing portfolio of medical technologies globally. In addition, we are in the process of outsourcing certain transactional back-office finance and customer service activities to enhance customer quality, build scale for future growth, and capture cost efficiencies and expect to complete the transition by year end 2022.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Product Introductions and Research and Development Updates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collecting clinical evidence to support the Company's existing products and new product launches, and to ensure that we obtain market access for broader and more cost-effective solutions.</w:t>
      </w:r>
    </w:p>
    <w:p>
      <w:pPr>
        <w:spacing w:after="0" w:line="5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the third quarter of 2022, we made progress to several enhancements to our CUSA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Clarity Tissue Ablation System. The extended laparoscopic tip was launched in the U.S. to enhance laparoscopic liver procedures. In addition, a single-sided bone tip received 510(k) approval. Commercial launch is expected in the first quarter of 2023. We continue to update our CUSA Clarity platform by incorporating new ultrasonic handpiece and integrated electrosurgical capabilities.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2022, we continued to advance the two early-stage technology platforms we acquired in 2019. Through the acquisition of Arkis Biosciences, we added a platform technology, CerebroFlo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EVD, catheter with Endexo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 permanent additive designed to reduce the potential for catheter obstruction due to thrombus formation. The CerebroFlo EVD Catheter has demonstrated an average of 99% less thrombus accumulation onto its surface, in vitro, compared to a market leading EVD catheter. In 2019, we also acquired Rebound Therapeutics Corporation which specialized in a single-use medical device, known as Aurora Surgiscope, which is the only tubular retractor system designed for cranial surgery with an integrated access channel, camera and lighting. In 2021, we began and continued to conduct a limited clinical launch of the Aurora Surgiscope for use in minimally invasive neurosurgery as well as initiated a registry called MIRROR to collect data on early surgical intervention using this same technology platform for the treatment of intracerebral hemorrhages ("ICH"). In 2022, we have continued to execute on our growth initiatives. We launched the Aurora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Evacuator with Coagulation device in the U.S., designed to be used in conjunction with our Aurora Surgiscope to safely address and evacuate blood in the brain caused by hemorrhagic stroke. </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are focused on the development of core clinical applications in our electromechanical technologies portfolio. In June 2022, we launched the Neutus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EVD system, our first external ventricular drain (“EVD") in China. The Neutus EVD system is manufactured in China by Shanghai Haoju Medical Technology Co., Ltd. under an exclusive distribution arrangement. The device is used in the management of cerebrospinal fluid and is highly complementary to our Bactiseal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catheter and advanced intercranial pressure monitoring products. In 2021, we launched our CereLink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ICP Monitor System in the U.S. and Europe direct markets and continued the global rollout in the first half of 2022. CereLink provides enhanced accuracy, usability and advanced data presentation that provides clinicians with uncompromised, advanced continuous ICP monitoring that until now, has not been available when treating patients with traumatic brain injuries. Refer below to the FDA Matters for further consideration on the recall of the CereLink ICP Monitor System.</w:t>
      </w:r>
    </w:p>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Within our TT segment, in 2022, we launched NeuraGen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3D Nerve Guide Matrix, a resorbable implant for repair of peripheral nerve discontinuities and designed to optimize the environment for nerve regeneration to allow for more complete functional recovery. During 2021, we completed one of the largest diabetic foot ulcers ("DFU"), randomized controlled trials of the PriMatrix</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 and the Economic Recession</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global healthcare system is continuing to respond to the unprecedented challenge posed by the COVID-19 (including new variants of COVID-19) pandemic ("COVID-19" or the "pandemic"). The pandemic has caused a severe global health crisis, along with economic and societal disruptions and uncertainties, which have negatively impacted business and healthcare activity globally. The COVID-19 pandemic continues to cause significant volatility and uncertainty in the global and regional economies, leading to changes in consumer and business behavior, market fluctuations, materials and product shortages and restrictions on business and individual activities, all of which are materially impacting supply and demand in broad sectors of the world markets. Additionally, the COVID-19 pandemic and general macroeconomic conditions have led to disruptions in the global supply chain, primarily through a lack of availability of raw materials and electronic components. We have experienced challenges associated with material and component availability for certain product lines, longer shipping and delivery times for raw materials and components, constrained logistics capacity related to the movement of our products, availability of skilled labor and increased costs of raw materials, components, labor, and freight and courier services. Regional COVID-19 case volumes (including those related to subsequent variants), actions taken by governmental authorities, private businesses and individuals, such as “shelter-in-place” orders and restrictions on travel and access to our customers or temporary closures of our facilities or the facilities of our suppliers, disruption and/or higher costs to the Company’s supply chain, staffing shortages in hospitals and labor constraints in our facilities, could further impact our sales margins and our ability to ship our products and supply our customers.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COVID variants continue to contribute to an uncertain business environment and the effects resulting from the pandemic, such as inflationary pressures and global central bank actions to contain high inflation levels, could cause or contribute to a local and/or global economic recession. Capital markets and worldwide economies have also been significantly impacted and such economic recession could have a material adverse effect on the Company’s long-term business as hospitals reduce capital, as well as overall spending.</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emergence of new variants, vaccinations and public health measures are driving the pace of economic recovery unevenly in various regions. The direct and indirect disruptions caused by the pandemic and the responses of both governments and individuals could negatively impact the number of surgical and medical intervention procedures performed and have a material adverse effect on our business, financial condition, results of operations, or cash flows. Further discussion of the potential impacts on our business from the COVID-19 pandemic and global macroeconomic conditions is provided under Item 1A - Risk Factors of Part I of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FDA Matters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18, 2022, the Company, after consultation with the FDA and other regulatory authorities outside of the United States, initiated an immediate voluntary global product removal of all CereLink intracranial pressure monitors as a result of customer reports about monitors whose pressure readings were out of range. The Company believes that the out-of-range readings are principally caused by electrical interference from the external environment and/or interference from a component on the circuit board of the monitor. These out-of-range readings have occurred at a low incidence rate and at a limited number of sites; however, out of an abundance of caution, the Company removed all CereLink monitors from the field.</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continuing its investigation into the matter in order to remedy the observed issue and plans to resume shipment of the CereLink monitors as soon as any such issues have been resolved. Based on outlook for returning the product to market and feedback from customers, the Company recorded a $1.5 million provision for product returns, as a reduction of net revenue, and a $0.8 million rework accrual in cost of goods sold in the third quarter of 2022.</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manufacture and distribute products derived from human tissue for which FDA has specific regulations governing human cells, tissues and cellular and tissue-based products ("HCT/Ps"). An HCT/P is a product containing or consisting of human cells or tissue intended for transplantation into a human patient. Refer to Item 1. Business and Item 1A. Risk Factors in our 2021 10-K report for further details around these FDA regulations and their potential effect on the Company's portfolio of morselized amniotic material-based products as well as the impact on consolidated revenues.</w:t>
      </w:r>
    </w:p>
    <w:p>
      <w:pPr>
        <w:spacing w:after="0" w:line="7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June 22, 2015, the FDA issued an Untitled Letter (the "Untitled Letter") alleging that BioD LLC's morselized amniotic membrane tissue-based products do not meet the criteria for regulation as HCT/Ps solely under Section 361 of the Public Health Services Act ("Section 361") and that, as a result, BioD LLC ("BioD") would need a biologics license to lawfully market those morselized products. Since the issuance of the Untitled Letter, BioD and the Company have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“2020 HCT/P Final Guidance”). The 2020 HCT/P Final Guidance document supersedes the November 2017 guidance by the same title.</w:t>
      </w:r>
    </w:p>
    <w:p>
      <w:pPr>
        <w:spacing w:after="0" w:line="5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2020 HCT/P Final Guidance maintained this approach and extended the discretionary enforcement period to May 31, 2021.</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Considering the risk of enforcement action, the Company discontinued the manufacturing of all morselized amniotic membrane tissue-based products prior to May 31, 2021. We no longer distribute these products. As of September 30, 2022, the Company has not received any further notice of enforcement action from the FDA regarding its morselized amniotic membrane tissue-based products.</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the FDA continues to review various 361 HCT/P products currently on the market over time, there is the risk of continued upregulation by FDA based on their interpretation of criteria applied to specific 361 HCT/P products and the new clinical applications of these products by Health Care Professionals that may be viewed by FDA as higher risk uses. Additionally, the Center for Medicare &amp; Medicaid Services (CMS), which is part of the Department of Health and Human Services (HHS), will be requiring all amniotic products to obtain new reimbursement codes by 2024, where qualification includes a detailed review by the FDA’s Tissue Reference Group (TRG) of the 361 HCT/P’s uses, processing and relevant characteristics followed by a written recommendation that the HCT/P, in their opinion, meets the criteria of a 361 HCT/P. There is the risk that although the TRG provided letters in the past confirming the 361 HCT/P status of our amniotic products, they may not do so again due to changes in their interpretation and application of the 361 HCT/P criteria and/or the practices of clinicians for specific uses which could be considered higher risk uses. Any of these outcomes could negatively impact the ability to obtain third party reimbursement for these products as well as negatively impact the volume of these products utilized by Health Care Professionals and have a material adverse effect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March 7, 2019, TEI Biosciences, Inc. ("TEI"), a wholly-owned subsidiary of the Company received a Warning Letter (the “Warning Letter”), dated March 6, 2019, from the FDA. The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On October 28, 2021 the FDA initiated an inspection of the facility and at the conclusion of the inspection issued a FDA Form 483 on November 12, 2021 (the "2021 Form 483"). The Company provided an initial response to the inspection observations and will continue to provide responses to FDA. The Warning Letter and the 2021 FDA Form 483 do not restrict the Company’s ability to manufacture or ship products or require the recall of any products, nor do they restrict our ability to seek FDA 510(k) clearance of products. Additionally, premarket approval applications for Class III devices to which the Quality System regulation violations are reasonably related will not be approved until the violations have been corrected. The TEI Boston facility manufactures extracellular bovine matrix products. We cannot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Revenues of products manufactured in the TEI Boston facility for the nine months ended September 30, 2022 were approximately 5.5% of consolidated revenues.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&amp; DIVESTITURES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Divestitures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31, 2022, the Company completed the sale of its previously announced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w:t>
      </w:r>
      <w:r>
        <w:rPr>
          <w:rFonts w:ascii="Arial" w:cs="Arial" w:eastAsia="Arial" w:hAnsi="Arial"/>
          <w:sz w:val="16"/>
          <w:szCs w:val="16"/>
          <w:i w:val="1"/>
          <w:iCs w:val="1"/>
          <w:color w:val="auto"/>
        </w:rPr>
        <w:t>.</w:t>
      </w:r>
      <w:r>
        <w:rPr>
          <w:rFonts w:ascii="Arial" w:cs="Arial" w:eastAsia="Arial" w:hAnsi="Arial"/>
          <w:sz w:val="16"/>
          <w:szCs w:val="16"/>
          <w:color w:val="auto"/>
        </w:rPr>
        <w:t xml:space="preserve"> The transaction included the sale of the Company's TWC products, such as sponges, gauze and conforming bandages, and certain advanced wound care dressings, such as supportive, calcium alginate, hydrogel, and foam dressings. In connection with the sale, the Company recognized $0.6 million as a gain from the sale of business in the consolidated statement of operations for the nine months ended September 30, 2022. The transaction is subject to final working capital adjustments. 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to the Notes to Consolidated Financial Statements (Part I, Item 1 of this Form 10-Q) for details.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On January 4, 2021, the Company completed its sale of its Extremity Orthopedics business to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 In connection with the sale, the Company recognized a $41.8 million as Gain from the sale of business in the consolidated statement of operations for the year ended December 31, 2021. See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to the Notes to Consolidated Financial Statements (Part I, Item 1 of this Form 10-Q) for details.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January 20, 2021, the Company acquired ACell, Inc. for an acquisition purchase price of $306.9 million plus contingent consideration obligations of up to $100 million, that may be payable upon achieving certain revenue-based performance milestones in 2022, 2023 and 2025</w:t>
      </w:r>
      <w:r>
        <w:rPr>
          <w:rFonts w:ascii="Arial" w:cs="Arial" w:eastAsia="Arial" w:hAnsi="Arial"/>
          <w:sz w:val="17"/>
          <w:szCs w:val="17"/>
          <w:i w:val="1"/>
          <w:iCs w:val="1"/>
          <w:color w:val="auto"/>
        </w:rPr>
        <w:t>.</w:t>
      </w:r>
      <w:r>
        <w:rPr>
          <w:rFonts w:ascii="Arial" w:cs="Arial" w:eastAsia="Arial" w:hAnsi="Arial"/>
          <w:sz w:val="17"/>
          <w:szCs w:val="17"/>
          <w:color w:val="auto"/>
        </w:rPr>
        <w:t xml:space="preserve"> ACell was a privately held company that offered a portfolio of regenerative products for complex wound management, including developing and commercializing products based on MatriStem Urinary Bladder Matrix ("UBM"), a technology platform derived from porcine urinary bladder extracellular matrix.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to the Notes to Consolidated Financial Statements (Part I, Item 1 of this Form 10-Q) for details.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OPTIMIZATION AND INTEGRATION ACTIVITIES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 In support of our continued focus on product margins during 2022, we closed a manufacturing facility located in France and began the transfer of production to the Company’s existing Switzerland facility. The transfer is expected to be completed by the fourth quarter of 2022. In addition, we announced plans to outsource certain transactional back-office finance and customer service activities to enhance customer quality, build scale for future growth, and capture cost efficiencies. We expect this transition to be completed by the fourth quarter of 2022.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for the three months ended September 30, 2022 was $49.9 million, or $0.60 per diluted share, as compared to $43.2 million or $0.51 per diluted share for the three months ended September 30, 2021.</w:t>
      </w:r>
    </w:p>
    <w:p>
      <w:pPr>
        <w:spacing w:after="0" w:line="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income for the nine months ended September 30, 2022 was $127.6 million, or $1.53 per diluted share, as compared to $123.7 million or $1.45 per diluted share for the nine months ended September 30, 2021. The increase in net income for the nine months ended September 30, 2022, was primarily driven by an increase in revenue as well as a decrease in the income tax provision as compared to prior year. This increase was partially offset by an increase in non-operating income in the prior period due to the gain of $42.0 million recognized as result of the sale of the Extremity Orthopedics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Charges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Income before taxes includes the following special charges</w:t>
      </w:r>
      <w:r>
        <w:rPr>
          <w:rFonts w:ascii="Arial" w:cs="Arial" w:eastAsia="Arial" w:hAnsi="Arial"/>
          <w:sz w:val="17"/>
          <w:szCs w:val="17"/>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80" w:type="dxa"/>
            <w:vAlign w:val="bottom"/>
            <w:gridSpan w:val="4"/>
          </w:tcPr>
          <w:p>
            <w:pPr>
              <w:jc w:val="right"/>
              <w:ind w:right="364"/>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divestiture and integration-related charges</w:t>
            </w:r>
            <w:r>
              <w:rPr>
                <w:rFonts w:ascii="Arial" w:cs="Arial" w:eastAsia="Arial" w:hAnsi="Arial"/>
                <w:sz w:val="20"/>
                <w:szCs w:val="20"/>
                <w:color w:val="auto"/>
                <w:vertAlign w:val="superscript"/>
              </w:rPr>
              <w:t>(1)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center"/>
              <w:ind w:left="506"/>
              <w:spacing w:after="0"/>
              <w:rPr>
                <w:sz w:val="20"/>
                <w:szCs w:val="20"/>
                <w:color w:val="auto"/>
              </w:rPr>
            </w:pPr>
            <w:r>
              <w:rPr>
                <w:rFonts w:ascii="Arial" w:cs="Arial" w:eastAsia="Arial" w:hAnsi="Arial"/>
                <w:sz w:val="15"/>
                <w:szCs w:val="15"/>
                <w:color w:val="auto"/>
                <w:w w:val="96"/>
              </w:rPr>
              <w:t>(19,552)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center"/>
              <w:ind w:left="444"/>
              <w:spacing w:after="0"/>
              <w:rPr>
                <w:sz w:val="20"/>
                <w:szCs w:val="20"/>
                <w:color w:val="auto"/>
              </w:rPr>
            </w:pPr>
            <w:r>
              <w:rPr>
                <w:rFonts w:ascii="Arial" w:cs="Arial" w:eastAsia="Arial" w:hAnsi="Arial"/>
                <w:sz w:val="15"/>
                <w:szCs w:val="15"/>
                <w:color w:val="auto"/>
                <w:w w:val="93"/>
              </w:rPr>
              <w:t>(13,588)</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Structural optimization charges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10,112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6,719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left="546"/>
              <w:spacing w:after="0"/>
              <w:rPr>
                <w:sz w:val="20"/>
                <w:szCs w:val="20"/>
                <w:color w:val="auto"/>
              </w:rPr>
            </w:pPr>
            <w:r>
              <w:rPr>
                <w:rFonts w:ascii="Arial" w:cs="Arial" w:eastAsia="Arial" w:hAnsi="Arial"/>
                <w:sz w:val="15"/>
                <w:szCs w:val="15"/>
                <w:color w:val="auto"/>
                <w:w w:val="91"/>
              </w:rPr>
              <w:t>24,604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center"/>
              <w:ind w:left="464"/>
              <w:spacing w:after="0"/>
              <w:rPr>
                <w:sz w:val="20"/>
                <w:szCs w:val="20"/>
                <w:color w:val="auto"/>
              </w:rPr>
            </w:pPr>
            <w:r>
              <w:rPr>
                <w:rFonts w:ascii="Arial" w:cs="Arial" w:eastAsia="Arial" w:hAnsi="Arial"/>
                <w:sz w:val="15"/>
                <w:szCs w:val="15"/>
                <w:color w:val="auto"/>
                <w:w w:val="91"/>
              </w:rPr>
              <w:t>15,410</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 medical device regulation ("EU MDR")</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1"/>
              </w:rPr>
              <w:t>32,970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464"/>
              <w:spacing w:after="0"/>
              <w:rPr>
                <w:sz w:val="20"/>
                <w:szCs w:val="20"/>
                <w:color w:val="auto"/>
              </w:rPr>
            </w:pPr>
            <w:r>
              <w:rPr>
                <w:rFonts w:ascii="Arial" w:cs="Arial" w:eastAsia="Arial" w:hAnsi="Arial"/>
                <w:sz w:val="15"/>
                <w:szCs w:val="15"/>
                <w:color w:val="auto"/>
                <w:w w:val="91"/>
              </w:rPr>
              <w:t>16,240</w:t>
            </w:r>
          </w:p>
        </w:tc>
        <w:tc>
          <w:tcPr>
            <w:tcW w:w="0" w:type="dxa"/>
            <w:vAlign w:val="bottom"/>
          </w:tcPr>
          <w:p>
            <w:pPr>
              <w:spacing w:after="0"/>
              <w:rPr>
                <w:sz w:val="1"/>
                <w:szCs w:val="1"/>
                <w:color w:val="auto"/>
              </w:rPr>
            </w:pPr>
          </w:p>
        </w:tc>
      </w:tr>
      <w:tr>
        <w:trPr>
          <w:trHeight w:val="196"/>
        </w:trPr>
        <w:tc>
          <w:tcPr>
            <w:tcW w:w="5260" w:type="dxa"/>
            <w:vAlign w:val="bottom"/>
          </w:tcPr>
          <w:p>
            <w:pPr>
              <w:ind w:left="1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center"/>
              <w:ind w:left="546"/>
              <w:spacing w:after="0"/>
              <w:rPr>
                <w:sz w:val="20"/>
                <w:szCs w:val="20"/>
                <w:color w:val="auto"/>
              </w:rPr>
            </w:pPr>
            <w:r>
              <w:rPr>
                <w:rFonts w:ascii="Arial" w:cs="Arial" w:eastAsia="Arial" w:hAnsi="Arial"/>
                <w:sz w:val="15"/>
                <w:szCs w:val="15"/>
                <w:color w:val="auto"/>
                <w:w w:val="91"/>
              </w:rPr>
              <w:t>38,022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w w:val="91"/>
              </w:rPr>
              <w:t>18,062</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 xml:space="preserve"> See Note 2</w:t>
      </w:r>
      <w:r>
        <w:rPr>
          <w:rFonts w:ascii="Arial" w:cs="Arial" w:eastAsia="Arial" w:hAnsi="Arial"/>
          <w:sz w:val="15"/>
          <w:szCs w:val="15"/>
          <w:i w:val="1"/>
          <w:iCs w:val="1"/>
          <w:color w:val="auto"/>
        </w:rPr>
        <w:t>, Acquisitions and Divestitures</w:t>
      </w:r>
      <w:r>
        <w:rPr>
          <w:rFonts w:ascii="Arial" w:cs="Arial" w:eastAsia="Arial" w:hAnsi="Arial"/>
          <w:sz w:val="15"/>
          <w:szCs w:val="15"/>
          <w:color w:val="auto"/>
        </w:rPr>
        <w:t xml:space="preserve"> for details.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items reported above are reflected in the condensed consolidated statements of operations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282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42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100" w:type="dxa"/>
            <w:vAlign w:val="bottom"/>
            <w:shd w:val="clear" w:color="auto" w:fill="CCEEFF"/>
          </w:tcPr>
          <w:p>
            <w:pPr>
              <w:jc w:val="right"/>
              <w:ind w:right="927"/>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13,859</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26,757</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5,723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5,517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15,528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13,140</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12,440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24,443</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line="207" w:lineRule="exact"/>
              <w:rPr>
                <w:sz w:val="20"/>
                <w:szCs w:val="20"/>
                <w:color w:val="auto"/>
              </w:rPr>
            </w:pPr>
            <w:r>
              <w:rPr>
                <w:rFonts w:ascii="Arial" w:cs="Arial" w:eastAsia="Arial" w:hAnsi="Arial"/>
                <w:sz w:val="15"/>
                <w:szCs w:val="15"/>
                <w:color w:val="auto"/>
              </w:rPr>
              <w:t>Gain from the sale of businesses</w:t>
            </w:r>
            <w:r>
              <w:rPr>
                <w:rFonts w:ascii="Arial" w:cs="Arial" w:eastAsia="Arial" w:hAnsi="Arial"/>
                <w:sz w:val="20"/>
                <w:szCs w:val="20"/>
                <w:color w:val="auto"/>
                <w:vertAlign w:val="superscript"/>
              </w:rPr>
              <w:t>(1)</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(644)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(41,967)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(3,161)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196"/>
        </w:trPr>
        <w:tc>
          <w:tcPr>
            <w:tcW w:w="4420" w:type="dxa"/>
            <w:vAlign w:val="bottom"/>
          </w:tcPr>
          <w:p>
            <w:pPr>
              <w:ind w:left="160"/>
              <w:spacing w:after="0"/>
              <w:rPr>
                <w:sz w:val="20"/>
                <w:szCs w:val="20"/>
                <w:color w:val="auto"/>
              </w:rPr>
            </w:pPr>
            <w:r>
              <w:rPr>
                <w:rFonts w:ascii="Arial" w:cs="Arial" w:eastAsia="Arial" w:hAnsi="Arial"/>
                <w:sz w:val="15"/>
                <w:szCs w:val="15"/>
                <w:color w:val="auto"/>
              </w:rPr>
              <w:t>Total</w:t>
            </w:r>
          </w:p>
        </w:tc>
        <w:tc>
          <w:tcPr>
            <w:tcW w:w="110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9,478</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16,433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38,022</w:t>
            </w:r>
          </w:p>
        </w:tc>
        <w:tc>
          <w:tcPr>
            <w:tcW w:w="80" w:type="dxa"/>
            <w:vAlign w:val="bottom"/>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18,062</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40" w:hanging="137"/>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 xml:space="preserve">See Note 2, </w:t>
      </w:r>
      <w:r>
        <w:rPr>
          <w:rFonts w:ascii="Arial" w:cs="Arial" w:eastAsia="Arial" w:hAnsi="Arial"/>
          <w:sz w:val="13"/>
          <w:szCs w:val="13"/>
          <w:i w:val="1"/>
          <w:iCs w:val="1"/>
          <w:color w:val="auto"/>
        </w:rPr>
        <w:t>Acquisitions and Divestitures</w:t>
      </w:r>
      <w:r>
        <w:rPr>
          <w:rFonts w:ascii="Arial" w:cs="Arial" w:eastAsia="Arial" w:hAnsi="Arial"/>
          <w:sz w:val="13"/>
          <w:szCs w:val="13"/>
          <w:color w:val="auto"/>
        </w:rPr>
        <w:t xml:space="preserve"> for details.</w:t>
      </w:r>
    </w:p>
    <w:p>
      <w:pPr>
        <w:spacing w:after="0" w:line="19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acquisitions and divestitures and efforts to optimize our manufacturing, distribution, commercial and administration infrastructure, some of the special charges discussed above could recur with similar materiality in the future.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Gross Margin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and gross margin on product revenues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3080" w:type="dxa"/>
            <w:vAlign w:val="bottom"/>
            <w:gridSpan w:val="4"/>
          </w:tcPr>
          <w:p>
            <w:pPr>
              <w:jc w:val="right"/>
              <w:ind w:right="64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1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4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Segment Net Sales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Codman Specialty Surgical</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249,796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256,497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754,967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754,575</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Tissue Technologies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135,395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130,364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404,677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382,349</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385,191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386,861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1,159,644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1,136,924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goods sold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148,445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144,468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439,418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441,558</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Gross margin on total revenues</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236,746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242,393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720,226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695,366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Gross margin as a percentage of total revenues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61.5 %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62.7 %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62.1 %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900"/>
        <w:spacing w:after="0" w:line="383" w:lineRule="auto"/>
        <w:rPr>
          <w:sz w:val="20"/>
          <w:szCs w:val="20"/>
          <w:color w:val="auto"/>
        </w:rPr>
      </w:pPr>
      <w:r>
        <w:rPr>
          <w:rFonts w:ascii="Arial" w:cs="Arial" w:eastAsia="Arial" w:hAnsi="Arial"/>
          <w:sz w:val="17"/>
          <w:szCs w:val="17"/>
          <w:b w:val="1"/>
          <w:bCs w:val="1"/>
          <w:color w:val="auto"/>
        </w:rPr>
        <w:t>Three Months Ended September 30, 2022 as Compared to Three Months Ended September 30, 2021 Revenues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three months ended September 30, 2022, total revenues decreased by $1.7 million to $385.2 million from $386.9 million for the same period in 2021, inclusive of a unfavorable foreign currency impact of $11.8 million on revenues. Domestic revenues increased by $6.2 million, or 2.3%, to $282.0 million and were 73.2% of total revenues for the three months ended September 30, 2022 compared to $275.8 million during the same period in the prior year. International revenues decreased by $7.9 million or 7.1% to $103.2 million for the three months ended September 30, 2022 compared to $111.1 million during the same period in the prior year, which is inclusive of a unfavorable foreign currency impact of $11.8 million.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the CSS segment, revenues were $249.8 million which was a decrease of $6.7 million, or 2.6% as compared to the prior-year period, inclusive of $10.5 million unfavorable foreign currency impact on revenue. Excluding the impact of foreign currency, the CSS segment revenues in the third quarter increased $3.8 million as compared to the prior year period. The increase was driven primarily by low single digits growth in our Neurosurgery portfolio, partially offset by low single digits declines in our our Instruments business. This increase in our Neurosurgery portfolio was primarily driven by the growth in advanced energy, CSF management, and dural access and repair, partially offset by declines in neuro monitoring which was impacted by the voluntary recall of the CereLink ICP monitoring system.</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the TT segment, revenues were $135.4 million which was an increase of $5.0 million, or 3.9% from the prior-year period, inclusive of a $1.2 million unfavorable foreign currency impact on revenue. Excluding the impact of foreign currency of $1.2 million and the divestiture impact of TWC of $2.9 million, the</w:t>
      </w:r>
    </w:p>
    <w:p>
      <w:pPr>
        <w:jc w:val="both"/>
        <w:ind w:firstLine="3"/>
        <w:spacing w:after="0" w:line="230" w:lineRule="auto"/>
        <w:tabs>
          <w:tab w:leader="none" w:pos="2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segment revenues in the third quarter increased by $9.1 million. This increase was driven by high single digits increases in our Wound Reconstruction business, led by Integra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Dermal Matrices, amniotic tissue products and ACell MicroMatrix, and low single digit increases in our Private Label business as compared to the same period in the prior year.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Gross margin was $236.7 million for the three months ended September 30, 2022, a decrease of $5.6 million from $242.4 million for the same period in 2021. Gross margin as a percentage of revenues was 61.5% for the three months ended September 30, 2022 and 62.7% or the same period in 2021. This decrease in gross margin was driven by CereLink recall impacts, unfavorable regional mix, and higher material and labor costs, partially offset by favorable price and other procurement and margin improvement initiatives.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operating expenses as a percent of total revenues:</w:t>
      </w:r>
    </w:p>
    <w:p>
      <w:pPr>
        <w:spacing w:after="0" w:line="24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Three Months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2021</w:t>
            </w:r>
          </w:p>
        </w:tc>
      </w:tr>
      <w:tr>
        <w:trPr>
          <w:trHeight w:val="206"/>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r>
      <w:tr>
        <w:trPr>
          <w:trHeight w:val="203"/>
        </w:trPr>
        <w:tc>
          <w:tcPr>
            <w:tcW w:w="868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tcPr>
          <w:p>
            <w:pPr>
              <w:jc w:val="right"/>
              <w:spacing w:after="0"/>
              <w:rPr>
                <w:sz w:val="20"/>
                <w:szCs w:val="20"/>
                <w:color w:val="auto"/>
              </w:rPr>
            </w:pPr>
            <w:r>
              <w:rPr>
                <w:rFonts w:ascii="Arial" w:cs="Arial" w:eastAsia="Arial" w:hAnsi="Arial"/>
                <w:sz w:val="15"/>
                <w:szCs w:val="15"/>
                <w:color w:val="auto"/>
              </w:rPr>
              <w:t>37.3 %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40.3 %</w:t>
            </w:r>
          </w:p>
        </w:tc>
      </w:tr>
      <w:tr>
        <w:trPr>
          <w:trHeight w:val="20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 amortization</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196"/>
        </w:trPr>
        <w:tc>
          <w:tcPr>
            <w:tcW w:w="7460" w:type="dxa"/>
            <w:vAlign w:val="bottom"/>
          </w:tcPr>
          <w:p>
            <w:pPr>
              <w:ind w:left="120"/>
              <w:spacing w:after="0"/>
              <w:rPr>
                <w:sz w:val="20"/>
                <w:szCs w:val="20"/>
                <w:color w:val="auto"/>
              </w:rPr>
            </w:pPr>
            <w:r>
              <w:rPr>
                <w:rFonts w:ascii="Arial" w:cs="Arial" w:eastAsia="Arial" w:hAnsi="Arial"/>
                <w:sz w:val="15"/>
                <w:szCs w:val="15"/>
                <w:color w:val="auto"/>
              </w:rPr>
              <w:t>Total operating expenses</w:t>
            </w:r>
          </w:p>
        </w:tc>
        <w:tc>
          <w:tcPr>
            <w:tcW w:w="1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44.5 %</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48.1 %</w:t>
            </w:r>
          </w:p>
        </w:tc>
      </w:tr>
      <w:tr>
        <w:trPr>
          <w:trHeight w:val="21"/>
        </w:trPr>
        <w:tc>
          <w:tcPr>
            <w:tcW w:w="7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which consist of research and development, selling, general and administrative, and amortization expenses, decreased by $14.3 million, or 7.7% to $171.7 million in the three months ended September 30, 2022, compared to $186.0 million in the same period in 2021.</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continues to prioritize its operating costs to increase organic investments that will drive long-term growth including the support of new product development and introductions, clinical studies, geographic expansion and targeted U.S. sales channel expansion.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expenses for the three months ended September 30, 2022 decreased by $1.1 million as compared to the same period in the prior year due to a decrease in spending during the period associated with project supplies and materials, partially offset by an increase in professional services and costs associated with EU MDR compliance.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costs for the three months ended September 30, 2022 decreased by $12.2 million as compared to the same period in the prior year driven primarily due to the reduction of $13.1 million in the change in the fair value of contingent consideration for ACell.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 Amortization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(excluding amounts reported in cost of product revenues for technology-based intangible assets) for the three months ended September 30, 2022 was $3.1 million compared to $4.1 million for the same period in prior year.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Non-Operating Income and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non-operating income and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4"/>
        </w:trPr>
        <w:tc>
          <w:tcPr>
            <w:tcW w:w="75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(12,809)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(12,192)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4,985</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Gain (loss) from the sale of businesses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non-operating income and expense</w:t>
            </w: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(5,651)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income for the three months ended September 30, 2022 increased by $1.5 million as compared to the same period last year due to higher interest earned on higher cash balances and favorable rates on the net investment hedges entered into during the second quarter of 2022.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three months ended September 30, 2022 increased by $0.6 million as compared to the same period last year.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from the sale of businesses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31, 2022, the Company completed its previously announced sale of its TWC business to Gentell and recognized $0.6 million as a gain from the sale of the business for the three months ended September 30, 2022. On January 4, 2021, the Company completed its sale of its Extremity Orthopedics business and recorded a decrease to the gain from the sale of the business of $0.2 million for the three months ended September 30, 2021 as a result of working capital adjustment.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net for the three months ended September 30, 2022 decreased by $2.3 million compared to the same period in the prior year primarily due to lower income associated with the transition services agreement from the divestiture of the Extremity Orthopedics business.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gridSpan w:val="4"/>
          </w:tcPr>
          <w:p>
            <w:pPr>
              <w:jc w:val="right"/>
              <w:ind w:right="805"/>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4"/>
        </w:trPr>
        <w:tc>
          <w:tcPr>
            <w:tcW w:w="7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3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58,796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50,788</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Income tax (benefit) expense</w:t>
            </w:r>
          </w:p>
        </w:tc>
        <w:tc>
          <w:tcPr>
            <w:tcW w:w="460" w:type="dxa"/>
            <w:vAlign w:val="bottom"/>
          </w:tcPr>
          <w:p>
            <w:pPr>
              <w:spacing w:after="0"/>
              <w:rPr>
                <w:sz w:val="17"/>
                <w:szCs w:val="17"/>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8,881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7,559</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tax rate</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14.9 %</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effective income tax rates for the three months ended September 30, 2022 and 2021 were 15.1% and 14.9%, respectively. For the three months ended September 30, 2022, the primary driver of the higher tax rate is a decrease of income in lower-taxed jurisdictions, offset by a $1.2 million benefit related to prior year amended tax returns.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80"/>
        <w:spacing w:after="0" w:line="383" w:lineRule="auto"/>
        <w:rPr>
          <w:sz w:val="20"/>
          <w:szCs w:val="20"/>
          <w:color w:val="auto"/>
        </w:rPr>
      </w:pPr>
      <w:r>
        <w:rPr>
          <w:rFonts w:ascii="Arial" w:cs="Arial" w:eastAsia="Arial" w:hAnsi="Arial"/>
          <w:sz w:val="17"/>
          <w:szCs w:val="17"/>
          <w:b w:val="1"/>
          <w:bCs w:val="1"/>
          <w:color w:val="auto"/>
        </w:rPr>
        <w:t>Nine Months Ended September 30, 2022 as Compared to Nine Months Ended September 30, 2021 Revenues and Gross Margin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nine months ended September 30, 2022, total revenues increased by $22.7 million to $1,159.6 million from $1,136.9 million for the same period in 2021, inclusive of an unfavorable foreign currency impact of $26.7 million on revenues. Domestic revenues increased by $31.0 million, or 3.9%, to $832.7 million and were 71.8% of total revenues for the nine months ended September 30, 2022. International revenues decreased by $8.2 million, or 2.5% to $326.9 million for the nine months ended September 30, 2022 compared to $335.2 million during the same period in the prior year, which is inclusive of a unfavorable foreign currency impact of $26.7 million.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CSS segment, revenues were $755.0 million, which was an increase of $0.4 million, or 0.1% from the prior-year period, inclusive of a $23.9 million unfavorable foreign currency impact on revenue. Excluding the impact of foreign currency, the CSS segment revenues increased $24.3 million as compared to the prior year period. This increase was primarily driven by low single digits growth in both our Neurosurgery and Instruments portfolios as compared to the same period in the prior year. The increase in our Neurosurgery portfolio was primarily driven by growth in advanced energy and CSF management, partially offset by the voluntary recall of the CereLink ICP monitoring system.</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the TT segment, revenues were $404.7 million, which was an increase of $22.3 million, or 5.8% from the prior-year period, inclusive of a $2.7 million unfavorable foreign currency impact on revenue. Excluding the impact of foreign currency of $2.7 million and the divestiture impact of TWC of $2.9 million, the</w:t>
      </w:r>
    </w:p>
    <w:p>
      <w:pPr>
        <w:jc w:val="both"/>
        <w:ind w:firstLine="3"/>
        <w:spacing w:after="0" w:line="230" w:lineRule="auto"/>
        <w:tabs>
          <w:tab w:leader="none" w:pos="2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segment revenues in the third quarter increased by $27.9 million. This increase was driven by mid-single digit increases in our Wound Reconstruction business, led by Integra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Dermal Matrices, SurgiMend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ACell MicroMatrix and low double digit increased in our Private Label business driven by higher customer demand and favorable order timing.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Gross margin was $720.2 million for the nine months ended September 30, 2022, an increase of $24.9 million from $695.4 million for the same period last year. Gross margin as a percentage of total revenue increased to 62.1% for the nine months ended September 30, 2022 from 61.2% in the same period last year. The increase in gross margin percentage was due to higher revenues and a reduction of inventory step-up amortization in connection with the acquisition of ACell in the prior year.</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operating expenses as a percent of total revenues:</w:t>
      </w:r>
    </w:p>
    <w:p>
      <w:pPr>
        <w:spacing w:after="0" w:line="246"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Nine Months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2021</w:t>
            </w:r>
          </w:p>
        </w:tc>
      </w:tr>
      <w:tr>
        <w:trPr>
          <w:trHeight w:val="206"/>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203"/>
        </w:trPr>
        <w:tc>
          <w:tcPr>
            <w:tcW w:w="868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tcPr>
          <w:p>
            <w:pPr>
              <w:jc w:val="right"/>
              <w:spacing w:after="0"/>
              <w:rPr>
                <w:sz w:val="20"/>
                <w:szCs w:val="20"/>
                <w:color w:val="auto"/>
              </w:rPr>
            </w:pPr>
            <w:r>
              <w:rPr>
                <w:rFonts w:ascii="Arial" w:cs="Arial" w:eastAsia="Arial" w:hAnsi="Arial"/>
                <w:sz w:val="15"/>
                <w:szCs w:val="15"/>
                <w:color w:val="auto"/>
              </w:rPr>
              <w:t>40.0 %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41.8 %</w:t>
            </w:r>
          </w:p>
        </w:tc>
      </w:tr>
      <w:tr>
        <w:trPr>
          <w:trHeight w:val="20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 amortization</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196"/>
        </w:trPr>
        <w:tc>
          <w:tcPr>
            <w:tcW w:w="7460" w:type="dxa"/>
            <w:vAlign w:val="bottom"/>
          </w:tcPr>
          <w:p>
            <w:pPr>
              <w:ind w:left="120"/>
              <w:spacing w:after="0"/>
              <w:rPr>
                <w:sz w:val="20"/>
                <w:szCs w:val="20"/>
                <w:color w:val="auto"/>
              </w:rPr>
            </w:pPr>
            <w:r>
              <w:rPr>
                <w:rFonts w:ascii="Arial" w:cs="Arial" w:eastAsia="Arial" w:hAnsi="Arial"/>
                <w:sz w:val="15"/>
                <w:szCs w:val="15"/>
                <w:color w:val="auto"/>
              </w:rPr>
              <w:t>Total operating expenses</w:t>
            </w:r>
          </w:p>
        </w:tc>
        <w:tc>
          <w:tcPr>
            <w:tcW w:w="1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47.4 %</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48.9 %</w:t>
            </w:r>
          </w:p>
        </w:tc>
      </w:tr>
      <w:tr>
        <w:trPr>
          <w:trHeight w:val="21"/>
        </w:trPr>
        <w:tc>
          <w:tcPr>
            <w:tcW w:w="7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operating expenses, which consist of selling, general and administrative expenses, research and development expenses, and amortization expenses, decreased by $7.2 million, or 1.3% to $549.1 million in the nine months ended September 30, 2022, compared to $556.4 million in the same period in 2021.</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continues to prioritize its operating costs to increase organic investments that will drive long-term growth including the support of new product development and introductions, clinical studies, geographic expansion and targeted U.S. sales channel expansion.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expenses for the nine months ended September 30, 2022 increased by $6.1 million as compared to the same period in the prior year. This increase in spending resulted from additional spending on new product development, clinical studies and additional spending due to the EU MDR compliance.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Selling, general and administrative costs decreased by $10.8 million as compared to the same period in the prior year driven primarily by reduced employee related costs and stock-based compensation, partially offset by increased selling costs on commissions and investment in sales force expansion. Additionally, the decrease in the nine months ended September 30, 2022 as compared to the same period in the prior year was also due to the reduction of $16.8 million in the change in fair value of contingent consideration for ACell, partially offset by increased spending in acquisition related costs for acquiring ACell as well as the sale of its Extremity Orthopedics business to Smith &amp; Nephew.</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 Amortization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(excluding amounts reported in cost of product revenues for technology-based intangible assets) for the nine months ended September 30, 2022 was $10.3 million compared to $12.8 million for the same period in prior year.</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total annual amortization expense to be approximately $19.1 million for the remainder of 2022, $76.3 million in 2023, $75.7 million in 2024, $75.7 million in 2025, $75.5 million in 2026, $73.6 million in 2027 and $499.0 million thereafter.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Non-Operating Income and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non-operating income and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4"/>
          </w:tcPr>
          <w:p>
            <w:pPr>
              <w:jc w:val="right"/>
              <w:ind w:right="72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75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5,298</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(36,700)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(38,270)</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from the sale of businesses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41,967</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net</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14,888</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non-operating income and expense</w:t>
            </w: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23,883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income for the nine months ended September 30, 2022 increased by $1.3 million as compared to the same period last year due to higher interest earned on higher cash balances.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for the nine months ended September 30, 2022 decreased by $1.6 million as compared to the same period last year primarily from a lower outstanding borrowing on the Senior Secured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from the sale of businesses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August 31, 2022, the Company completed its previously announced sale of its TWC business to Gentell and recognized $0.6 million as a gain from the sale of the business for the nine months ended September 30, 2022. On January 4, 2021, the Company completed its sale of its Extremity Orthopedics business and recognized a gain of $42.0 million for the nine months ended September 30, 2021.</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income, net for the nine months ended September 30, 2022, decreased by $6.8 million compared to the same period in the prior year primarily due unfavorable impact of foreign exchange, as well as lower income associated with the transition services agreement from the divestiture of the Extremity Orthopedics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gridSpan w:val="4"/>
          </w:tcPr>
          <w:p>
            <w:pPr>
              <w:jc w:val="right"/>
              <w:ind w:right="84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7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3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149,686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162,890</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Income tax (benefit) expense</w:t>
            </w:r>
          </w:p>
        </w:tc>
        <w:tc>
          <w:tcPr>
            <w:tcW w:w="460" w:type="dxa"/>
            <w:vAlign w:val="bottom"/>
          </w:tcPr>
          <w:p>
            <w:pPr>
              <w:spacing w:after="0"/>
              <w:rPr>
                <w:sz w:val="17"/>
                <w:szCs w:val="17"/>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22,082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39,199</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tax rate</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24.1 %</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effective income tax rates for the nine months ended September 30, 2022 and 2021 were 14.8% and 24.1%, respectively. For the nine months ended September 30, 2022, the primary driver of the lower tax rate is a $5.5 million benefit related to excess tax benefits from stock compensation, offset by the prior year tax impact of the gain on the sale of the Extremity Orthopedics business, which was completed during the first quarter of 2021.</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Further, legislation in foreign jurisdictions may be enacted, in response to the BEPS project begun by the OECD. The OECD recently finalized major reform of the international tax system with respect to a minimum tax rate. Such changes in U.S. and Non-U.S. jurisdictions could have an adverse effect on the Company’s effective tax rate.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we expect to pay in the coming year, which would be classified as current income taxes payable.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PRODUCT REVENUES AND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 attributes revenues to geographic areas based on the location of the customer. Total revenue by major geographic area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4"/>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42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102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282,016</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275,775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832,714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801,754</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Europe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38,301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46,458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128,907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140,714</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Asia Pacific</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42,774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133,856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136,616</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 of World</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22,100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64,167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57,840</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02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385,191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386,861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1,159,644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1,136,924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Domestic revenues increased by $6.2 million for the three months ended September 30, 2022 compared to the same period last year. European sales decreased by $8.2 million for the three months ended September 30, 2022 compared to the same period last year. Sales to customers in Asia Pacific decreased by $2.2 million for the three months ended September 30, 2022 compared to the same period last year. The Rest of World for the three months ended September 30, 2022 increased by $2.5 million compared to the same period last year. The international revenues were impacted by a $11.7 million unfavorable foreign exchange impact. Sales in China, Japan and Canada were the primary drivers of international growth.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Domestic revenues increased by $31.0 million for the nine months ended September 30, 2022 compared to the same period last year. European sales decreased by $11.8 million for the nine months ended September 30, 2022 compared to the same period last year. Sales to customers in Asia Pacific decreased by $2.8 million for the nine months ended September 30, 2022 compared to the same period last year. The Rest of World for the nine months ended September 30, 2022 increased by $6.3 million compared to the same period last year. The international revenues were impacted by a $26.6 million unfavorable foreign exchange impact. Sales in Japan, China, and Canada were the primary drivers of international growth.</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working capital as of September 30, 2022 and December 31, 2021 was $892.0 million and $813.7 million, respectively. Working capital consists of total current assets less total current liabilities as presented in the consolidated balance sheets.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Marketable Securities</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The Company had cash and cash equivalents totaling approximately $511.9 million and $513.4 million at September 30, 2022 and December 31, 2021 respectively, which are valued based on Level 1 measurements in the fair value hierarchy. At September 30, 2022, our non-U.S. subsidiaries held approximately $317.7 million of cash and cash equivalents that are available for use outside the U.S. On October 3, 2022, the Company settled cross-currency swaps designated as cash flow hedges of intercompany loans and approximately $100 million of cash was repatriated to the U.S. Refer to See Note 7, </w:t>
      </w:r>
      <w:r>
        <w:rPr>
          <w:rFonts w:ascii="Arial" w:cs="Arial" w:eastAsia="Arial" w:hAnsi="Arial"/>
          <w:sz w:val="15"/>
          <w:szCs w:val="15"/>
          <w:i w:val="1"/>
          <w:iCs w:val="1"/>
          <w:color w:val="auto"/>
        </w:rPr>
        <w:t>Derivative Instruments</w:t>
      </w:r>
      <w:r>
        <w:rPr>
          <w:rFonts w:ascii="Arial" w:cs="Arial" w:eastAsia="Arial" w:hAnsi="Arial"/>
          <w:sz w:val="15"/>
          <w:szCs w:val="15"/>
          <w:color w:val="auto"/>
        </w:rPr>
        <w:t xml:space="preserve"> of the Notes to Consolidated Financial Statements (Part I, Item 1 of this Form 10-Q) for additional details The Company asserts that it has the ability and intends to indefinitely reinvest the undistributed earnings from its foreign operations unless there is no material tax cost to remit the earnings into the U.S.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4"/>
          </w:tcPr>
          <w:p>
            <w:pPr>
              <w:jc w:val="right"/>
              <w:ind w:right="72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75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179,135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243,150</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(3,760)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(133,958)</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(154,254)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(98,747)</w:t>
            </w:r>
          </w:p>
        </w:tc>
        <w:tc>
          <w:tcPr>
            <w:tcW w:w="0" w:type="dxa"/>
            <w:vAlign w:val="bottom"/>
          </w:tcPr>
          <w:p>
            <w:pPr>
              <w:spacing w:after="0"/>
              <w:rPr>
                <w:sz w:val="1"/>
                <w:szCs w:val="1"/>
                <w:color w:val="auto"/>
              </w:rPr>
            </w:pPr>
          </w:p>
        </w:tc>
      </w:tr>
      <w:tr>
        <w:trPr>
          <w:trHeight w:val="201"/>
        </w:trPr>
        <w:tc>
          <w:tcPr>
            <w:tcW w:w="7580" w:type="dxa"/>
            <w:vAlign w:val="bottom"/>
          </w:tcPr>
          <w:p>
            <w:pPr>
              <w:ind w:left="20"/>
              <w:spacing w:after="0"/>
              <w:rPr>
                <w:sz w:val="20"/>
                <w:szCs w:val="20"/>
                <w:color w:val="auto"/>
              </w:rPr>
            </w:pPr>
            <w:r>
              <w:rPr>
                <w:rFonts w:ascii="Arial" w:cs="Arial" w:eastAsia="Arial" w:hAnsi="Arial"/>
                <w:sz w:val="15"/>
                <w:szCs w:val="15"/>
                <w:color w:val="auto"/>
              </w:rPr>
              <w:t>Effect of exchange rate fluctuations on cash</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(22,632)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(10,380)</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Provided by Operating Activities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cash flows for the nine months ended September 30, 2022 decreased by $64.0 million compared to the same period in 2021. Net income after removing the impact of the gain on sale of businesses and non-cash adjustments increased for the nine months ended September 30, 2022 by approximately $29.1 million as compared to the same period in 2021 primarily due to earnings from higher revenues. The changes in assets and liabilities, net of business acquisitions, decreased cash flows by $49.7 million in 2022 as compared to the increase in cash flows of $43.4 million for the same period in 2021. The change in 2022 is mainly attributable to increases in inventory, increases in accounts receivable due to higher revenues and decreases in accrued expenses and other current liabilities due to the Company being in an income tax refund position in the current year.</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Operating cash flows for the nine months ended September 30, 2021 increased by $119.6 million compared to the same period in 2020. Net income after removing the impact of the gain on sale of business and non-cash adjustments increased for the nine months ended September 30, 2021 by approximately $25.4 million as compared to the same period in 2020 primarily due to the continuing revenue recovery in the current year as compared to the height of the COVID-19 pandemic in the first half of the 2020. The changes in assets and liabilities, net of business acquisitions, increased cash flows by $43.4 million as compared to the decrease of $50.8 million for the same period in 2020. The improvement in 2021 working capital is attributable to a smaller increase in inventory of $3.6 million due to investments in building safety stock made in the prior year where inventory increased by $45.5 million.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Used in Investing Activities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nine months ended September 30, 2022, the Company paid $27.9 million for capital expenditures to support operations improvement initiatives at a number of our manufacturing facilities and other information technology investments as well as the $4.7 million payment related to the final developmental milestone for Rebound Therapeutics Corporation. This was partially offset by the net proceeds from the sale of the TWC business of $24.0 million. The proceeds from the sale of the TWC business of $27.8 million is presented net of cash transferred of $3.5 million and other transaction fees. Additionally, the Company also received $4.9 million proceeds on cross-currency swaps designated as net investment hedge.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nine months ended September 30, 2021, we paid a net cash amount of $303.9 million in relation to the acquisition of ACell and received net proceeds of $190.5 million for the sale of the Extremity Orthopedics business. The Company also paid for $20.6 million capital expenditures to support operations improvement initiatives at a number of our manufacturing facilities and other information technology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Used in Financing Activities</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Uses of cash from financing activities in the nine months ended September 30, 2022 primarily related to the repurchase of treasury stock of $125.0 million under the 2022 accelerated share repurchase agreement that was completed in the first quarter of 2022. In addition, the Company had $24.3 million in cash taxes paid for net equity settlements as a result of the departure of the former chief executive officer of the Company. The Company also had repayments of $40.8 million under our Senior Credit Facility and Securitization Facility offset by $34.3 million borrowings under our Senior Credit Facility and Securitization Facility.</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Uses of cash from financing activities in the nine months ended September 30, 2021 were repayments of $114.3 million under our Senior Credit Facility and Securitization Facility. In addition, the Company had $4.3 million in cash taxes paid in net equity settlements. These uses were offset by $6.6 million proceeds from the exercise of stock options and $13.5 million borrowings under our Senior Credit Facility and Securitization Facility.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Senior Credit Agreement, Convertible Senior Notes, Securitization and Related Hedging Activities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See Note 6</w:t>
      </w:r>
      <w:r>
        <w:rPr>
          <w:rFonts w:ascii="Arial" w:cs="Arial" w:eastAsia="Arial" w:hAnsi="Arial"/>
          <w:sz w:val="16"/>
          <w:szCs w:val="16"/>
          <w:i w:val="1"/>
          <w:iCs w:val="1"/>
          <w:color w:val="auto"/>
        </w:rPr>
        <w:t>, Debt,</w:t>
      </w:r>
      <w:r>
        <w:rPr>
          <w:rFonts w:ascii="Arial" w:cs="Arial" w:eastAsia="Arial" w:hAnsi="Arial"/>
          <w:sz w:val="16"/>
          <w:szCs w:val="16"/>
          <w:color w:val="auto"/>
        </w:rPr>
        <w:t xml:space="preserve"> to the Notes to Consolidated Financial Statements (Part I, Item 1 of this Form 10-Q) for a discussion of our Amended and Restated Senior Credit Agreement, the 2025 Notes and Securitization Facility and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to the Notes to Consolidated Financial Statements (Part I, Item 1 of this Form 10-Q) for discussion of our hedging activities. We are forecasting that sales and earnings for the next twelve months will be sufficient to remain in compliance with our financial covenants under the terms of the February 2020 Amendment to the Senior Credit Facility.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Plan</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12, 2022, the Company entered into a $125.0 million accelerated share repurchase ("2022 ASR") and received 1.48 million shares of the Company common stock at inception, which represented approximately 80% of the expected total shares. On March 24, 2022, the early exercise provision was exercised by 2022 ASR counterparty. Upon settlement on March 24, 2022, the Company received an additional 0.46 million shares determined using the volume-weighted average price of the Company's common stock during the term of the 2022 ASR.</w:t>
      </w:r>
    </w:p>
    <w:p>
      <w:pPr>
        <w:spacing w:after="0" w:line="75" w:lineRule="exact"/>
        <w:rPr>
          <w:sz w:val="20"/>
          <w:szCs w:val="20"/>
          <w:color w:val="auto"/>
        </w:rPr>
      </w:pPr>
    </w:p>
    <w:p>
      <w:pPr>
        <w:ind w:right="2160"/>
        <w:spacing w:after="0" w:line="379" w:lineRule="auto"/>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Treasury Stock</w:t>
      </w:r>
      <w:r>
        <w:rPr>
          <w:rFonts w:ascii="Arial" w:cs="Arial" w:eastAsia="Arial" w:hAnsi="Arial"/>
          <w:sz w:val="17"/>
          <w:szCs w:val="17"/>
          <w:color w:val="auto"/>
        </w:rPr>
        <w:t xml:space="preserve"> of the Notes to Consolidated Financial Statements (Part I, Item 1 of this Form 10-Q) for further details. </w:t>
      </w:r>
      <w:r>
        <w:rPr>
          <w:rFonts w:ascii="Arial" w:cs="Arial" w:eastAsia="Arial" w:hAnsi="Arial"/>
          <w:sz w:val="17"/>
          <w:szCs w:val="17"/>
          <w:b w:val="1"/>
          <w:bCs w:val="1"/>
          <w:color w:val="auto"/>
        </w:rPr>
        <w:t>Dividend Policy</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do not have any off–balance sheet financing arrangements during the nine months ended September 30, 2022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primary obligations include principal and interest payments on revolving portion and Term Loan component of the Senior Credit Facility, Securitization Facility and Convertible Securities. See Note 6</w:t>
      </w:r>
      <w:r>
        <w:rPr>
          <w:rFonts w:ascii="Arial" w:cs="Arial" w:eastAsia="Arial" w:hAnsi="Arial"/>
          <w:sz w:val="16"/>
          <w:szCs w:val="16"/>
          <w:i w:val="1"/>
          <w:iCs w:val="1"/>
          <w:color w:val="auto"/>
        </w:rPr>
        <w:t>, Debt,</w:t>
      </w:r>
      <w:r>
        <w:rPr>
          <w:rFonts w:ascii="Arial" w:cs="Arial" w:eastAsia="Arial" w:hAnsi="Arial"/>
          <w:sz w:val="16"/>
          <w:szCs w:val="16"/>
          <w:color w:val="auto"/>
        </w:rPr>
        <w:t xml:space="preserve"> to the Notes to Consolidated Financial Statements (Part I, Item 1 of this Form 10-Q) for details. The Company also leases some of our manufacturing facilities and office buildings which have future minimum lease payments associated. See Note 10, </w:t>
      </w:r>
      <w:r>
        <w:rPr>
          <w:rFonts w:ascii="Arial" w:cs="Arial" w:eastAsia="Arial" w:hAnsi="Arial"/>
          <w:sz w:val="16"/>
          <w:szCs w:val="16"/>
          <w:i w:val="1"/>
          <w:iCs w:val="1"/>
          <w:color w:val="auto"/>
        </w:rPr>
        <w:t>Leases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Party Leases </w:t>
      </w:r>
      <w:r>
        <w:rPr>
          <w:rFonts w:ascii="Arial" w:cs="Arial" w:eastAsia="Arial" w:hAnsi="Arial"/>
          <w:sz w:val="16"/>
          <w:szCs w:val="16"/>
          <w:color w:val="auto"/>
        </w:rPr>
        <w:t>to the Notes to Consolidated Financial Statements (Part I, Item 1 of this Form 10-Q) for a schedule of our future minimum lease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related to the Company's other obligations, including employment agreements and purchase obligations were not material.</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has contingent consideration obligation related to prior and current year acquisitions and future pension contribution obligations. See Note 9, </w:t>
      </w:r>
      <w:r>
        <w:rPr>
          <w:rFonts w:ascii="Arial" w:cs="Arial" w:eastAsia="Arial" w:hAnsi="Arial"/>
          <w:sz w:val="17"/>
          <w:szCs w:val="17"/>
          <w:i w:val="1"/>
          <w:iCs w:val="1"/>
          <w:color w:val="auto"/>
        </w:rPr>
        <w:t xml:space="preserve">Retirement Plans </w:t>
      </w:r>
      <w:r>
        <w:rPr>
          <w:rFonts w:ascii="Arial" w:cs="Arial" w:eastAsia="Arial" w:hAnsi="Arial"/>
          <w:sz w:val="17"/>
          <w:szCs w:val="17"/>
          <w:color w:val="auto"/>
        </w:rPr>
        <w:t>and Note 16,</w:t>
      </w:r>
      <w:r>
        <w:rPr>
          <w:rFonts w:ascii="Arial" w:cs="Arial" w:eastAsia="Arial" w:hAnsi="Arial"/>
          <w:sz w:val="17"/>
          <w:szCs w:val="17"/>
          <w:i w:val="1"/>
          <w:iCs w:val="1"/>
          <w:color w:val="auto"/>
        </w:rPr>
        <w:t xml:space="preserve"> Commitments and Contingencies </w:t>
      </w:r>
      <w:r>
        <w:rPr>
          <w:rFonts w:ascii="Arial" w:cs="Arial" w:eastAsia="Arial" w:hAnsi="Arial"/>
          <w:sz w:val="17"/>
          <w:szCs w:val="17"/>
          <w:color w:val="auto"/>
        </w:rPr>
        <w:t>to the Notes to Consolidated Financial Statements (Part I, Item 1 of this Form 10-Q) for details.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associated obligations are not fixed. The Company also has a liability for uncertain tax benefits including interest and penalties. See Note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the Notes to Consolidated Financial Statements (Part I, Item 1 of this Form 10-Q) for details. The Company cannot make a reliable estimate of the period in which the uncertain tax benefits may be realized.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Termination Benefits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incurred employee termination costs on restructuring activities associated with a closure of a manufacturing facility located in France, outsourcing plans for select transactional back office activities, and executive reorganization in the consolidated statement of operations for the nine months ended September 30, 2022. Restructuring costs were included in accrued expenses and other current liabilities in the consolidated balance sheet for the nine months ended September 30, 2022 and year ended December 31, 2021. 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of the Notes to Consolidated Financial Statements (Part I, Item 1 of this Form 10-Q) for additional details.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critical accounting estimates included in the Company's Annual Report on Form 10-K for the fiscal year ended December 31, 2021 have not materially changed.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Information regarding new accounting pronouncements is included in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to the current period’s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and Other Rate Risks</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of the Notes to Consolidated Financial Statements (Part I, Item 1 of this Form 10-Q) for further information.</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discussed herein have not been materially affected by inflation.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u w:val="single" w:color="auto"/>
          <w:color w:val="auto"/>
        </w:rPr>
        <w:t>Cash and Cash Equivalents</w:t>
      </w:r>
      <w:r>
        <w:rPr>
          <w:rFonts w:ascii="Arial" w:cs="Arial" w:eastAsia="Arial" w:hAnsi="Arial"/>
          <w:sz w:val="15"/>
          <w:szCs w:val="15"/>
          <w:i w:val="1"/>
          <w:iCs w:val="1"/>
          <w:color w:val="auto"/>
        </w:rPr>
        <w:t xml:space="preserve"> </w:t>
      </w:r>
      <w:r>
        <w:rPr>
          <w:rFonts w:ascii="Arial" w:cs="Arial" w:eastAsia="Arial" w:hAnsi="Arial"/>
          <w:sz w:val="15"/>
          <w:szCs w:val="15"/>
          <w:color w:val="auto"/>
        </w:rPr>
        <w:t>- We are exposed to the risk of interest rate fluctuations on the interest income earned on our cash and cash equivalents. A hypothetical</w:t>
      </w:r>
      <w:r>
        <w:rPr>
          <w:rFonts w:ascii="Arial" w:cs="Arial" w:eastAsia="Arial" w:hAnsi="Arial"/>
          <w:sz w:val="15"/>
          <w:szCs w:val="15"/>
          <w:i w:val="1"/>
          <w:iCs w:val="1"/>
          <w:color w:val="auto"/>
        </w:rPr>
        <w:t xml:space="preserve"> </w:t>
      </w:r>
      <w:r>
        <w:rPr>
          <w:rFonts w:ascii="Arial" w:cs="Arial" w:eastAsia="Arial" w:hAnsi="Arial"/>
          <w:sz w:val="15"/>
          <w:szCs w:val="15"/>
          <w:color w:val="auto"/>
        </w:rPr>
        <w:t>100 basis points movement in interest rates applicable to our cash and cash equivalents outstanding at September 30, 2022 would have impacted interest income by approximately $5.1 million on an annual basis. We are subject to foreign currency exchange risk with respect to cash balances maintained in foreign currencies.</w:t>
      </w:r>
    </w:p>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Debt</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use interest rate swap derivative instruments to manage our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cash flow exposure to changes in interest rates. These interest rate swaps fix the interest rate on a portion of our expected LIBOR-indexed floating-rate borrowings. These interest rate swaps were designated as cash flow hedges as of September 30, 2022. The total notional amounts related to the Company’s interest rate swaps were $1.8 billion with $875.0 million effective as of September 30, 2022. Based on our outstanding borrowings at September 30, 2022, a 100 basis points change in interest rates would have impacted interest expense on the unhedged portion of the debt by $1.1 million on an annualized basis. See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the details of interest rate swaps.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2022. Based upon this evaluation, our principal executive officer and principal financial officer concluded that our disclosure controls and procedures were effective as of September 30, 2022 to provide such reasonable assurance.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2022 that have materially affected, or are reasonably likely to materially affect, our internal control over financial reporting.</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Information pertaining to legal proceedings can be found in Note 16, </w:t>
      </w:r>
      <w:r>
        <w:rPr>
          <w:rFonts w:ascii="Arial" w:cs="Arial" w:eastAsia="Arial" w:hAnsi="Arial"/>
          <w:sz w:val="17"/>
          <w:szCs w:val="17"/>
          <w:i w:val="1"/>
          <w:iCs w:val="1"/>
          <w:color w:val="auto"/>
        </w:rPr>
        <w:t>Commitment and Contingencies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12529"/>
        </w:rPr>
        <w:t xml:space="preserve">There have been no material changes in the Company's risk factors included in our Annual Report on Form 10-K for the fiscal year ended </w:t>
      </w:r>
      <w:r>
        <w:rPr>
          <w:rFonts w:ascii="Arial" w:cs="Arial" w:eastAsia="Arial" w:hAnsi="Arial"/>
          <w:sz w:val="17"/>
          <w:szCs w:val="17"/>
          <w:color w:val="000000"/>
        </w:rPr>
        <w:t>December 31, 2021</w:t>
      </w:r>
      <w:r>
        <w:rPr>
          <w:rFonts w:ascii="Arial" w:cs="Arial" w:eastAsia="Arial" w:hAnsi="Arial"/>
          <w:sz w:val="17"/>
          <w:szCs w:val="17"/>
          <w:color w:val="212529"/>
        </w:rPr>
        <w:t xml:space="preserve"> and subsequent periodic reports filed with the Securities and Exchange Commission pursuant to the Securities Exchange Act of 1934, as amended (the "Exchange Act").</w:t>
      </w:r>
    </w:p>
    <w:p>
      <w:pPr>
        <w:spacing w:after="0" w:line="169" w:lineRule="exact"/>
        <w:rPr>
          <w:sz w:val="20"/>
          <w:szCs w:val="20"/>
          <w:color w:val="auto"/>
        </w:rPr>
      </w:pPr>
    </w:p>
    <w:p>
      <w:pPr>
        <w:ind w:right="4460"/>
        <w:spacing w:after="0" w:line="413"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color w:val="auto"/>
        </w:rPr>
        <w:t>Not applicable.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w w:val="90"/>
              </w:rPr>
              <w:t>Exhibits</w:t>
            </w:r>
          </w:p>
        </w:tc>
        <w:tc>
          <w:tcPr>
            <w:tcW w:w="20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2"/>
        </w:trPr>
        <w:tc>
          <w:tcPr>
            <w:tcW w:w="6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460" w:type="dxa"/>
            <w:vAlign w:val="bottom"/>
          </w:tcPr>
          <w:p>
            <w:pPr>
              <w:spacing w:after="0"/>
              <w:rPr>
                <w:sz w:val="24"/>
                <w:szCs w:val="24"/>
                <w:color w:val="auto"/>
              </w:rPr>
            </w:pPr>
          </w:p>
        </w:tc>
        <w:tc>
          <w:tcPr>
            <w:tcW w:w="9680" w:type="dxa"/>
            <w:vAlign w:val="bottom"/>
            <w:tcBorders>
              <w:bottom w:val="single" w:sz="8" w:color="0000FF"/>
            </w:tcBorders>
            <w:gridSpan w:val="8"/>
          </w:tcPr>
          <w:p>
            <w:pPr>
              <w:spacing w:after="0"/>
              <w:rPr>
                <w:rFonts w:ascii="Arial" w:cs="Arial" w:eastAsia="Arial" w:hAnsi="Arial"/>
                <w:sz w:val="17"/>
                <w:szCs w:val="17"/>
                <w:color w:val="0000FF"/>
                <w:w w:val="91"/>
              </w:rPr>
            </w:pPr>
            <w:hyperlink r:id="rId88">
              <w:r>
                <w:rPr>
                  <w:rFonts w:ascii="Arial" w:cs="Arial" w:eastAsia="Arial" w:hAnsi="Arial"/>
                  <w:sz w:val="17"/>
                  <w:szCs w:val="17"/>
                  <w:color w:val="0000FF"/>
                  <w:w w:val="91"/>
                </w:rPr>
                <w:t>Separation Agreement and General Release, dated September 23, 2022, by and between Glenn Coleman, Integra LifeSciences Corporation</w:t>
              </w:r>
            </w:hyperlink>
          </w:p>
        </w:tc>
      </w:tr>
      <w:tr>
        <w:trPr>
          <w:trHeight w:val="148"/>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8"/>
          </w:tcPr>
          <w:p>
            <w:pPr>
              <w:spacing w:after="0" w:line="148" w:lineRule="exact"/>
              <w:rPr>
                <w:rFonts w:ascii="Arial" w:cs="Arial" w:eastAsia="Arial" w:hAnsi="Arial"/>
                <w:sz w:val="17"/>
                <w:szCs w:val="17"/>
                <w:color w:val="0000FF"/>
                <w:w w:val="94"/>
              </w:rPr>
            </w:pPr>
            <w:hyperlink r:id="rId88">
              <w:r>
                <w:rPr>
                  <w:rFonts w:ascii="Arial" w:cs="Arial" w:eastAsia="Arial" w:hAnsi="Arial"/>
                  <w:sz w:val="17"/>
                  <w:szCs w:val="17"/>
                  <w:color w:val="0000FF"/>
                  <w:w w:val="94"/>
                </w:rPr>
                <w:t>and Integra LifeSciences Holdings Corporation (Incorporated by reference to Exhibit 10.1 to the Company’s Current Report on Form 8-K</w:t>
              </w:r>
            </w:hyperlink>
          </w:p>
        </w:tc>
      </w:tr>
      <w:tr>
        <w:trPr>
          <w:trHeight w:val="160"/>
        </w:trPr>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2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91"/>
              </w:rPr>
            </w:pPr>
            <w:hyperlink r:id="rId88">
              <w:r>
                <w:rPr>
                  <w:rFonts w:ascii="Arial" w:cs="Arial" w:eastAsia="Arial" w:hAnsi="Arial"/>
                  <w:sz w:val="17"/>
                  <w:szCs w:val="17"/>
                  <w:color w:val="0000FF"/>
                  <w:w w:val="91"/>
                </w:rPr>
                <w:t>filed on September 23, 2022)</w:t>
              </w:r>
            </w:hyperlink>
          </w:p>
        </w:tc>
        <w:tc>
          <w:tcPr>
            <w:tcW w:w="76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02"/>
        </w:trPr>
        <w:tc>
          <w:tcPr>
            <w:tcW w:w="620" w:type="dxa"/>
            <w:vAlign w:val="bottom"/>
            <w:gridSpan w:val="2"/>
          </w:tcPr>
          <w:p>
            <w:pPr>
              <w:jc w:val="right"/>
              <w:spacing w:after="0"/>
              <w:rPr>
                <w:sz w:val="20"/>
                <w:szCs w:val="20"/>
                <w:color w:val="auto"/>
              </w:rPr>
            </w:pPr>
            <w:r>
              <w:rPr>
                <w:rFonts w:ascii="Arial" w:cs="Arial" w:eastAsia="Arial" w:hAnsi="Arial"/>
                <w:sz w:val="17"/>
                <w:szCs w:val="17"/>
                <w:color w:val="auto"/>
              </w:rPr>
              <w:t>#10.2</w:t>
            </w:r>
          </w:p>
        </w:tc>
        <w:tc>
          <w:tcPr>
            <w:tcW w:w="460" w:type="dxa"/>
            <w:vAlign w:val="bottom"/>
          </w:tcPr>
          <w:p>
            <w:pPr>
              <w:spacing w:after="0"/>
              <w:rPr>
                <w:sz w:val="24"/>
                <w:szCs w:val="24"/>
                <w:color w:val="auto"/>
              </w:rPr>
            </w:pPr>
          </w:p>
        </w:tc>
        <w:tc>
          <w:tcPr>
            <w:tcW w:w="9680" w:type="dxa"/>
            <w:vAlign w:val="bottom"/>
            <w:gridSpan w:val="8"/>
          </w:tcPr>
          <w:p>
            <w:pPr>
              <w:spacing w:after="0"/>
              <w:rPr>
                <w:rFonts w:ascii="Arial" w:cs="Arial" w:eastAsia="Arial" w:hAnsi="Arial"/>
                <w:sz w:val="17"/>
                <w:szCs w:val="17"/>
                <w:color w:val="0000FF"/>
                <w:w w:val="95"/>
              </w:rPr>
            </w:pPr>
            <w:hyperlink r:id="rId89">
              <w:r>
                <w:rPr>
                  <w:rFonts w:ascii="Arial" w:cs="Arial" w:eastAsia="Arial" w:hAnsi="Arial"/>
                  <w:sz w:val="17"/>
                  <w:szCs w:val="17"/>
                  <w:color w:val="0000FF"/>
                  <w:w w:val="95"/>
                </w:rPr>
                <w:t>Form of Indemnification Agreement, by and between Integra LifeSciences Holdings Corporation and each of its directors and executive</w:t>
              </w:r>
            </w:hyperlink>
          </w:p>
        </w:tc>
      </w:tr>
      <w:tr>
        <w:trPr>
          <w:trHeight w:val="148"/>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36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3"/>
              </w:rPr>
            </w:pPr>
            <w:hyperlink r:id="rId89">
              <w:r>
                <w:rPr>
                  <w:rFonts w:ascii="Arial" w:cs="Arial" w:eastAsia="Arial" w:hAnsi="Arial"/>
                  <w:sz w:val="17"/>
                  <w:szCs w:val="17"/>
                  <w:color w:val="0000FF"/>
                  <w:w w:val="93"/>
                </w:rPr>
                <w:t>officers (Incorporated by reference to Exhibit 10.1 to the Company’s Current Report on Form 8-K filed on July 19, 2022)</w:t>
              </w:r>
            </w:hyperlink>
          </w:p>
        </w:tc>
        <w:tc>
          <w:tcPr>
            <w:tcW w:w="128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15"/>
        </w:trPr>
        <w:tc>
          <w:tcPr>
            <w:tcW w:w="620" w:type="dxa"/>
            <w:vAlign w:val="bottom"/>
            <w:gridSpan w:val="2"/>
          </w:tcPr>
          <w:p>
            <w:pPr>
              <w:jc w:val="right"/>
              <w:spacing w:after="0"/>
              <w:rPr>
                <w:sz w:val="20"/>
                <w:szCs w:val="20"/>
                <w:color w:val="auto"/>
              </w:rPr>
            </w:pPr>
            <w:r>
              <w:rPr>
                <w:rFonts w:ascii="Arial" w:cs="Arial" w:eastAsia="Arial" w:hAnsi="Arial"/>
                <w:sz w:val="17"/>
                <w:szCs w:val="17"/>
                <w:color w:val="auto"/>
              </w:rPr>
              <w:t>*#10.3</w:t>
            </w:r>
          </w:p>
        </w:tc>
        <w:tc>
          <w:tcPr>
            <w:tcW w:w="460" w:type="dxa"/>
            <w:vAlign w:val="bottom"/>
          </w:tcPr>
          <w:p>
            <w:pPr>
              <w:spacing w:after="0"/>
              <w:rPr>
                <w:sz w:val="24"/>
                <w:szCs w:val="24"/>
                <w:color w:val="auto"/>
              </w:rPr>
            </w:pPr>
          </w:p>
        </w:tc>
        <w:tc>
          <w:tcPr>
            <w:tcW w:w="9680" w:type="dxa"/>
            <w:vAlign w:val="bottom"/>
            <w:gridSpan w:val="8"/>
          </w:tcPr>
          <w:p>
            <w:pPr>
              <w:spacing w:after="0"/>
              <w:rPr>
                <w:sz w:val="20"/>
                <w:szCs w:val="20"/>
                <w:color w:val="auto"/>
              </w:rPr>
            </w:pPr>
            <w:r>
              <w:rPr>
                <w:rFonts w:ascii="Arial" w:cs="Arial" w:eastAsia="Arial" w:hAnsi="Arial"/>
                <w:sz w:val="17"/>
                <w:szCs w:val="17"/>
                <w:color w:val="0000FF"/>
              </w:rPr>
              <w:t>Form of Non-Deferred Contract Stock/Restricted Units Award Agreement (Executive Officers)</w:t>
            </w:r>
          </w:p>
        </w:tc>
      </w:tr>
      <w:tr>
        <w:trPr>
          <w:trHeight w:val="20"/>
        </w:trPr>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r>
      <w:tr>
        <w:trPr>
          <w:trHeight w:val="302"/>
        </w:trPr>
        <w:tc>
          <w:tcPr>
            <w:tcW w:w="620" w:type="dxa"/>
            <w:vAlign w:val="bottom"/>
            <w:gridSpan w:val="2"/>
          </w:tcPr>
          <w:p>
            <w:pPr>
              <w:jc w:val="right"/>
              <w:spacing w:after="0"/>
              <w:rPr>
                <w:sz w:val="20"/>
                <w:szCs w:val="20"/>
                <w:color w:val="auto"/>
              </w:rPr>
            </w:pPr>
            <w:r>
              <w:rPr>
                <w:rFonts w:ascii="Arial" w:cs="Arial" w:eastAsia="Arial" w:hAnsi="Arial"/>
                <w:sz w:val="17"/>
                <w:szCs w:val="17"/>
                <w:color w:val="auto"/>
              </w:rPr>
              <w:t>*31.1</w:t>
            </w:r>
          </w:p>
        </w:tc>
        <w:tc>
          <w:tcPr>
            <w:tcW w:w="460" w:type="dxa"/>
            <w:vAlign w:val="bottom"/>
          </w:tcPr>
          <w:p>
            <w:pPr>
              <w:spacing w:after="0"/>
              <w:rPr>
                <w:sz w:val="24"/>
                <w:szCs w:val="24"/>
                <w:color w:val="auto"/>
              </w:rPr>
            </w:pPr>
          </w:p>
        </w:tc>
        <w:tc>
          <w:tcPr>
            <w:tcW w:w="71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Certification of Principal Executive Officer Pursuant to Section 302 of the Sarbanes-Oxley Act of 2002</w:t>
            </w:r>
          </w:p>
        </w:tc>
        <w:tc>
          <w:tcPr>
            <w:tcW w:w="2560" w:type="dxa"/>
            <w:vAlign w:val="bottom"/>
            <w:gridSpan w:val="4"/>
          </w:tcPr>
          <w:p>
            <w:pPr>
              <w:spacing w:after="0"/>
              <w:rPr>
                <w:sz w:val="24"/>
                <w:szCs w:val="24"/>
                <w:color w:val="auto"/>
              </w:rPr>
            </w:pPr>
          </w:p>
        </w:tc>
      </w:tr>
      <w:tr>
        <w:trPr>
          <w:trHeight w:val="302"/>
        </w:trPr>
        <w:tc>
          <w:tcPr>
            <w:tcW w:w="620" w:type="dxa"/>
            <w:vAlign w:val="bottom"/>
            <w:gridSpan w:val="2"/>
          </w:tcPr>
          <w:p>
            <w:pPr>
              <w:jc w:val="right"/>
              <w:spacing w:after="0"/>
              <w:rPr>
                <w:sz w:val="20"/>
                <w:szCs w:val="20"/>
                <w:color w:val="auto"/>
              </w:rPr>
            </w:pPr>
            <w:r>
              <w:rPr>
                <w:rFonts w:ascii="Arial" w:cs="Arial" w:eastAsia="Arial" w:hAnsi="Arial"/>
                <w:sz w:val="17"/>
                <w:szCs w:val="17"/>
                <w:color w:val="auto"/>
              </w:rPr>
              <w:t>*31.2</w:t>
            </w:r>
          </w:p>
        </w:tc>
        <w:tc>
          <w:tcPr>
            <w:tcW w:w="460" w:type="dxa"/>
            <w:vAlign w:val="bottom"/>
          </w:tcPr>
          <w:p>
            <w:pPr>
              <w:spacing w:after="0"/>
              <w:rPr>
                <w:sz w:val="24"/>
                <w:szCs w:val="24"/>
                <w:color w:val="auto"/>
              </w:rPr>
            </w:pPr>
          </w:p>
        </w:tc>
        <w:tc>
          <w:tcPr>
            <w:tcW w:w="9680" w:type="dxa"/>
            <w:vAlign w:val="bottom"/>
            <w:gridSpan w:val="8"/>
          </w:tcPr>
          <w:p>
            <w:pPr>
              <w:spacing w:after="0"/>
              <w:rPr>
                <w:sz w:val="20"/>
                <w:szCs w:val="20"/>
                <w:color w:val="auto"/>
              </w:rPr>
            </w:pPr>
            <w:r>
              <w:rPr>
                <w:rFonts w:ascii="Arial" w:cs="Arial" w:eastAsia="Arial" w:hAnsi="Arial"/>
                <w:sz w:val="17"/>
                <w:szCs w:val="17"/>
                <w:color w:val="0000FF"/>
              </w:rPr>
              <w:t>Certification of Principal Financial Officer Pursuant to Section 302 of the Sarbanes-Oxley Act of 2002</w:t>
            </w:r>
          </w:p>
        </w:tc>
      </w:tr>
      <w:tr>
        <w:trPr>
          <w:trHeight w:val="20"/>
        </w:trPr>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60" w:type="dxa"/>
            <w:vAlign w:val="bottom"/>
            <w:gridSpan w:val="3"/>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r>
      <w:tr>
        <w:trPr>
          <w:trHeight w:val="302"/>
        </w:trPr>
        <w:tc>
          <w:tcPr>
            <w:tcW w:w="620" w:type="dxa"/>
            <w:vAlign w:val="bottom"/>
            <w:gridSpan w:val="2"/>
          </w:tcPr>
          <w:p>
            <w:pPr>
              <w:jc w:val="right"/>
              <w:spacing w:after="0"/>
              <w:rPr>
                <w:sz w:val="20"/>
                <w:szCs w:val="20"/>
                <w:color w:val="auto"/>
              </w:rPr>
            </w:pPr>
            <w:r>
              <w:rPr>
                <w:rFonts w:ascii="Arial" w:cs="Arial" w:eastAsia="Arial" w:hAnsi="Arial"/>
                <w:sz w:val="17"/>
                <w:szCs w:val="17"/>
                <w:color w:val="auto"/>
              </w:rPr>
              <w:t>*32.1</w:t>
            </w:r>
          </w:p>
        </w:tc>
        <w:tc>
          <w:tcPr>
            <w:tcW w:w="460" w:type="dxa"/>
            <w:vAlign w:val="bottom"/>
          </w:tcPr>
          <w:p>
            <w:pPr>
              <w:spacing w:after="0"/>
              <w:rPr>
                <w:sz w:val="24"/>
                <w:szCs w:val="24"/>
                <w:color w:val="auto"/>
              </w:rPr>
            </w:pPr>
          </w:p>
        </w:tc>
        <w:tc>
          <w:tcPr>
            <w:tcW w:w="71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Certification of Principal Executive Officer Pursuant to Section 906 of the Sarbanes-Oxley Act of 2002</w:t>
            </w:r>
          </w:p>
        </w:tc>
        <w:tc>
          <w:tcPr>
            <w:tcW w:w="2560" w:type="dxa"/>
            <w:vAlign w:val="bottom"/>
            <w:gridSpan w:val="4"/>
          </w:tcPr>
          <w:p>
            <w:pPr>
              <w:spacing w:after="0"/>
              <w:rPr>
                <w:sz w:val="24"/>
                <w:szCs w:val="24"/>
                <w:color w:val="auto"/>
              </w:rPr>
            </w:pPr>
          </w:p>
        </w:tc>
      </w:tr>
      <w:tr>
        <w:trPr>
          <w:trHeight w:val="302"/>
        </w:trPr>
        <w:tc>
          <w:tcPr>
            <w:tcW w:w="620" w:type="dxa"/>
            <w:vAlign w:val="bottom"/>
            <w:gridSpan w:val="2"/>
          </w:tcPr>
          <w:p>
            <w:pPr>
              <w:jc w:val="right"/>
              <w:spacing w:after="0"/>
              <w:rPr>
                <w:sz w:val="20"/>
                <w:szCs w:val="20"/>
                <w:color w:val="auto"/>
              </w:rPr>
            </w:pPr>
            <w:r>
              <w:rPr>
                <w:rFonts w:ascii="Arial" w:cs="Arial" w:eastAsia="Arial" w:hAnsi="Arial"/>
                <w:sz w:val="17"/>
                <w:szCs w:val="17"/>
                <w:color w:val="auto"/>
              </w:rPr>
              <w:t>*32.2</w:t>
            </w:r>
          </w:p>
        </w:tc>
        <w:tc>
          <w:tcPr>
            <w:tcW w:w="460" w:type="dxa"/>
            <w:vAlign w:val="bottom"/>
          </w:tcPr>
          <w:p>
            <w:pPr>
              <w:spacing w:after="0"/>
              <w:rPr>
                <w:sz w:val="24"/>
                <w:szCs w:val="24"/>
                <w:color w:val="auto"/>
              </w:rPr>
            </w:pPr>
          </w:p>
        </w:tc>
        <w:tc>
          <w:tcPr>
            <w:tcW w:w="9680" w:type="dxa"/>
            <w:vAlign w:val="bottom"/>
            <w:gridSpan w:val="8"/>
          </w:tcPr>
          <w:p>
            <w:pPr>
              <w:spacing w:after="0"/>
              <w:rPr>
                <w:sz w:val="20"/>
                <w:szCs w:val="20"/>
                <w:color w:val="auto"/>
              </w:rPr>
            </w:pPr>
            <w:r>
              <w:rPr>
                <w:rFonts w:ascii="Arial" w:cs="Arial" w:eastAsia="Arial" w:hAnsi="Arial"/>
                <w:sz w:val="17"/>
                <w:szCs w:val="17"/>
                <w:color w:val="0000FF"/>
              </w:rPr>
              <w:t>Certification of Principal Financial Officer Pursuant to Section 906 of the Sarbanes-Oxley Act of 2002</w:t>
            </w:r>
          </w:p>
        </w:tc>
      </w:tr>
      <w:tr>
        <w:trPr>
          <w:trHeight w:val="20"/>
        </w:trPr>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60" w:type="dxa"/>
            <w:vAlign w:val="bottom"/>
            <w:gridSpan w:val="3"/>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w w:val="95"/>
              </w:rPr>
              <w:t>*†101.INS</w:t>
            </w:r>
          </w:p>
        </w:tc>
        <w:tc>
          <w:tcPr>
            <w:tcW w:w="9680" w:type="dxa"/>
            <w:vAlign w:val="bottom"/>
            <w:gridSpan w:val="8"/>
          </w:tcPr>
          <w:p>
            <w:pPr>
              <w:spacing w:after="0"/>
              <w:rPr>
                <w:sz w:val="20"/>
                <w:szCs w:val="20"/>
                <w:color w:val="auto"/>
              </w:rPr>
            </w:pPr>
            <w:r>
              <w:rPr>
                <w:rFonts w:ascii="Arial" w:cs="Arial" w:eastAsia="Arial" w:hAnsi="Arial"/>
                <w:sz w:val="17"/>
                <w:szCs w:val="17"/>
                <w:color w:val="auto"/>
                <w:w w:val="91"/>
              </w:rPr>
              <w:t>XBRL Instance Document - the instance document does not appear in the Interactive Data File because its XBRL tags are embedded within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gridSpan w:val="8"/>
          </w:tcPr>
          <w:p>
            <w:pPr>
              <w:spacing w:after="0"/>
              <w:rPr>
                <w:sz w:val="20"/>
                <w:szCs w:val="20"/>
                <w:color w:val="auto"/>
              </w:rPr>
            </w:pPr>
            <w:r>
              <w:rPr>
                <w:rFonts w:ascii="Arial" w:cs="Arial" w:eastAsia="Arial" w:hAnsi="Arial"/>
                <w:sz w:val="17"/>
                <w:szCs w:val="17"/>
                <w:color w:val="auto"/>
              </w:rPr>
              <w:t>the Inline XBRL document.</w:t>
            </w:r>
          </w:p>
        </w:tc>
      </w:tr>
      <w:tr>
        <w:trPr>
          <w:trHeight w:val="335"/>
        </w:trPr>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w w:val="94"/>
              </w:rPr>
              <w:t>*†101.SCH</w:t>
            </w:r>
          </w:p>
        </w:tc>
        <w:tc>
          <w:tcPr>
            <w:tcW w:w="968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w:t>
            </w:r>
          </w:p>
        </w:tc>
      </w:tr>
      <w:tr>
        <w:trPr>
          <w:trHeight w:val="322"/>
        </w:trPr>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w w:val="97"/>
              </w:rPr>
              <w:t>*†101.CAL</w:t>
            </w:r>
          </w:p>
        </w:tc>
        <w:tc>
          <w:tcPr>
            <w:tcW w:w="968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2"/>
        </w:trPr>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w w:val="96"/>
              </w:rPr>
              <w:t>*†101.DEF</w:t>
            </w:r>
          </w:p>
        </w:tc>
        <w:tc>
          <w:tcPr>
            <w:tcW w:w="9680" w:type="dxa"/>
            <w:vAlign w:val="bottom"/>
            <w:gridSpan w:val="8"/>
          </w:tcPr>
          <w:p>
            <w:pPr>
              <w:spacing w:after="0"/>
              <w:rPr>
                <w:sz w:val="20"/>
                <w:szCs w:val="20"/>
                <w:color w:val="auto"/>
              </w:rPr>
            </w:pPr>
            <w:r>
              <w:rPr>
                <w:rFonts w:ascii="Arial" w:cs="Arial" w:eastAsia="Arial" w:hAnsi="Arial"/>
                <w:sz w:val="17"/>
                <w:szCs w:val="17"/>
                <w:color w:val="auto"/>
              </w:rPr>
              <w:t>XBRL Definition Linkbase Document</w:t>
            </w:r>
          </w:p>
        </w:tc>
      </w:tr>
      <w:tr>
        <w:trPr>
          <w:trHeight w:val="322"/>
        </w:trPr>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w w:val="98"/>
              </w:rPr>
              <w:t>*†101.LAB</w:t>
            </w:r>
          </w:p>
        </w:tc>
        <w:tc>
          <w:tcPr>
            <w:tcW w:w="9680" w:type="dxa"/>
            <w:vAlign w:val="bottom"/>
            <w:gridSpan w:val="8"/>
          </w:tcPr>
          <w:p>
            <w:pPr>
              <w:spacing w:after="0"/>
              <w:rPr>
                <w:sz w:val="20"/>
                <w:szCs w:val="20"/>
                <w:color w:val="auto"/>
              </w:rPr>
            </w:pPr>
            <w:r>
              <w:rPr>
                <w:rFonts w:ascii="Arial" w:cs="Arial" w:eastAsia="Arial" w:hAnsi="Arial"/>
                <w:sz w:val="17"/>
                <w:szCs w:val="17"/>
                <w:color w:val="auto"/>
              </w:rPr>
              <w:t>XBRL Taxonomy Extension Labels Linkbase Document</w:t>
            </w:r>
          </w:p>
        </w:tc>
      </w:tr>
      <w:tr>
        <w:trPr>
          <w:trHeight w:val="322"/>
        </w:trPr>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w w:val="95"/>
              </w:rPr>
              <w:t>*†101.PRE</w:t>
            </w:r>
          </w:p>
        </w:tc>
        <w:tc>
          <w:tcPr>
            <w:tcW w:w="968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105" w:lineRule="exact"/>
        <w:rPr>
          <w:sz w:val="20"/>
          <w:szCs w:val="20"/>
          <w:color w:val="auto"/>
        </w:rPr>
      </w:pPr>
    </w:p>
    <w:p>
      <w:pPr>
        <w:ind w:left="1540" w:hanging="516"/>
        <w:spacing w:after="0"/>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345"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24" w:lineRule="exact"/>
        <w:rPr>
          <w:sz w:val="20"/>
          <w:szCs w:val="20"/>
          <w:color w:val="auto"/>
        </w:rPr>
      </w:pPr>
    </w:p>
    <w:p>
      <w:pPr>
        <w:ind w:left="700" w:hanging="641"/>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4" w:lineRule="exact"/>
        <w:rPr>
          <w:sz w:val="20"/>
          <w:szCs w:val="20"/>
          <w:color w:val="auto"/>
        </w:rPr>
      </w:pPr>
    </w:p>
    <w:p>
      <w:pPr>
        <w:ind w:left="700" w:right="80" w:hanging="641"/>
        <w:spacing w:after="0" w:line="245" w:lineRule="auto"/>
        <w:tabs>
          <w:tab w:leader="none" w:pos="7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financial information of Integra LifeSciences Holdings Corporation Quarterly Report on Form 10-Q for the quarter ended September 30, 2022 filed on October 26, 2022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1" w:lineRule="exact"/>
        <w:rPr>
          <w:rFonts w:ascii="Arial" w:cs="Arial" w:eastAsia="Arial" w:hAnsi="Arial"/>
          <w:sz w:val="15"/>
          <w:szCs w:val="15"/>
          <w:color w:val="auto"/>
        </w:rPr>
      </w:pPr>
    </w:p>
    <w:p>
      <w:pPr>
        <w:ind w:left="700" w:right="140"/>
        <w:spacing w:after="0" w:line="227" w:lineRule="auto"/>
        <w:rPr>
          <w:rFonts w:ascii="Arial" w:cs="Arial" w:eastAsia="Arial" w:hAnsi="Arial"/>
          <w:sz w:val="15"/>
          <w:szCs w:val="15"/>
          <w:color w:val="auto"/>
        </w:rPr>
      </w:pPr>
      <w:r>
        <w:rPr>
          <w:rFonts w:ascii="Arial" w:cs="Arial" w:eastAsia="Arial" w:hAnsi="Arial"/>
          <w:sz w:val="17"/>
          <w:szCs w:val="17"/>
          <w:color w:val="auto"/>
        </w:rPr>
        <w:t>(iv)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b w:val="1"/>
                <w:bCs w:val="1"/>
                <w:color w:val="auto"/>
              </w:rPr>
              <w:t>INTEGRA LIFESCIENCES HOLDINGS CORPORATION</w:t>
            </w:r>
          </w:p>
        </w:tc>
      </w:tr>
      <w:tr>
        <w:trPr>
          <w:trHeight w:val="478"/>
        </w:trPr>
        <w:tc>
          <w:tcPr>
            <w:tcW w:w="500" w:type="dxa"/>
            <w:vAlign w:val="bottom"/>
          </w:tcPr>
          <w:p>
            <w:pPr>
              <w:spacing w:after="0"/>
              <w:rPr>
                <w:sz w:val="20"/>
                <w:szCs w:val="20"/>
                <w:color w:val="auto"/>
              </w:rPr>
            </w:pPr>
            <w:r>
              <w:rPr>
                <w:rFonts w:ascii="Arial" w:cs="Arial" w:eastAsia="Arial" w:hAnsi="Arial"/>
                <w:sz w:val="17"/>
                <w:szCs w:val="17"/>
                <w:color w:val="auto"/>
              </w:rPr>
              <w:t>Date:</w:t>
            </w:r>
          </w:p>
        </w:tc>
        <w:tc>
          <w:tcPr>
            <w:tcW w:w="5140" w:type="dxa"/>
            <w:vAlign w:val="bottom"/>
          </w:tcPr>
          <w:p>
            <w:pPr>
              <w:ind w:left="140"/>
              <w:spacing w:after="0"/>
              <w:rPr>
                <w:sz w:val="20"/>
                <w:szCs w:val="20"/>
                <w:color w:val="auto"/>
              </w:rPr>
            </w:pPr>
            <w:r>
              <w:rPr>
                <w:rFonts w:ascii="Arial" w:cs="Arial" w:eastAsia="Arial" w:hAnsi="Arial"/>
                <w:sz w:val="17"/>
                <w:szCs w:val="17"/>
                <w:color w:val="auto"/>
              </w:rPr>
              <w:t>October 26, 2022</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Jan De Witte</w:t>
            </w:r>
          </w:p>
        </w:tc>
      </w:tr>
      <w:tr>
        <w:trPr>
          <w:trHeight w:val="211"/>
        </w:trPr>
        <w:tc>
          <w:tcPr>
            <w:tcW w:w="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Jan De Witte</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78"/>
        </w:trPr>
        <w:tc>
          <w:tcPr>
            <w:tcW w:w="500" w:type="dxa"/>
            <w:vAlign w:val="bottom"/>
          </w:tcPr>
          <w:p>
            <w:pPr>
              <w:spacing w:after="0"/>
              <w:rPr>
                <w:sz w:val="20"/>
                <w:szCs w:val="20"/>
                <w:color w:val="auto"/>
              </w:rPr>
            </w:pPr>
            <w:r>
              <w:rPr>
                <w:rFonts w:ascii="Arial" w:cs="Arial" w:eastAsia="Arial" w:hAnsi="Arial"/>
                <w:sz w:val="17"/>
                <w:szCs w:val="17"/>
                <w:color w:val="auto"/>
              </w:rPr>
              <w:t>Date:</w:t>
            </w:r>
          </w:p>
        </w:tc>
        <w:tc>
          <w:tcPr>
            <w:tcW w:w="5140" w:type="dxa"/>
            <w:vAlign w:val="bottom"/>
          </w:tcPr>
          <w:p>
            <w:pPr>
              <w:ind w:left="140"/>
              <w:spacing w:after="0"/>
              <w:rPr>
                <w:sz w:val="20"/>
                <w:szCs w:val="20"/>
                <w:color w:val="auto"/>
              </w:rPr>
            </w:pPr>
            <w:r>
              <w:rPr>
                <w:rFonts w:ascii="Arial" w:cs="Arial" w:eastAsia="Arial" w:hAnsi="Arial"/>
                <w:sz w:val="17"/>
                <w:szCs w:val="17"/>
                <w:color w:val="auto"/>
              </w:rPr>
              <w:t>October 26, 2022</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Carrie L. Anderson</w:t>
            </w:r>
          </w:p>
        </w:tc>
      </w:tr>
      <w:tr>
        <w:trPr>
          <w:trHeight w:val="211"/>
        </w:trPr>
        <w:tc>
          <w:tcPr>
            <w:tcW w:w="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Carrie L. Anderson</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478"/>
        </w:trPr>
        <w:tc>
          <w:tcPr>
            <w:tcW w:w="500" w:type="dxa"/>
            <w:vAlign w:val="bottom"/>
          </w:tcPr>
          <w:p>
            <w:pPr>
              <w:spacing w:after="0"/>
              <w:rPr>
                <w:sz w:val="20"/>
                <w:szCs w:val="20"/>
                <w:color w:val="auto"/>
              </w:rPr>
            </w:pPr>
            <w:r>
              <w:rPr>
                <w:rFonts w:ascii="Arial" w:cs="Arial" w:eastAsia="Arial" w:hAnsi="Arial"/>
                <w:sz w:val="17"/>
                <w:szCs w:val="17"/>
                <w:color w:val="auto"/>
              </w:rPr>
              <w:t>Date:</w:t>
            </w:r>
          </w:p>
        </w:tc>
        <w:tc>
          <w:tcPr>
            <w:tcW w:w="5140" w:type="dxa"/>
            <w:vAlign w:val="bottom"/>
          </w:tcPr>
          <w:p>
            <w:pPr>
              <w:ind w:left="140"/>
              <w:spacing w:after="0"/>
              <w:rPr>
                <w:sz w:val="20"/>
                <w:szCs w:val="20"/>
                <w:color w:val="auto"/>
              </w:rPr>
            </w:pPr>
            <w:r>
              <w:rPr>
                <w:rFonts w:ascii="Arial" w:cs="Arial" w:eastAsia="Arial" w:hAnsi="Arial"/>
                <w:sz w:val="17"/>
                <w:szCs w:val="17"/>
                <w:color w:val="auto"/>
              </w:rPr>
              <w:t>October 26, 2022</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A. Mosebrook</w:t>
            </w:r>
          </w:p>
        </w:tc>
      </w:tr>
      <w:tr>
        <w:trPr>
          <w:trHeight w:val="211"/>
        </w:trPr>
        <w:tc>
          <w:tcPr>
            <w:tcW w:w="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Jeffrey A. Mosebrook</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Senior Vice President, Finance</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27" w:right="339" w:bottom="1440" w:gutter="0" w:footer="0" w:header="0"/>
        </w:sectPr>
      </w:pPr>
    </w:p>
    <w:bookmarkStart w:id="51" w:name="page52"/>
    <w:bookmarkEnd w:id="51"/>
    <w:p>
      <w:pPr>
        <w:jc w:val="right"/>
        <w:ind w:right="20"/>
        <w:spacing w:after="0"/>
        <w:rPr>
          <w:sz w:val="20"/>
          <w:szCs w:val="20"/>
          <w:color w:val="auto"/>
        </w:rPr>
      </w:pPr>
      <w:r>
        <w:rPr>
          <w:rFonts w:ascii="Arial" w:cs="Arial" w:eastAsia="Arial" w:hAnsi="Arial"/>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620" w:type="dxa"/>
            <w:vAlign w:val="bottom"/>
            <w:tcBorders>
              <w:top w:val="single" w:sz="8" w:color="auto"/>
            </w:tcBorders>
          </w:tcPr>
          <w:p>
            <w:pPr>
              <w:ind w:left="60"/>
              <w:spacing w:after="0" w:line="211" w:lineRule="exact"/>
              <w:rPr>
                <w:sz w:val="20"/>
                <w:szCs w:val="20"/>
                <w:color w:val="auto"/>
              </w:rPr>
            </w:pPr>
            <w:r>
              <w:rPr>
                <w:rFonts w:ascii="Arial" w:cs="Arial" w:eastAsia="Arial" w:hAnsi="Arial"/>
                <w:sz w:val="21"/>
                <w:szCs w:val="21"/>
                <w:color w:val="auto"/>
              </w:rPr>
              <w:t>Notice of Grant of Award</w:t>
            </w:r>
          </w:p>
        </w:tc>
        <w:tc>
          <w:tcPr>
            <w:tcW w:w="5640" w:type="dxa"/>
            <w:vAlign w:val="bottom"/>
            <w:tcBorders>
              <w:top w:val="single" w:sz="8" w:color="auto"/>
            </w:tcBorders>
            <w:vMerge w:val="restart"/>
          </w:tcPr>
          <w:p>
            <w:pPr>
              <w:ind w:left="40"/>
              <w:spacing w:after="0"/>
              <w:rPr>
                <w:sz w:val="20"/>
                <w:szCs w:val="20"/>
                <w:color w:val="auto"/>
              </w:rPr>
            </w:pPr>
            <w:r>
              <w:rPr>
                <w:rFonts w:ascii="Arial" w:cs="Arial" w:eastAsia="Arial" w:hAnsi="Arial"/>
                <w:sz w:val="21"/>
                <w:szCs w:val="21"/>
                <w:color w:val="auto"/>
              </w:rPr>
              <w:t>Integra LifeSciences Holdings Corporation</w:t>
            </w:r>
          </w:p>
        </w:tc>
        <w:tc>
          <w:tcPr>
            <w:tcW w:w="0" w:type="dxa"/>
            <w:vAlign w:val="bottom"/>
          </w:tcPr>
          <w:p>
            <w:pPr>
              <w:spacing w:after="0"/>
              <w:rPr>
                <w:sz w:val="1"/>
                <w:szCs w:val="1"/>
                <w:color w:val="auto"/>
              </w:rPr>
            </w:pPr>
          </w:p>
        </w:tc>
      </w:tr>
      <w:tr>
        <w:trPr>
          <w:trHeight w:val="103"/>
        </w:trPr>
        <w:tc>
          <w:tcPr>
            <w:tcW w:w="5620" w:type="dxa"/>
            <w:vAlign w:val="bottom"/>
            <w:vMerge w:val="restart"/>
          </w:tcPr>
          <w:p>
            <w:pPr>
              <w:ind w:left="60"/>
              <w:spacing w:after="0"/>
              <w:rPr>
                <w:sz w:val="20"/>
                <w:szCs w:val="20"/>
                <w:color w:val="auto"/>
              </w:rPr>
            </w:pPr>
            <w:r>
              <w:rPr>
                <w:rFonts w:ascii="Arial" w:cs="Arial" w:eastAsia="Arial" w:hAnsi="Arial"/>
                <w:sz w:val="21"/>
                <w:szCs w:val="21"/>
                <w:color w:val="auto"/>
              </w:rPr>
              <w:t>and Award Agreement</w:t>
            </w:r>
          </w:p>
        </w:tc>
        <w:tc>
          <w:tcPr>
            <w:tcW w:w="5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5620" w:type="dxa"/>
            <w:vAlign w:val="bottom"/>
            <w:vMerge w:val="continue"/>
          </w:tcPr>
          <w:p>
            <w:pPr>
              <w:spacing w:after="0"/>
              <w:rPr>
                <w:sz w:val="13"/>
                <w:szCs w:val="13"/>
                <w:color w:val="auto"/>
              </w:rPr>
            </w:pPr>
          </w:p>
        </w:tc>
        <w:tc>
          <w:tcPr>
            <w:tcW w:w="5640" w:type="dxa"/>
            <w:vAlign w:val="bottom"/>
            <w:vMerge w:val="restart"/>
          </w:tcPr>
          <w:p>
            <w:pPr>
              <w:ind w:left="40"/>
              <w:spacing w:after="0" w:line="207" w:lineRule="exact"/>
              <w:rPr>
                <w:sz w:val="20"/>
                <w:szCs w:val="20"/>
                <w:color w:val="auto"/>
              </w:rPr>
            </w:pPr>
            <w:r>
              <w:rPr>
                <w:rFonts w:ascii="Arial" w:cs="Arial" w:eastAsia="Arial" w:hAnsi="Arial"/>
                <w:sz w:val="21"/>
                <w:szCs w:val="21"/>
                <w:color w:val="auto"/>
              </w:rPr>
              <w:t>ID: 51-0317849</w:t>
            </w:r>
          </w:p>
        </w:tc>
        <w:tc>
          <w:tcPr>
            <w:tcW w:w="0" w:type="dxa"/>
            <w:vAlign w:val="bottom"/>
          </w:tcPr>
          <w:p>
            <w:pPr>
              <w:spacing w:after="0"/>
              <w:rPr>
                <w:sz w:val="1"/>
                <w:szCs w:val="1"/>
                <w:color w:val="auto"/>
              </w:rPr>
            </w:pPr>
          </w:p>
        </w:tc>
      </w:tr>
      <w:tr>
        <w:trPr>
          <w:trHeight w:val="46"/>
        </w:trPr>
        <w:tc>
          <w:tcPr>
            <w:tcW w:w="5620" w:type="dxa"/>
            <w:vAlign w:val="bottom"/>
          </w:tcPr>
          <w:p>
            <w:pPr>
              <w:spacing w:after="0"/>
              <w:rPr>
                <w:sz w:val="3"/>
                <w:szCs w:val="3"/>
                <w:color w:val="auto"/>
              </w:rPr>
            </w:pPr>
          </w:p>
        </w:tc>
        <w:tc>
          <w:tcPr>
            <w:tcW w:w="5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17"/>
                <w:szCs w:val="17"/>
                <w:color w:val="auto"/>
              </w:rPr>
            </w:pPr>
          </w:p>
        </w:tc>
        <w:tc>
          <w:tcPr>
            <w:tcW w:w="5640" w:type="dxa"/>
            <w:vAlign w:val="bottom"/>
          </w:tcPr>
          <w:p>
            <w:pPr>
              <w:ind w:left="40"/>
              <w:spacing w:after="0" w:line="207" w:lineRule="exact"/>
              <w:rPr>
                <w:sz w:val="20"/>
                <w:szCs w:val="20"/>
                <w:color w:val="auto"/>
              </w:rPr>
            </w:pPr>
            <w:r>
              <w:rPr>
                <w:rFonts w:ascii="Arial" w:cs="Arial" w:eastAsia="Arial" w:hAnsi="Arial"/>
                <w:sz w:val="21"/>
                <w:szCs w:val="21"/>
                <w:color w:val="auto"/>
              </w:rPr>
              <w:t>1100 Campus Road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5640" w:type="dxa"/>
            <w:vAlign w:val="bottom"/>
          </w:tcPr>
          <w:p>
            <w:pPr>
              <w:ind w:left="40"/>
              <w:spacing w:after="0"/>
              <w:rPr>
                <w:sz w:val="20"/>
                <w:szCs w:val="20"/>
                <w:color w:val="auto"/>
              </w:rPr>
            </w:pPr>
            <w:r>
              <w:rPr>
                <w:rFonts w:ascii="Arial" w:cs="Arial" w:eastAsia="Arial" w:hAnsi="Arial"/>
                <w:sz w:val="21"/>
                <w:szCs w:val="21"/>
                <w:color w:val="auto"/>
              </w:rPr>
              <w:t>Princeton, New Jersey 08540</w:t>
            </w:r>
          </w:p>
        </w:tc>
        <w:tc>
          <w:tcPr>
            <w:tcW w:w="0" w:type="dxa"/>
            <w:vAlign w:val="bottom"/>
          </w:tcPr>
          <w:p>
            <w:pPr>
              <w:spacing w:after="0"/>
              <w:rPr>
                <w:sz w:val="1"/>
                <w:szCs w:val="1"/>
                <w:color w:val="auto"/>
              </w:rPr>
            </w:pPr>
          </w:p>
        </w:tc>
      </w:tr>
      <w:tr>
        <w:trPr>
          <w:trHeight w:val="106"/>
        </w:trPr>
        <w:tc>
          <w:tcPr>
            <w:tcW w:w="5620" w:type="dxa"/>
            <w:vAlign w:val="bottom"/>
            <w:tcBorders>
              <w:bottom w:val="single" w:sz="8" w:color="auto"/>
            </w:tcBorders>
          </w:tcPr>
          <w:p>
            <w:pPr>
              <w:spacing w:after="0"/>
              <w:rPr>
                <w:sz w:val="9"/>
                <w:szCs w:val="9"/>
                <w:color w:val="auto"/>
              </w:rPr>
            </w:pPr>
          </w:p>
        </w:tc>
        <w:tc>
          <w:tcPr>
            <w:tcW w:w="5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6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[Name]</w:t>
            </w:r>
          </w:p>
        </w:tc>
        <w:tc>
          <w:tcPr>
            <w:tcW w:w="564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21"/>
                <w:szCs w:val="21"/>
                <w:color w:val="auto"/>
              </w:rPr>
              <w:t>Award Number: [Award#]</w:t>
            </w:r>
          </w:p>
        </w:tc>
        <w:tc>
          <w:tcPr>
            <w:tcW w:w="0" w:type="dxa"/>
            <w:vAlign w:val="bottom"/>
          </w:tcPr>
          <w:p>
            <w:pPr>
              <w:spacing w:after="0"/>
              <w:rPr>
                <w:sz w:val="1"/>
                <w:szCs w:val="1"/>
                <w:color w:val="auto"/>
              </w:rPr>
            </w:pPr>
          </w:p>
        </w:tc>
      </w:tr>
      <w:tr>
        <w:trPr>
          <w:trHeight w:val="161"/>
        </w:trPr>
        <w:tc>
          <w:tcPr>
            <w:tcW w:w="5620" w:type="dxa"/>
            <w:vAlign w:val="bottom"/>
            <w:tcBorders>
              <w:left w:val="single" w:sz="8" w:color="auto"/>
              <w:right w:val="single" w:sz="8" w:color="auto"/>
            </w:tcBorders>
            <w:vMerge w:val="continue"/>
          </w:tcPr>
          <w:p>
            <w:pPr>
              <w:spacing w:after="0"/>
              <w:rPr>
                <w:sz w:val="13"/>
                <w:szCs w:val="13"/>
                <w:color w:val="auto"/>
              </w:rPr>
            </w:pPr>
          </w:p>
        </w:tc>
        <w:tc>
          <w:tcPr>
            <w:tcW w:w="5640" w:type="dxa"/>
            <w:vAlign w:val="bottom"/>
            <w:tcBorders>
              <w:right w:val="single" w:sz="8" w:color="auto"/>
            </w:tcBorders>
            <w:vMerge w:val="restart"/>
          </w:tcPr>
          <w:p>
            <w:pPr>
              <w:ind w:left="60"/>
              <w:spacing w:after="0" w:line="207" w:lineRule="exact"/>
              <w:rPr>
                <w:sz w:val="20"/>
                <w:szCs w:val="20"/>
                <w:color w:val="auto"/>
              </w:rPr>
            </w:pPr>
            <w:r>
              <w:rPr>
                <w:rFonts w:ascii="Arial" w:cs="Arial" w:eastAsia="Arial" w:hAnsi="Arial"/>
                <w:sz w:val="21"/>
                <w:szCs w:val="21"/>
                <w:color w:val="auto"/>
              </w:rPr>
              <w:t>Plan: [Plan#]</w:t>
            </w:r>
          </w:p>
        </w:tc>
        <w:tc>
          <w:tcPr>
            <w:tcW w:w="0" w:type="dxa"/>
            <w:vAlign w:val="bottom"/>
          </w:tcPr>
          <w:p>
            <w:pPr>
              <w:spacing w:after="0"/>
              <w:rPr>
                <w:sz w:val="1"/>
                <w:szCs w:val="1"/>
                <w:color w:val="auto"/>
              </w:rPr>
            </w:pPr>
          </w:p>
        </w:tc>
      </w:tr>
      <w:tr>
        <w:trPr>
          <w:trHeight w:val="46"/>
        </w:trPr>
        <w:tc>
          <w:tcPr>
            <w:tcW w:w="56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[Address]</w:t>
            </w:r>
          </w:p>
        </w:tc>
        <w:tc>
          <w:tcPr>
            <w:tcW w:w="56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20" w:type="dxa"/>
            <w:vAlign w:val="bottom"/>
            <w:tcBorders>
              <w:left w:val="single" w:sz="8" w:color="auto"/>
              <w:right w:val="single" w:sz="8" w:color="auto"/>
            </w:tcBorders>
            <w:vMerge w:val="continue"/>
          </w:tcPr>
          <w:p>
            <w:pPr>
              <w:spacing w:after="0"/>
              <w:rPr>
                <w:sz w:val="22"/>
                <w:szCs w:val="22"/>
                <w:color w:val="auto"/>
              </w:rPr>
            </w:pPr>
          </w:p>
        </w:tc>
        <w:tc>
          <w:tcPr>
            <w:tcW w:w="56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ID: [EMP ID]</w:t>
            </w:r>
          </w:p>
        </w:tc>
        <w:tc>
          <w:tcPr>
            <w:tcW w:w="0" w:type="dxa"/>
            <w:vAlign w:val="bottom"/>
          </w:tcPr>
          <w:p>
            <w:pPr>
              <w:spacing w:after="0"/>
              <w:rPr>
                <w:sz w:val="1"/>
                <w:szCs w:val="1"/>
                <w:color w:val="auto"/>
              </w:rPr>
            </w:pPr>
          </w:p>
        </w:tc>
      </w:tr>
      <w:tr>
        <w:trPr>
          <w:trHeight w:val="106"/>
        </w:trPr>
        <w:tc>
          <w:tcPr>
            <w:tcW w:w="5620" w:type="dxa"/>
            <w:vAlign w:val="bottom"/>
            <w:tcBorders>
              <w:left w:val="single" w:sz="8" w:color="auto"/>
              <w:bottom w:val="single" w:sz="8" w:color="auto"/>
              <w:right w:val="single" w:sz="8" w:color="auto"/>
            </w:tcBorders>
          </w:tcPr>
          <w:p>
            <w:pPr>
              <w:spacing w:after="0"/>
              <w:rPr>
                <w:sz w:val="9"/>
                <w:szCs w:val="9"/>
                <w:color w:val="auto"/>
              </w:rPr>
            </w:pPr>
          </w:p>
        </w:tc>
        <w:tc>
          <w:tcPr>
            <w:tcW w:w="5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0" w:right="80"/>
        <w:spacing w:after="0" w:line="226" w:lineRule="auto"/>
        <w:rPr>
          <w:sz w:val="20"/>
          <w:szCs w:val="20"/>
          <w:color w:val="auto"/>
        </w:rPr>
      </w:pPr>
      <w:r>
        <w:rPr>
          <w:rFonts w:ascii="Arial" w:cs="Arial" w:eastAsia="Arial" w:hAnsi="Arial"/>
          <w:sz w:val="21"/>
          <w:szCs w:val="21"/>
          <w:color w:val="auto"/>
        </w:rPr>
        <w:t xml:space="preserve">Effective [Grant Date], you have been granted </w:t>
      </w:r>
      <w:r>
        <w:rPr>
          <w:rFonts w:ascii="Arial" w:cs="Arial" w:eastAsia="Arial" w:hAnsi="Arial"/>
          <w:sz w:val="21"/>
          <w:szCs w:val="21"/>
          <w:b w:val="1"/>
          <w:bCs w:val="1"/>
          <w:color w:val="auto"/>
        </w:rPr>
        <w:t>[Total Shares]</w:t>
      </w:r>
      <w:r>
        <w:rPr>
          <w:rFonts w:ascii="Arial" w:cs="Arial" w:eastAsia="Arial" w:hAnsi="Arial"/>
          <w:sz w:val="21"/>
          <w:szCs w:val="21"/>
          <w:color w:val="auto"/>
        </w:rPr>
        <w:t xml:space="preserve"> Restricted Stock Units (RSUs) based on a closing price of US$[IART Close Price]. These units are restricted until the vest dates shown below, at which time you will receive shares of Integra LifeSciences Holdings Corporation (the “Company”) common stock.</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21"/>
          <w:szCs w:val="21"/>
          <w:color w:val="auto"/>
        </w:rPr>
        <w:t>The award will vest in increments in the dates shown:</w:t>
      </w:r>
    </w:p>
    <w:p>
      <w:pPr>
        <w:spacing w:after="0" w:line="68" w:lineRule="exact"/>
        <w:rPr>
          <w:sz w:val="20"/>
          <w:szCs w:val="20"/>
          <w:color w:val="auto"/>
        </w:rPr>
      </w:pPr>
    </w:p>
    <w:p>
      <w:pPr>
        <w:ind w:left="1920"/>
        <w:spacing w:after="0"/>
        <w:tabs>
          <w:tab w:leader="none" w:pos="2660" w:val="left"/>
        </w:tabs>
        <w:rPr>
          <w:sz w:val="20"/>
          <w:szCs w:val="20"/>
          <w:color w:val="auto"/>
        </w:rPr>
      </w:pPr>
      <w:r>
        <w:rPr>
          <w:rFonts w:ascii="Arial" w:cs="Arial" w:eastAsia="Arial" w:hAnsi="Arial"/>
          <w:sz w:val="21"/>
          <w:szCs w:val="21"/>
          <w:u w:val="single" w:color="auto"/>
          <w:color w:val="auto"/>
        </w:rPr>
        <w:t>Shares</w:t>
      </w:r>
      <w:r>
        <w:rPr>
          <w:sz w:val="20"/>
          <w:szCs w:val="20"/>
          <w:color w:val="auto"/>
        </w:rPr>
        <w:tab/>
      </w:r>
      <w:r>
        <w:rPr>
          <w:rFonts w:ascii="Arial" w:cs="Arial" w:eastAsia="Arial" w:hAnsi="Arial"/>
          <w:sz w:val="18"/>
          <w:szCs w:val="18"/>
          <w:u w:val="single" w:color="auto"/>
          <w:color w:val="auto"/>
        </w:rPr>
        <w:t>Full Vest Date</w:t>
      </w:r>
    </w:p>
    <w:p>
      <w:pPr>
        <w:sectPr>
          <w:pgSz w:w="11900" w:h="16838" w:orient="portrait"/>
          <w:cols w:equalWidth="0" w:num="1">
            <w:col w:w="11260"/>
          </w:cols>
          <w:pgMar w:left="320" w:top="110" w:right="319" w:bottom="1440" w:gutter="0" w:footer="0" w:header="0"/>
        </w:sectPr>
      </w:pPr>
    </w:p>
    <w:p>
      <w:pPr>
        <w:spacing w:after="0" w:line="6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[Tranche 1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[Vest Date 1]</w:t>
      </w:r>
    </w:p>
    <w:p>
      <w:pPr>
        <w:spacing w:after="0" w:line="102" w:lineRule="exact"/>
        <w:rPr>
          <w:sz w:val="20"/>
          <w:szCs w:val="20"/>
          <w:color w:val="auto"/>
        </w:rPr>
      </w:pPr>
    </w:p>
    <w:p>
      <w:pPr>
        <w:sectPr>
          <w:pgSz w:w="11900" w:h="16838" w:orient="portrait"/>
          <w:cols w:equalWidth="0" w:num="2">
            <w:col w:w="3480" w:space="220"/>
            <w:col w:w="7560"/>
          </w:cols>
          <w:pgMar w:left="320" w:top="110" w:right="319" w:bottom="1440" w:gutter="0" w:footer="0" w:header="0"/>
          <w:type w:val="continuous"/>
        </w:sectPr>
      </w:pPr>
    </w:p>
    <w:p>
      <w:pPr>
        <w:ind w:left="1920"/>
        <w:spacing w:after="0"/>
        <w:rPr>
          <w:sz w:val="20"/>
          <w:szCs w:val="20"/>
          <w:color w:val="auto"/>
        </w:rPr>
      </w:pPr>
      <w:r>
        <w:rPr>
          <w:rFonts w:ascii="Arial" w:cs="Arial" w:eastAsia="Arial" w:hAnsi="Arial"/>
          <w:sz w:val="18"/>
          <w:szCs w:val="18"/>
          <w:color w:val="auto"/>
        </w:rPr>
        <w:t>[Tranche 2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[Vest Date 2]</w:t>
      </w:r>
    </w:p>
    <w:p>
      <w:pPr>
        <w:spacing w:after="0" w:line="102" w:lineRule="exact"/>
        <w:rPr>
          <w:sz w:val="20"/>
          <w:szCs w:val="20"/>
          <w:color w:val="auto"/>
        </w:rPr>
      </w:pPr>
    </w:p>
    <w:p>
      <w:pPr>
        <w:sectPr>
          <w:pgSz w:w="11900" w:h="16838" w:orient="portrait"/>
          <w:cols w:equalWidth="0" w:num="2">
            <w:col w:w="3480" w:space="220"/>
            <w:col w:w="7560"/>
          </w:cols>
          <w:pgMar w:left="320" w:top="110" w:right="319" w:bottom="1440" w:gutter="0" w:footer="0" w:header="0"/>
          <w:type w:val="continuous"/>
        </w:sectPr>
      </w:pPr>
    </w:p>
    <w:p>
      <w:pPr>
        <w:ind w:left="1920"/>
        <w:spacing w:after="0"/>
        <w:rPr>
          <w:sz w:val="20"/>
          <w:szCs w:val="20"/>
          <w:color w:val="auto"/>
        </w:rPr>
      </w:pPr>
      <w:r>
        <w:rPr>
          <w:rFonts w:ascii="Arial" w:cs="Arial" w:eastAsia="Arial" w:hAnsi="Arial"/>
          <w:sz w:val="18"/>
          <w:szCs w:val="18"/>
          <w:color w:val="auto"/>
        </w:rPr>
        <w:t>[Tranche 3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[Vest Date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37465</wp:posOffset>
            </wp:positionV>
            <wp:extent cx="7138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3480" w:space="220"/>
            <w:col w:w="7560"/>
          </w:cols>
          <w:pgMar w:left="320" w:top="110" w:right="319" w:bottom="1440" w:gutter="0" w:footer="0" w:header="0"/>
          <w:type w:val="continuous"/>
        </w:sectPr>
      </w:pPr>
    </w:p>
    <w:p>
      <w:pPr>
        <w:jc w:val="both"/>
        <w:ind w:left="20" w:right="40"/>
        <w:spacing w:after="0" w:line="224" w:lineRule="auto"/>
        <w:rPr>
          <w:sz w:val="20"/>
          <w:szCs w:val="20"/>
          <w:color w:val="auto"/>
        </w:rPr>
      </w:pPr>
      <w:r>
        <w:rPr>
          <w:rFonts w:ascii="Arial" w:cs="Arial" w:eastAsia="Arial" w:hAnsi="Arial"/>
          <w:sz w:val="21"/>
          <w:szCs w:val="21"/>
          <w:color w:val="auto"/>
        </w:rPr>
        <w:t>By your signature and the Company’s signature below, you and the Company agree that this Award is granted under and governed by the terms and conditions of the Company’s Award Plan as amended and the Award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591185</wp:posOffset>
            </wp:positionV>
            <wp:extent cx="7138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tabs>
          <w:tab w:leader="none" w:pos="6640" w:val="left"/>
        </w:tabs>
        <w:rPr>
          <w:sz w:val="20"/>
          <w:szCs w:val="20"/>
          <w:color w:val="auto"/>
        </w:rPr>
      </w:pPr>
      <w:r>
        <w:rPr>
          <w:rFonts w:ascii="Arial" w:cs="Arial" w:eastAsia="Arial" w:hAnsi="Arial"/>
          <w:sz w:val="21"/>
          <w:szCs w:val="21"/>
          <w:color w:val="auto"/>
        </w:rPr>
        <w:t>Integra LifeSciences Holdings Corporation</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670560</wp:posOffset>
            </wp:positionV>
            <wp:extent cx="7138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66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Date</w:t>
      </w:r>
    </w:p>
    <w:p>
      <w:pPr>
        <w:sectPr>
          <w:pgSz w:w="11900" w:h="16838" w:orient="portrait"/>
          <w:cols w:equalWidth="0" w:num="1">
            <w:col w:w="11260"/>
          </w:cols>
          <w:pgMar w:left="320" w:top="110" w:right="31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21"/>
          <w:szCs w:val="21"/>
          <w:b w:val="1"/>
          <w:bCs w:val="1"/>
          <w:color w:val="auto"/>
        </w:rPr>
        <w:t>INTEGRA LIFESCIENCES HOLDINGS CORPORATION</w:t>
      </w:r>
    </w:p>
    <w:p>
      <w:pPr>
        <w:jc w:val="center"/>
        <w:ind w:right="-79"/>
        <w:spacing w:after="0" w:line="205" w:lineRule="auto"/>
        <w:rPr>
          <w:sz w:val="20"/>
          <w:szCs w:val="20"/>
          <w:color w:val="auto"/>
        </w:rPr>
      </w:pPr>
      <w:r>
        <w:rPr>
          <w:rFonts w:ascii="Arial" w:cs="Arial" w:eastAsia="Arial" w:hAnsi="Arial"/>
          <w:sz w:val="21"/>
          <w:szCs w:val="21"/>
          <w:b w:val="1"/>
          <w:bCs w:val="1"/>
          <w:color w:val="auto"/>
        </w:rPr>
        <w:t>CONTRACT STOCK / RESTRICTED UNITS AGREEMENT</w:t>
      </w:r>
    </w:p>
    <w:p>
      <w:pPr>
        <w:jc w:val="center"/>
        <w:ind w:right="-19"/>
        <w:spacing w:after="0" w:line="205" w:lineRule="auto"/>
        <w:rPr>
          <w:sz w:val="20"/>
          <w:szCs w:val="20"/>
          <w:color w:val="auto"/>
        </w:rPr>
      </w:pPr>
      <w:r>
        <w:rPr>
          <w:rFonts w:ascii="Arial" w:cs="Arial" w:eastAsia="Arial" w:hAnsi="Arial"/>
          <w:sz w:val="21"/>
          <w:szCs w:val="21"/>
          <w:b w:val="1"/>
          <w:bCs w:val="1"/>
          <w:color w:val="auto"/>
        </w:rPr>
        <w:t>Pursuant to</w:t>
      </w:r>
    </w:p>
    <w:p>
      <w:pPr>
        <w:jc w:val="center"/>
        <w:ind w:right="-79"/>
        <w:spacing w:after="0"/>
        <w:rPr>
          <w:sz w:val="20"/>
          <w:szCs w:val="20"/>
          <w:color w:val="auto"/>
        </w:rPr>
      </w:pPr>
      <w:r>
        <w:rPr>
          <w:rFonts w:ascii="Arial" w:cs="Arial" w:eastAsia="Arial" w:hAnsi="Arial"/>
          <w:sz w:val="21"/>
          <w:szCs w:val="21"/>
          <w:b w:val="1"/>
          <w:bCs w:val="1"/>
          <w:color w:val="auto"/>
        </w:rPr>
        <w:t>2003 EQUITY INCENTIVE PLAN</w:t>
      </w:r>
    </w:p>
    <w:p>
      <w:pPr>
        <w:spacing w:after="0" w:line="200" w:lineRule="exact"/>
        <w:rPr>
          <w:sz w:val="20"/>
          <w:szCs w:val="20"/>
          <w:color w:val="auto"/>
        </w:rPr>
      </w:pPr>
    </w:p>
    <w:p>
      <w:pPr>
        <w:spacing w:after="0" w:line="385" w:lineRule="exact"/>
        <w:rPr>
          <w:sz w:val="20"/>
          <w:szCs w:val="20"/>
          <w:color w:val="auto"/>
        </w:rPr>
      </w:pPr>
    </w:p>
    <w:p>
      <w:pPr>
        <w:ind w:firstLine="619"/>
        <w:spacing w:after="0" w:line="236" w:lineRule="auto"/>
        <w:rPr>
          <w:sz w:val="20"/>
          <w:szCs w:val="20"/>
          <w:color w:val="auto"/>
        </w:rPr>
      </w:pPr>
      <w:r>
        <w:rPr>
          <w:rFonts w:ascii="Arial" w:cs="Arial" w:eastAsia="Arial" w:hAnsi="Arial"/>
          <w:sz w:val="21"/>
          <w:szCs w:val="21"/>
          <w:color w:val="auto"/>
        </w:rPr>
        <w:t xml:space="preserve">CONTRACT STOCK / RESTRICTED UNITS AGREEMENT, dated as of </w:t>
      </w:r>
      <w:r>
        <w:rPr>
          <w:rFonts w:ascii="Arial" w:cs="Arial" w:eastAsia="Arial" w:hAnsi="Arial"/>
          <w:sz w:val="21"/>
          <w:szCs w:val="21"/>
          <w:b w:val="1"/>
          <w:bCs w:val="1"/>
          <w:color w:val="auto"/>
        </w:rPr>
        <w:t>[Grant Date]</w:t>
      </w:r>
      <w:r>
        <w:rPr>
          <w:rFonts w:ascii="Arial" w:cs="Arial" w:eastAsia="Arial" w:hAnsi="Arial"/>
          <w:sz w:val="21"/>
          <w:szCs w:val="21"/>
          <w:color w:val="auto"/>
        </w:rPr>
        <w:t>, by and between Integra LifeSciences Holdings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[Name]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50" w:lineRule="exact"/>
        <w:rPr>
          <w:sz w:val="20"/>
          <w:szCs w:val="20"/>
          <w:color w:val="auto"/>
        </w:rPr>
      </w:pPr>
    </w:p>
    <w:p>
      <w:pPr>
        <w:ind w:right="100" w:firstLine="619"/>
        <w:spacing w:after="0" w:line="250" w:lineRule="auto"/>
        <w:rPr>
          <w:sz w:val="20"/>
          <w:szCs w:val="20"/>
          <w:color w:val="auto"/>
        </w:rPr>
      </w:pPr>
      <w:r>
        <w:rPr>
          <w:rFonts w:ascii="Arial" w:cs="Arial" w:eastAsia="Arial" w:hAnsi="Arial"/>
          <w:sz w:val="20"/>
          <w:szCs w:val="20"/>
          <w:color w:val="auto"/>
        </w:rPr>
        <w:t>WHEREAS, the Company maintains the Integra LifeSciences Holdings Corporation Fifth Amended and Restated 2003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the terms of which are hereby incorporated by reference and made part of this Agreement;</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WHEREAS, the Plan provides for the award of Contract Stock on the terms and conditions set forth therein; and</w:t>
      </w:r>
    </w:p>
    <w:p>
      <w:pPr>
        <w:spacing w:after="0" w:line="171" w:lineRule="exact"/>
        <w:rPr>
          <w:sz w:val="20"/>
          <w:szCs w:val="20"/>
          <w:color w:val="auto"/>
        </w:rPr>
      </w:pPr>
    </w:p>
    <w:p>
      <w:pPr>
        <w:jc w:val="both"/>
        <w:ind w:right="40" w:firstLine="619"/>
        <w:spacing w:after="0" w:line="216" w:lineRule="auto"/>
        <w:rPr>
          <w:sz w:val="20"/>
          <w:szCs w:val="20"/>
          <w:color w:val="auto"/>
        </w:rPr>
      </w:pPr>
      <w:r>
        <w:rPr>
          <w:rFonts w:ascii="Arial" w:cs="Arial" w:eastAsia="Arial" w:hAnsi="Arial"/>
          <w:sz w:val="21"/>
          <w:szCs w:val="21"/>
          <w:color w:val="auto"/>
        </w:rPr>
        <w:t xml:space="preserve">WHEREAS, the Committee has determined that, as an inducement to the Executive to enter into or remain in the service of the Company, it would be to the advantage and in the best interest of the Company and its stockholders to grant to Executive an aggregate of </w:t>
      </w:r>
      <w:r>
        <w:rPr>
          <w:rFonts w:ascii="Arial" w:cs="Arial" w:eastAsia="Arial" w:hAnsi="Arial"/>
          <w:sz w:val="21"/>
          <w:szCs w:val="21"/>
          <w:b w:val="1"/>
          <w:bCs w:val="1"/>
          <w:color w:val="auto"/>
        </w:rPr>
        <w:t>[Total Shares]</w:t>
      </w:r>
      <w:r>
        <w:rPr>
          <w:rFonts w:ascii="Arial" w:cs="Arial" w:eastAsia="Arial" w:hAnsi="Arial"/>
          <w:sz w:val="21"/>
          <w:szCs w:val="21"/>
          <w:color w:val="auto"/>
        </w:rPr>
        <w:t xml:space="preserve"> shares of Contract Stock under the Plan in the form of restricted units (the “</w:t>
      </w:r>
      <w:r>
        <w:rPr>
          <w:rFonts w:ascii="Arial" w:cs="Arial" w:eastAsia="Arial" w:hAnsi="Arial"/>
          <w:sz w:val="21"/>
          <w:szCs w:val="21"/>
          <w:u w:val="single" w:color="auto"/>
          <w:color w:val="auto"/>
        </w:rPr>
        <w:t>Units</w:t>
      </w:r>
      <w:r>
        <w:rPr>
          <w:rFonts w:ascii="Arial" w:cs="Arial" w:eastAsia="Arial" w:hAnsi="Arial"/>
          <w:sz w:val="21"/>
          <w:szCs w:val="21"/>
          <w:color w:val="auto"/>
        </w:rPr>
        <w:t>”), representing the right to receive an equal number of shares of common stock of the Company, par value $.01 per share (“</w:t>
      </w:r>
      <w:r>
        <w:rPr>
          <w:rFonts w:ascii="Arial" w:cs="Arial" w:eastAsia="Arial" w:hAnsi="Arial"/>
          <w:sz w:val="21"/>
          <w:szCs w:val="21"/>
          <w:u w:val="single" w:color="auto"/>
          <w:color w:val="auto"/>
        </w:rPr>
        <w:t>Common Stock</w:t>
      </w:r>
      <w:r>
        <w:rPr>
          <w:rFonts w:ascii="Arial" w:cs="Arial" w:eastAsia="Arial" w:hAnsi="Arial"/>
          <w:sz w:val="21"/>
          <w:szCs w:val="21"/>
          <w:color w:val="auto"/>
        </w:rPr>
        <w:t>”), on the terms and conditions set forth herein.</w:t>
      </w:r>
    </w:p>
    <w:p>
      <w:pPr>
        <w:spacing w:after="0" w:line="151" w:lineRule="exact"/>
        <w:rPr>
          <w:sz w:val="20"/>
          <w:szCs w:val="20"/>
          <w:color w:val="auto"/>
        </w:rPr>
      </w:pPr>
    </w:p>
    <w:p>
      <w:pPr>
        <w:ind w:right="100" w:firstLine="619"/>
        <w:spacing w:after="0" w:line="224" w:lineRule="auto"/>
        <w:rPr>
          <w:sz w:val="20"/>
          <w:szCs w:val="20"/>
          <w:color w:val="auto"/>
        </w:rPr>
      </w:pPr>
      <w:r>
        <w:rPr>
          <w:rFonts w:ascii="Arial" w:cs="Arial" w:eastAsia="Arial" w:hAnsi="Arial"/>
          <w:sz w:val="21"/>
          <w:szCs w:val="21"/>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149" w:lineRule="exact"/>
        <w:rPr>
          <w:sz w:val="20"/>
          <w:szCs w:val="20"/>
          <w:color w:val="auto"/>
        </w:rPr>
      </w:pPr>
    </w:p>
    <w:p>
      <w:pPr>
        <w:ind w:left="820" w:hanging="198"/>
        <w:spacing w:after="0"/>
        <w:tabs>
          <w:tab w:leader="none" w:pos="82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not otherwise defined herein shall have the meanings set forth in the Plan, unless otherwise</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indicated.</w:t>
      </w:r>
    </w:p>
    <w:p>
      <w:pPr>
        <w:spacing w:after="0" w:line="147" w:lineRule="exact"/>
        <w:rPr>
          <w:rFonts w:ascii="Arial" w:cs="Arial" w:eastAsia="Arial" w:hAnsi="Arial"/>
          <w:sz w:val="19"/>
          <w:szCs w:val="19"/>
          <w:color w:val="auto"/>
        </w:rPr>
      </w:pPr>
    </w:p>
    <w:p>
      <w:pPr>
        <w:ind w:right="380" w:firstLine="622"/>
        <w:spacing w:after="0" w:line="226" w:lineRule="auto"/>
        <w:tabs>
          <w:tab w:leader="none" w:pos="825"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Grant of Units</w:t>
      </w:r>
      <w:r>
        <w:rPr>
          <w:rFonts w:ascii="Arial" w:cs="Arial" w:eastAsia="Arial" w:hAnsi="Arial"/>
          <w:sz w:val="21"/>
          <w:szCs w:val="21"/>
          <w:color w:val="auto"/>
        </w:rPr>
        <w:t xml:space="preserve">. Executive is hereby granted, as of </w:t>
      </w:r>
      <w:r>
        <w:rPr>
          <w:rFonts w:ascii="Arial" w:cs="Arial" w:eastAsia="Arial" w:hAnsi="Arial"/>
          <w:sz w:val="21"/>
          <w:szCs w:val="21"/>
          <w:b w:val="1"/>
          <w:bCs w:val="1"/>
          <w:color w:val="auto"/>
        </w:rPr>
        <w:t>[Grant Date]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Grant Date</w:t>
      </w:r>
      <w:r>
        <w:rPr>
          <w:rFonts w:ascii="Arial" w:cs="Arial" w:eastAsia="Arial" w:hAnsi="Arial"/>
          <w:sz w:val="21"/>
          <w:szCs w:val="21"/>
          <w:color w:val="auto"/>
        </w:rPr>
        <w:t xml:space="preserve">”), </w:t>
      </w:r>
      <w:r>
        <w:rPr>
          <w:rFonts w:ascii="Arial" w:cs="Arial" w:eastAsia="Arial" w:hAnsi="Arial"/>
          <w:sz w:val="21"/>
          <w:szCs w:val="21"/>
          <w:b w:val="1"/>
          <w:bCs w:val="1"/>
          <w:color w:val="auto"/>
        </w:rPr>
        <w:t>[Total Shares]</w:t>
      </w:r>
      <w:r>
        <w:rPr>
          <w:rFonts w:ascii="Arial" w:cs="Arial" w:eastAsia="Arial" w:hAnsi="Arial"/>
          <w:sz w:val="21"/>
          <w:szCs w:val="21"/>
          <w:color w:val="auto"/>
        </w:rPr>
        <w:t xml:space="preserve"> Units pursuant to the terms of this Agreement and the Plan. The Executive’s right to receive the shares of Common Stock underlying the Units shall be subject to forfeiture as provided in Section 4 of this Agreement.</w:t>
      </w:r>
    </w:p>
    <w:p>
      <w:pPr>
        <w:spacing w:after="0" w:line="148" w:lineRule="exact"/>
        <w:rPr>
          <w:rFonts w:ascii="Arial" w:cs="Arial" w:eastAsia="Arial" w:hAnsi="Arial"/>
          <w:sz w:val="21"/>
          <w:szCs w:val="21"/>
          <w:color w:val="auto"/>
        </w:rPr>
      </w:pPr>
    </w:p>
    <w:p>
      <w:pPr>
        <w:ind w:left="820" w:hanging="198"/>
        <w:spacing w:after="0"/>
        <w:tabs>
          <w:tab w:leader="none" w:pos="82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260" w:hanging="432"/>
        <w:spacing w:after="0"/>
        <w:tabs>
          <w:tab w:leader="none" w:pos="1260" w:val="left"/>
        </w:tabs>
        <w:numPr>
          <w:ilvl w:val="1"/>
          <w:numId w:val="15"/>
        </w:numPr>
        <w:rPr>
          <w:rFonts w:ascii="Arial" w:cs="Arial" w:eastAsia="Arial" w:hAnsi="Arial"/>
          <w:sz w:val="21"/>
          <w:szCs w:val="21"/>
          <w:color w:val="auto"/>
        </w:rPr>
      </w:pPr>
      <w:r>
        <w:rPr>
          <w:rFonts w:ascii="Arial" w:cs="Arial" w:eastAsia="Arial" w:hAnsi="Arial"/>
          <w:sz w:val="21"/>
          <w:szCs w:val="21"/>
          <w:color w:val="auto"/>
        </w:rPr>
        <w:t>Subject to paragraph (b) and Section 4 below, the Units shall vest in cumulative installments as follows:</w:t>
      </w:r>
    </w:p>
    <w:p>
      <w:pPr>
        <w:spacing w:after="0" w:line="165" w:lineRule="exact"/>
        <w:rPr>
          <w:rFonts w:ascii="Arial" w:cs="Arial" w:eastAsia="Arial" w:hAnsi="Arial"/>
          <w:sz w:val="21"/>
          <w:szCs w:val="21"/>
          <w:color w:val="auto"/>
        </w:rPr>
      </w:pPr>
    </w:p>
    <w:p>
      <w:pPr>
        <w:ind w:left="2260" w:hanging="400"/>
        <w:spacing w:after="0"/>
        <w:tabs>
          <w:tab w:leader="none" w:pos="2260" w:val="left"/>
        </w:tabs>
        <w:numPr>
          <w:ilvl w:val="2"/>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[Tranche 1 Shares] </w:t>
      </w:r>
      <w:r>
        <w:rPr>
          <w:rFonts w:ascii="Arial" w:cs="Arial" w:eastAsia="Arial" w:hAnsi="Arial"/>
          <w:sz w:val="21"/>
          <w:szCs w:val="21"/>
          <w:color w:val="auto"/>
        </w:rPr>
        <w:t>of the Units shall vest on the [Vest Date 1] anniversary of the Grant Date;</w:t>
      </w:r>
    </w:p>
    <w:p>
      <w:pPr>
        <w:spacing w:after="0" w:line="171" w:lineRule="exact"/>
        <w:rPr>
          <w:rFonts w:ascii="Arial" w:cs="Arial" w:eastAsia="Arial" w:hAnsi="Arial"/>
          <w:sz w:val="21"/>
          <w:szCs w:val="21"/>
          <w:color w:val="auto"/>
        </w:rPr>
      </w:pPr>
    </w:p>
    <w:p>
      <w:pPr>
        <w:ind w:left="2320" w:hanging="460"/>
        <w:spacing w:after="0"/>
        <w:tabs>
          <w:tab w:leader="none" w:pos="2320" w:val="left"/>
        </w:tabs>
        <w:numPr>
          <w:ilvl w:val="2"/>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[Tranche 2 Shares] </w:t>
      </w:r>
      <w:r>
        <w:rPr>
          <w:rFonts w:ascii="Arial" w:cs="Arial" w:eastAsia="Arial" w:hAnsi="Arial"/>
          <w:sz w:val="20"/>
          <w:szCs w:val="20"/>
          <w:color w:val="auto"/>
        </w:rPr>
        <w:t>of the Units shall vest on the [Vest Date 2] anniversary of the Grant Date; and</w:t>
      </w:r>
    </w:p>
    <w:p>
      <w:pPr>
        <w:spacing w:after="0" w:line="182" w:lineRule="exact"/>
        <w:rPr>
          <w:rFonts w:ascii="Arial" w:cs="Arial" w:eastAsia="Arial" w:hAnsi="Arial"/>
          <w:sz w:val="20"/>
          <w:szCs w:val="20"/>
          <w:color w:val="auto"/>
        </w:rPr>
      </w:pPr>
    </w:p>
    <w:p>
      <w:pPr>
        <w:ind w:left="2380" w:hanging="520"/>
        <w:spacing w:after="0"/>
        <w:tabs>
          <w:tab w:leader="none" w:pos="2380" w:val="left"/>
        </w:tabs>
        <w:numPr>
          <w:ilvl w:val="2"/>
          <w:numId w:val="15"/>
        </w:numPr>
        <w:rPr>
          <w:rFonts w:ascii="Arial" w:cs="Arial" w:eastAsia="Arial" w:hAnsi="Arial"/>
          <w:sz w:val="21"/>
          <w:szCs w:val="21"/>
          <w:color w:val="auto"/>
        </w:rPr>
      </w:pPr>
      <w:r>
        <w:rPr>
          <w:rFonts w:ascii="Arial" w:cs="Arial" w:eastAsia="Arial" w:hAnsi="Arial"/>
          <w:sz w:val="21"/>
          <w:szCs w:val="21"/>
          <w:b w:val="1"/>
          <w:bCs w:val="1"/>
          <w:color w:val="auto"/>
        </w:rPr>
        <w:t xml:space="preserve">[Tranche 3 Shares] </w:t>
      </w:r>
      <w:r>
        <w:rPr>
          <w:rFonts w:ascii="Arial" w:cs="Arial" w:eastAsia="Arial" w:hAnsi="Arial"/>
          <w:sz w:val="21"/>
          <w:szCs w:val="21"/>
          <w:color w:val="auto"/>
        </w:rPr>
        <w:t>of the Units shall vest on the [Vest Date 3] anniversary of the Grant Date;</w:t>
      </w:r>
    </w:p>
    <w:p>
      <w:pPr>
        <w:spacing w:after="0" w:line="177" w:lineRule="exact"/>
        <w:rPr>
          <w:rFonts w:ascii="Arial" w:cs="Arial" w:eastAsia="Arial" w:hAnsi="Arial"/>
          <w:sz w:val="21"/>
          <w:szCs w:val="21"/>
          <w:color w:val="auto"/>
        </w:rPr>
      </w:pPr>
    </w:p>
    <w:p>
      <w:pPr>
        <w:ind w:left="1280" w:hanging="452"/>
        <w:spacing w:after="0"/>
        <w:tabs>
          <w:tab w:leader="none" w:pos="1280" w:val="left"/>
        </w:tabs>
        <w:numPr>
          <w:ilvl w:val="1"/>
          <w:numId w:val="15"/>
        </w:numPr>
        <w:rPr>
          <w:rFonts w:ascii="Arial" w:cs="Arial" w:eastAsia="Arial" w:hAnsi="Arial"/>
          <w:sz w:val="21"/>
          <w:szCs w:val="21"/>
          <w:color w:val="auto"/>
        </w:rPr>
      </w:pPr>
      <w:r>
        <w:rPr>
          <w:rFonts w:ascii="Arial" w:cs="Arial" w:eastAsia="Arial" w:hAnsi="Arial"/>
          <w:sz w:val="21"/>
          <w:szCs w:val="21"/>
          <w:color w:val="auto"/>
        </w:rPr>
        <w:t>One hundred percent (100%) of the then outstanding Units shall vest in the event that:</w:t>
      </w:r>
    </w:p>
    <w:p>
      <w:pPr>
        <w:sectPr>
          <w:pgSz w:w="11900" w:h="16838" w:orient="portrait"/>
          <w:cols w:equalWidth="0" w:num="1">
            <w:col w:w="11180"/>
          </w:cols>
          <w:pgMar w:left="320" w:top="1326" w:right="399" w:bottom="1440" w:gutter="0" w:footer="0" w:header="0"/>
        </w:sectPr>
      </w:pPr>
    </w:p>
    <w:bookmarkStart w:id="53" w:name="page54"/>
    <w:bookmarkEnd w:id="53"/>
    <w:p>
      <w:pPr>
        <w:ind w:left="1220" w:right="920" w:firstLine="620"/>
        <w:spacing w:after="0" w:line="233" w:lineRule="auto"/>
        <w:tabs>
          <w:tab w:leader="none" w:pos="2240" w:val="left"/>
        </w:tabs>
        <w:numPr>
          <w:ilvl w:val="3"/>
          <w:numId w:val="16"/>
        </w:numPr>
        <w:rPr>
          <w:rFonts w:ascii="Arial" w:cs="Arial" w:eastAsia="Arial" w:hAnsi="Arial"/>
          <w:sz w:val="21"/>
          <w:szCs w:val="21"/>
          <w:color w:val="auto"/>
        </w:rPr>
      </w:pPr>
      <w:r>
        <w:rPr>
          <w:rFonts w:ascii="Arial" w:cs="Arial" w:eastAsia="Arial" w:hAnsi="Arial"/>
          <w:sz w:val="21"/>
          <w:szCs w:val="21"/>
          <w:color w:val="auto"/>
        </w:rPr>
        <w:t>the Executive incurs a Termination of Service (as defined below) (1) by reason of the Executive’s “Disability” (as defined in the Plan), or (2) by reason of the Executive’s death;</w:t>
      </w:r>
    </w:p>
    <w:p>
      <w:pPr>
        <w:spacing w:after="0" w:line="149" w:lineRule="exact"/>
        <w:rPr>
          <w:rFonts w:ascii="Arial" w:cs="Arial" w:eastAsia="Arial" w:hAnsi="Arial"/>
          <w:sz w:val="21"/>
          <w:szCs w:val="21"/>
          <w:color w:val="auto"/>
        </w:rPr>
      </w:pPr>
    </w:p>
    <w:p>
      <w:pPr>
        <w:ind w:left="2300" w:hanging="460"/>
        <w:spacing w:after="0"/>
        <w:tabs>
          <w:tab w:leader="none" w:pos="2300" w:val="left"/>
        </w:tabs>
        <w:numPr>
          <w:ilvl w:val="3"/>
          <w:numId w:val="16"/>
        </w:numPr>
        <w:rPr>
          <w:rFonts w:ascii="Arial" w:cs="Arial" w:eastAsia="Arial" w:hAnsi="Arial"/>
          <w:sz w:val="19"/>
          <w:szCs w:val="19"/>
          <w:color w:val="auto"/>
        </w:rPr>
      </w:pPr>
      <w:r>
        <w:rPr>
          <w:rFonts w:ascii="Arial" w:cs="Arial" w:eastAsia="Arial" w:hAnsi="Arial"/>
          <w:sz w:val="19"/>
          <w:szCs w:val="19"/>
          <w:color w:val="auto"/>
        </w:rPr>
        <w:t>a Change in Control occurs, and the Executive incurs a Qualifying Termination on or within twenty-four</w:t>
      </w:r>
    </w:p>
    <w:p>
      <w:pPr>
        <w:spacing w:after="0" w:line="5" w:lineRule="exact"/>
        <w:rPr>
          <w:rFonts w:ascii="Arial" w:cs="Arial" w:eastAsia="Arial" w:hAnsi="Arial"/>
          <w:sz w:val="19"/>
          <w:szCs w:val="19"/>
          <w:color w:val="auto"/>
        </w:rPr>
      </w:pPr>
    </w:p>
    <w:p>
      <w:pPr>
        <w:ind w:left="1620" w:hanging="399"/>
        <w:spacing w:after="0"/>
        <w:tabs>
          <w:tab w:leader="none" w:pos="1620" w:val="left"/>
        </w:tabs>
        <w:numPr>
          <w:ilvl w:val="2"/>
          <w:numId w:val="17"/>
        </w:numPr>
        <w:rPr>
          <w:rFonts w:ascii="Arial" w:cs="Arial" w:eastAsia="Arial" w:hAnsi="Arial"/>
          <w:sz w:val="21"/>
          <w:szCs w:val="21"/>
          <w:color w:val="auto"/>
        </w:rPr>
      </w:pPr>
      <w:r>
        <w:rPr>
          <w:rFonts w:ascii="Arial" w:cs="Arial" w:eastAsia="Arial" w:hAnsi="Arial"/>
          <w:sz w:val="21"/>
          <w:szCs w:val="21"/>
          <w:color w:val="auto"/>
        </w:rPr>
        <w:t>months following the date of such Change in Control.</w:t>
      </w:r>
    </w:p>
    <w:p>
      <w:pPr>
        <w:spacing w:after="0" w:line="153" w:lineRule="exact"/>
        <w:rPr>
          <w:rFonts w:ascii="Arial" w:cs="Arial" w:eastAsia="Arial" w:hAnsi="Arial"/>
          <w:sz w:val="21"/>
          <w:szCs w:val="21"/>
          <w:color w:val="auto"/>
        </w:rPr>
      </w:pPr>
    </w:p>
    <w:p>
      <w:pPr>
        <w:ind w:left="-20" w:right="340" w:firstLine="828"/>
        <w:spacing w:after="0" w:line="233"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means a Termination of Service by the Company without Cause or by the Executive for Good Reason.</w:t>
      </w:r>
    </w:p>
    <w:p>
      <w:pPr>
        <w:spacing w:after="0" w:line="149" w:lineRule="exact"/>
        <w:rPr>
          <w:rFonts w:ascii="Arial" w:cs="Arial" w:eastAsia="Arial" w:hAnsi="Arial"/>
          <w:sz w:val="21"/>
          <w:szCs w:val="21"/>
          <w:color w:val="auto"/>
        </w:rPr>
      </w:pPr>
    </w:p>
    <w:p>
      <w:pPr>
        <w:ind w:left="-20" w:right="40" w:firstLine="828"/>
        <w:spacing w:after="0" w:line="239" w:lineRule="auto"/>
        <w:tabs>
          <w:tab w:leader="none" w:pos="1252" w:val="left"/>
        </w:tabs>
        <w:numPr>
          <w:ilvl w:val="1"/>
          <w:numId w:val="18"/>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Termination of Service</w:t>
      </w:r>
      <w:r>
        <w:rPr>
          <w:rFonts w:ascii="Arial" w:cs="Arial" w:eastAsia="Arial" w:hAnsi="Arial"/>
          <w:sz w:val="19"/>
          <w:szCs w:val="19"/>
          <w:color w:val="auto"/>
        </w:rPr>
        <w:t>” shall mean the time when the Executive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to, the Company and/or one or more of its Related Corporations and Affiliates or a successor entity thereto.</w:t>
      </w:r>
    </w:p>
    <w:p>
      <w:pPr>
        <w:spacing w:after="0" w:line="149" w:lineRule="exact"/>
        <w:rPr>
          <w:rFonts w:ascii="Arial" w:cs="Arial" w:eastAsia="Arial" w:hAnsi="Arial"/>
          <w:sz w:val="19"/>
          <w:szCs w:val="19"/>
          <w:color w:val="auto"/>
        </w:rPr>
      </w:pPr>
    </w:p>
    <w:p>
      <w:pPr>
        <w:ind w:left="-20" w:right="220" w:firstLine="622"/>
        <w:spacing w:after="0" w:line="214" w:lineRule="auto"/>
        <w:tabs>
          <w:tab w:leader="none" w:pos="805"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Forfeiture of Units</w:t>
      </w:r>
      <w:r>
        <w:rPr>
          <w:rFonts w:ascii="Arial" w:cs="Arial" w:eastAsia="Arial" w:hAnsi="Arial"/>
          <w:sz w:val="21"/>
          <w:szCs w:val="21"/>
          <w:color w:val="auto"/>
        </w:rPr>
        <w:t>. Immediately upon (i) if prior to a Change in Control or more than 24 months following a Change in Control, in either case, a Termination of Service for any reason other than the Executive’s death or Disability or (ii) if on or within 24 months following a Change in Control, a Termination of Service for any reason other than the Executive’s death, Disability or Qualifying Termination, the Executive shall forfeit any and all Units which have not vested or do not vest on or prior to such termination, and the Executive’s rights in any such Units which are not so vested shall terminate, lapse and expire (including the Executive’s right to receive the shares underlying such Units).</w:t>
      </w:r>
    </w:p>
    <w:p>
      <w:pPr>
        <w:spacing w:after="0" w:line="151" w:lineRule="exact"/>
        <w:rPr>
          <w:rFonts w:ascii="Arial" w:cs="Arial" w:eastAsia="Arial" w:hAnsi="Arial"/>
          <w:sz w:val="21"/>
          <w:szCs w:val="21"/>
          <w:color w:val="auto"/>
        </w:rPr>
      </w:pPr>
    </w:p>
    <w:p>
      <w:pPr>
        <w:ind w:left="800" w:hanging="198"/>
        <w:spacing w:after="0"/>
        <w:tabs>
          <w:tab w:leader="none" w:pos="80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[RESERVED].</w:t>
      </w:r>
    </w:p>
    <w:p>
      <w:pPr>
        <w:spacing w:after="0" w:line="171" w:lineRule="exact"/>
        <w:rPr>
          <w:rFonts w:ascii="Arial" w:cs="Arial" w:eastAsia="Arial" w:hAnsi="Arial"/>
          <w:sz w:val="21"/>
          <w:szCs w:val="21"/>
          <w:color w:val="auto"/>
        </w:rPr>
      </w:pPr>
    </w:p>
    <w:p>
      <w:pPr>
        <w:ind w:left="800" w:hanging="198"/>
        <w:spacing w:after="0"/>
        <w:tabs>
          <w:tab w:leader="none" w:pos="80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Payment of Units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20" w:right="140" w:firstLine="828"/>
        <w:spacing w:after="0" w:line="233" w:lineRule="auto"/>
        <w:tabs>
          <w:tab w:leader="none" w:pos="1236"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shares of Common Stock underlying Units (“</w:t>
      </w:r>
      <w:r>
        <w:rPr>
          <w:rFonts w:ascii="Arial" w:cs="Arial" w:eastAsia="Arial" w:hAnsi="Arial"/>
          <w:sz w:val="21"/>
          <w:szCs w:val="21"/>
          <w:u w:val="single" w:color="auto"/>
          <w:color w:val="auto"/>
        </w:rPr>
        <w:t>Unit Shares</w:t>
      </w:r>
      <w:r>
        <w:rPr>
          <w:rFonts w:ascii="Arial" w:cs="Arial" w:eastAsia="Arial" w:hAnsi="Arial"/>
          <w:sz w:val="21"/>
          <w:szCs w:val="21"/>
          <w:color w:val="auto"/>
        </w:rPr>
        <w:t>”) which become vested under Section 3 shall be paid out to Executive within thirty (30) days following the date on which the Units vest pursuant to Section 3.</w:t>
      </w:r>
    </w:p>
    <w:p>
      <w:pPr>
        <w:spacing w:after="0" w:line="150" w:lineRule="exact"/>
        <w:rPr>
          <w:sz w:val="20"/>
          <w:szCs w:val="20"/>
          <w:color w:val="auto"/>
        </w:rPr>
      </w:pPr>
    </w:p>
    <w:p>
      <w:pPr>
        <w:ind w:left="-20" w:right="180" w:firstLine="1241"/>
        <w:spacing w:after="0" w:line="251" w:lineRule="auto"/>
        <w:tabs>
          <w:tab w:leader="none" w:pos="1653" w:val="left"/>
        </w:tabs>
        <w:numPr>
          <w:ilvl w:val="1"/>
          <w:numId w:val="20"/>
        </w:numPr>
        <w:rPr>
          <w:rFonts w:ascii="Arial" w:cs="Arial" w:eastAsia="Arial" w:hAnsi="Arial"/>
          <w:sz w:val="19"/>
          <w:szCs w:val="19"/>
          <w:color w:val="auto"/>
        </w:rPr>
      </w:pPr>
      <w:r>
        <w:rPr>
          <w:rFonts w:ascii="Arial" w:cs="Arial" w:eastAsia="Arial" w:hAnsi="Arial"/>
          <w:sz w:val="19"/>
          <w:szCs w:val="19"/>
          <w:color w:val="auto"/>
        </w:rPr>
        <w:t>All payments of shares of Common Stock underlying Units shall be made by the Company in the form of whole shares of Common Stock, and any fractional share shall be distributed in cash in an amount equal to the value of such fractional share determined based on the Fair Market Value (as defined in the Plan) as of the date immediately prior to such distribution.</w:t>
      </w:r>
    </w:p>
    <w:p>
      <w:pPr>
        <w:spacing w:after="0" w:line="139" w:lineRule="exact"/>
        <w:rPr>
          <w:rFonts w:ascii="Arial" w:cs="Arial" w:eastAsia="Arial" w:hAnsi="Arial"/>
          <w:sz w:val="19"/>
          <w:szCs w:val="19"/>
          <w:color w:val="auto"/>
        </w:rPr>
      </w:pPr>
    </w:p>
    <w:p>
      <w:pPr>
        <w:ind w:left="-20" w:right="100" w:firstLine="828"/>
        <w:spacing w:after="0" w:line="216" w:lineRule="auto"/>
        <w:tabs>
          <w:tab w:leader="none" w:pos="1252" w:val="left"/>
        </w:tabs>
        <w:numPr>
          <w:ilvl w:val="0"/>
          <w:numId w:val="21"/>
        </w:numPr>
        <w:rPr>
          <w:rFonts w:ascii="Arial" w:cs="Arial" w:eastAsia="Arial" w:hAnsi="Arial"/>
          <w:sz w:val="21"/>
          <w:szCs w:val="21"/>
          <w:color w:val="auto"/>
        </w:rPr>
      </w:pPr>
      <w:r>
        <w:rPr>
          <w:rFonts w:ascii="Arial" w:cs="Arial" w:eastAsia="Arial" w:hAnsi="Arial"/>
          <w:sz w:val="21"/>
          <w:szCs w:val="21"/>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150" w:lineRule="exact"/>
        <w:rPr>
          <w:rFonts w:ascii="Arial" w:cs="Arial" w:eastAsia="Arial" w:hAnsi="Arial"/>
          <w:sz w:val="21"/>
          <w:szCs w:val="21"/>
          <w:color w:val="auto"/>
        </w:rPr>
      </w:pPr>
    </w:p>
    <w:p>
      <w:pPr>
        <w:ind w:left="-20" w:firstLine="828"/>
        <w:spacing w:after="0" w:line="219" w:lineRule="auto"/>
        <w:tabs>
          <w:tab w:leader="none" w:pos="1236"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Company shall be entitled to withhold in cash, shares or deduction from other compensation payable to the Executive any sums required by federal, state or local tax law to be withheld with respect to the grant, vesting, distribution or payment of the Units or the Unit Shares. In satisfaction of the foregoing requirement with respect to the grant, vesting, distribution or payment of the Units or Unit Shares, to the extent permitted by Section 409A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40" w:top="1343" w:right="359" w:bottom="1440" w:gutter="0" w:footer="0" w:header="0"/>
        </w:sectPr>
      </w:pPr>
    </w:p>
    <w:bookmarkStart w:id="54" w:name="page55"/>
    <w:bookmarkEnd w:id="54"/>
    <w:p>
      <w:pPr>
        <w:ind w:right="20"/>
        <w:spacing w:after="0" w:line="216" w:lineRule="auto"/>
        <w:rPr>
          <w:sz w:val="20"/>
          <w:szCs w:val="20"/>
          <w:color w:val="auto"/>
        </w:rPr>
      </w:pPr>
      <w:r>
        <w:rPr>
          <w:rFonts w:ascii="Arial" w:cs="Arial" w:eastAsia="Arial" w:hAnsi="Arial"/>
          <w:sz w:val="21"/>
          <w:szCs w:val="21"/>
          <w:color w:val="auto"/>
        </w:rPr>
        <w:t>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and its corresponding regulations), including Treas. Reg. Section 1.409A-3(j)(4)(vi), the Company shall withhold shares of Common Stock otherwise issuable upon payment of the Units having a Fair Market Value equal to the sums required to be withheld. In the event that the number of shares of Common Stock having a Fair Market Value equal to the sums required to be withheld is not a whole number of shares, the number of shares so withheld shall be rounded up to the nearest whole share.</w:t>
      </w:r>
    </w:p>
    <w:p>
      <w:pPr>
        <w:spacing w:after="0" w:line="151" w:lineRule="exact"/>
        <w:rPr>
          <w:sz w:val="20"/>
          <w:szCs w:val="20"/>
          <w:color w:val="auto"/>
        </w:rPr>
      </w:pPr>
    </w:p>
    <w:p>
      <w:pPr>
        <w:ind w:right="40" w:firstLine="828"/>
        <w:spacing w:after="0" w:line="233" w:lineRule="auto"/>
        <w:tabs>
          <w:tab w:leader="none" w:pos="1237" w:val="left"/>
        </w:tabs>
        <w:numPr>
          <w:ilvl w:val="1"/>
          <w:numId w:val="22"/>
        </w:numPr>
        <w:rPr>
          <w:rFonts w:ascii="Arial" w:cs="Arial" w:eastAsia="Arial" w:hAnsi="Arial"/>
          <w:sz w:val="21"/>
          <w:szCs w:val="21"/>
          <w:color w:val="auto"/>
        </w:rPr>
      </w:pPr>
      <w:r>
        <w:rPr>
          <w:rFonts w:ascii="Arial" w:cs="Arial" w:eastAsia="Arial" w:hAnsi="Arial"/>
          <w:sz w:val="21"/>
          <w:szCs w:val="21"/>
          <w:color w:val="auto"/>
        </w:rPr>
        <w:t>Executive’s right to receive payment of any amounts under this Agreement shall be an unfunded entitlement and shall be an unsecured claim against the general assets of the Company.</w:t>
      </w:r>
    </w:p>
    <w:p>
      <w:pPr>
        <w:spacing w:after="0" w:line="149" w:lineRule="exact"/>
        <w:rPr>
          <w:rFonts w:ascii="Arial" w:cs="Arial" w:eastAsia="Arial" w:hAnsi="Arial"/>
          <w:sz w:val="21"/>
          <w:szCs w:val="21"/>
          <w:color w:val="auto"/>
        </w:rPr>
      </w:pPr>
    </w:p>
    <w:p>
      <w:pPr>
        <w:ind w:right="80" w:firstLine="828"/>
        <w:spacing w:after="0" w:line="216" w:lineRule="auto"/>
        <w:tabs>
          <w:tab w:leader="none" w:pos="1260" w:val="left"/>
        </w:tabs>
        <w:numPr>
          <w:ilvl w:val="1"/>
          <w:numId w:val="22"/>
        </w:numPr>
        <w:rPr>
          <w:rFonts w:ascii="Arial" w:cs="Arial" w:eastAsia="Arial" w:hAnsi="Arial"/>
          <w:sz w:val="21"/>
          <w:szCs w:val="21"/>
          <w:color w:val="auto"/>
        </w:rPr>
      </w:pPr>
      <w:r>
        <w:rPr>
          <w:rFonts w:ascii="Arial" w:cs="Arial" w:eastAsia="Arial" w:hAnsi="Arial"/>
          <w:sz w:val="21"/>
          <w:szCs w:val="21"/>
          <w:color w:val="auto"/>
        </w:rPr>
        <w:t>After payment in accordance with this Section 6, the Unit Shares may not be sold, transferred or otherwise disposed of by Executive for a period of five days after receipt of such shares by Executive, except that no such restrictions shall apply in the case of a Change in Control or in the event that Unit Shares are sold or withheld in order to satisfy any obligations Executive may have with respect to any applicable tax withholding requirements on vesting or receipt of Unit Shares (including, without limitation, pursuant to Section 6(e) above).</w:t>
      </w:r>
    </w:p>
    <w:p>
      <w:pPr>
        <w:spacing w:after="0" w:line="150" w:lineRule="exact"/>
        <w:rPr>
          <w:rFonts w:ascii="Arial" w:cs="Arial" w:eastAsia="Arial" w:hAnsi="Arial"/>
          <w:sz w:val="21"/>
          <w:szCs w:val="21"/>
          <w:color w:val="auto"/>
        </w:rPr>
      </w:pPr>
    </w:p>
    <w:p>
      <w:pPr>
        <w:ind w:right="20" w:firstLine="622"/>
        <w:spacing w:after="0" w:line="214" w:lineRule="auto"/>
        <w:tabs>
          <w:tab w:leader="none" w:pos="825"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Clawback</w:t>
      </w:r>
      <w:r>
        <w:rPr>
          <w:rFonts w:ascii="Arial" w:cs="Arial" w:eastAsia="Arial" w:hAnsi="Arial"/>
          <w:sz w:val="21"/>
          <w:szCs w:val="21"/>
          <w:color w:val="auto"/>
        </w:rPr>
        <w:t>. Notwithstanding anything contained in the Plan or this Agreement to the contrary, the Units and shares of Common Stock represented by the Units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Units and shares of Common Stock under the Plan.</w:t>
      </w:r>
    </w:p>
    <w:p>
      <w:pPr>
        <w:spacing w:after="0" w:line="151" w:lineRule="exact"/>
        <w:rPr>
          <w:rFonts w:ascii="Arial" w:cs="Arial" w:eastAsia="Arial" w:hAnsi="Arial"/>
          <w:sz w:val="21"/>
          <w:szCs w:val="21"/>
          <w:color w:val="auto"/>
        </w:rPr>
      </w:pPr>
    </w:p>
    <w:p>
      <w:pPr>
        <w:ind w:firstLine="622"/>
        <w:spacing w:after="0" w:line="223" w:lineRule="auto"/>
        <w:tabs>
          <w:tab w:leader="none" w:pos="82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Plan has and will have sufficient shares available to effect the distribution of the Unit Shares.</w:t>
      </w:r>
    </w:p>
    <w:p>
      <w:pPr>
        <w:spacing w:after="0" w:line="154" w:lineRule="exact"/>
        <w:rPr>
          <w:rFonts w:ascii="Arial" w:cs="Arial" w:eastAsia="Arial" w:hAnsi="Arial"/>
          <w:sz w:val="20"/>
          <w:szCs w:val="20"/>
          <w:color w:val="auto"/>
        </w:rPr>
      </w:pPr>
    </w:p>
    <w:p>
      <w:pPr>
        <w:ind w:right="660" w:firstLine="622"/>
        <w:spacing w:after="0" w:line="233" w:lineRule="auto"/>
        <w:tabs>
          <w:tab w:leader="none" w:pos="825"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in this Agreement shall confer upon Executive the right to remain in employ of the Company or any subsidiary of the Company.</w:t>
      </w:r>
    </w:p>
    <w:p>
      <w:pPr>
        <w:spacing w:after="0" w:line="149" w:lineRule="exact"/>
        <w:rPr>
          <w:rFonts w:ascii="Arial" w:cs="Arial" w:eastAsia="Arial" w:hAnsi="Arial"/>
          <w:sz w:val="21"/>
          <w:szCs w:val="21"/>
          <w:color w:val="auto"/>
        </w:rPr>
      </w:pPr>
    </w:p>
    <w:p>
      <w:pPr>
        <w:ind w:right="140" w:firstLine="622"/>
        <w:spacing w:after="0" w:line="212" w:lineRule="auto"/>
        <w:tabs>
          <w:tab w:leader="none" w:pos="92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Nontransferability</w:t>
      </w:r>
      <w:r>
        <w:rPr>
          <w:rFonts w:ascii="Arial" w:cs="Arial" w:eastAsia="Arial" w:hAnsi="Arial"/>
          <w:sz w:val="21"/>
          <w:szCs w:val="21"/>
          <w:color w:val="auto"/>
        </w:rPr>
        <w:t>.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149" w:lineRule="exact"/>
        <w:rPr>
          <w:rFonts w:ascii="Arial" w:cs="Arial" w:eastAsia="Arial" w:hAnsi="Arial"/>
          <w:sz w:val="21"/>
          <w:szCs w:val="21"/>
          <w:color w:val="auto"/>
        </w:rPr>
      </w:pPr>
    </w:p>
    <w:p>
      <w:pPr>
        <w:ind w:right="380" w:firstLine="622"/>
        <w:spacing w:after="0" w:line="224" w:lineRule="auto"/>
        <w:tabs>
          <w:tab w:leader="none" w:pos="920"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contains all the understandings between the parties hereto pertaining to the matters referred to herein, and supersedes all undertakings and agreements, whether oral or in writing, previously entered into by them with respect thereto.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43" w:right="339" w:bottom="1440" w:gutter="0" w:footer="0" w:header="0"/>
        </w:sectPr>
      </w:pPr>
    </w:p>
    <w:bookmarkStart w:id="55" w:name="page56"/>
    <w:bookmarkEnd w:id="55"/>
    <w:p>
      <w:pPr>
        <w:ind w:right="100"/>
        <w:spacing w:after="0" w:line="276" w:lineRule="auto"/>
        <w:rPr>
          <w:sz w:val="20"/>
          <w:szCs w:val="20"/>
          <w:color w:val="auto"/>
        </w:rPr>
      </w:pPr>
      <w:r>
        <w:rPr>
          <w:rFonts w:ascii="Arial" w:cs="Arial" w:eastAsia="Arial" w:hAnsi="Arial"/>
          <w:sz w:val="19"/>
          <w:szCs w:val="19"/>
          <w:color w:val="auto"/>
        </w:rPr>
        <w:t>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116" w:lineRule="exact"/>
        <w:rPr>
          <w:sz w:val="20"/>
          <w:szCs w:val="20"/>
          <w:color w:val="auto"/>
        </w:rPr>
      </w:pPr>
    </w:p>
    <w:p>
      <w:pPr>
        <w:ind w:firstLine="622"/>
        <w:spacing w:after="0" w:line="227" w:lineRule="auto"/>
        <w:tabs>
          <w:tab w:leader="none" w:pos="92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Amendment or Modification; Waiver</w:t>
      </w:r>
      <w:r>
        <w:rPr>
          <w:rFonts w:ascii="Arial" w:cs="Arial" w:eastAsia="Arial" w:hAnsi="Arial"/>
          <w:sz w:val="20"/>
          <w:szCs w:val="20"/>
          <w:color w:val="auto"/>
        </w:rPr>
        <w:t>.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50" w:lineRule="exact"/>
        <w:rPr>
          <w:rFonts w:ascii="Arial" w:cs="Arial" w:eastAsia="Arial" w:hAnsi="Arial"/>
          <w:sz w:val="20"/>
          <w:szCs w:val="20"/>
          <w:color w:val="auto"/>
        </w:rPr>
      </w:pPr>
    </w:p>
    <w:p>
      <w:pPr>
        <w:ind w:right="120" w:firstLine="622"/>
        <w:spacing w:after="0" w:line="251" w:lineRule="auto"/>
        <w:tabs>
          <w:tab w:leader="none" w:pos="92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40" w:lineRule="exact"/>
        <w:rPr>
          <w:sz w:val="20"/>
          <w:szCs w:val="20"/>
          <w:color w:val="auto"/>
        </w:rPr>
      </w:pPr>
    </w:p>
    <w:p>
      <w:pPr>
        <w:ind w:left="1240" w:right="3060"/>
        <w:spacing w:after="0" w:line="410" w:lineRule="auto"/>
        <w:rPr>
          <w:sz w:val="20"/>
          <w:szCs w:val="20"/>
          <w:color w:val="auto"/>
        </w:rPr>
      </w:pPr>
      <w:r>
        <w:rPr>
          <w:rFonts w:ascii="Arial" w:cs="Arial" w:eastAsia="Arial" w:hAnsi="Arial"/>
          <w:sz w:val="21"/>
          <w:szCs w:val="21"/>
          <w:u w:val="single" w:color="auto"/>
          <w:color w:val="auto"/>
        </w:rPr>
        <w:t>To the Executive</w:t>
      </w:r>
      <w:r>
        <w:rPr>
          <w:rFonts w:ascii="Arial" w:cs="Arial" w:eastAsia="Arial" w:hAnsi="Arial"/>
          <w:sz w:val="21"/>
          <w:szCs w:val="21"/>
          <w:color w:val="auto"/>
        </w:rPr>
        <w:t xml:space="preserve">: at Executive’s most recent address on the records of the Company </w:t>
      </w:r>
      <w:r>
        <w:rPr>
          <w:rFonts w:ascii="Arial" w:cs="Arial" w:eastAsia="Arial" w:hAnsi="Arial"/>
          <w:sz w:val="21"/>
          <w:szCs w:val="21"/>
          <w:u w:val="single" w:color="auto"/>
          <w:color w:val="auto"/>
        </w:rPr>
        <w:t>To the Company</w:t>
      </w:r>
      <w:r>
        <w:rPr>
          <w:rFonts w:ascii="Arial" w:cs="Arial" w:eastAsia="Arial" w:hAnsi="Arial"/>
          <w:sz w:val="21"/>
          <w:szCs w:val="21"/>
          <w:color w:val="auto"/>
        </w:rPr>
        <w:t>:</w:t>
      </w:r>
    </w:p>
    <w:p>
      <w:pPr>
        <w:ind w:left="1240"/>
        <w:spacing w:after="0" w:line="222" w:lineRule="auto"/>
        <w:rPr>
          <w:sz w:val="20"/>
          <w:szCs w:val="20"/>
          <w:color w:val="auto"/>
        </w:rPr>
      </w:pPr>
      <w:r>
        <w:rPr>
          <w:rFonts w:ascii="Arial" w:cs="Arial" w:eastAsia="Arial" w:hAnsi="Arial"/>
          <w:sz w:val="21"/>
          <w:szCs w:val="21"/>
          <w:color w:val="auto"/>
        </w:rPr>
        <w:t>Integra LifeSciences Holdings Corporation</w:t>
      </w:r>
    </w:p>
    <w:p>
      <w:pPr>
        <w:ind w:left="1240"/>
        <w:spacing w:after="0" w:line="205" w:lineRule="auto"/>
        <w:rPr>
          <w:sz w:val="20"/>
          <w:szCs w:val="20"/>
          <w:color w:val="auto"/>
        </w:rPr>
      </w:pPr>
      <w:r>
        <w:rPr>
          <w:rFonts w:ascii="Arial" w:cs="Arial" w:eastAsia="Arial" w:hAnsi="Arial"/>
          <w:sz w:val="21"/>
          <w:szCs w:val="21"/>
          <w:color w:val="auto"/>
        </w:rPr>
        <w:t>1100 Campus Road</w:t>
      </w:r>
    </w:p>
    <w:p>
      <w:pPr>
        <w:ind w:left="1240"/>
        <w:spacing w:after="0" w:line="205" w:lineRule="auto"/>
        <w:rPr>
          <w:sz w:val="20"/>
          <w:szCs w:val="20"/>
          <w:color w:val="auto"/>
        </w:rPr>
      </w:pPr>
      <w:r>
        <w:rPr>
          <w:rFonts w:ascii="Arial" w:cs="Arial" w:eastAsia="Arial" w:hAnsi="Arial"/>
          <w:sz w:val="21"/>
          <w:szCs w:val="21"/>
          <w:color w:val="auto"/>
        </w:rPr>
        <w:t>Princeton NJ 08540</w:t>
      </w:r>
    </w:p>
    <w:p>
      <w:pPr>
        <w:ind w:left="1240"/>
        <w:spacing w:after="0" w:line="205" w:lineRule="auto"/>
        <w:rPr>
          <w:sz w:val="20"/>
          <w:szCs w:val="20"/>
          <w:color w:val="auto"/>
        </w:rPr>
      </w:pPr>
      <w:r>
        <w:rPr>
          <w:rFonts w:ascii="Arial" w:cs="Arial" w:eastAsia="Arial" w:hAnsi="Arial"/>
          <w:sz w:val="21"/>
          <w:szCs w:val="21"/>
          <w:color w:val="auto"/>
        </w:rPr>
        <w:t>Attention: Chairman</w:t>
      </w:r>
    </w:p>
    <w:p>
      <w:pPr>
        <w:ind w:left="1240"/>
        <w:spacing w:after="0" w:line="205" w:lineRule="auto"/>
        <w:rPr>
          <w:sz w:val="20"/>
          <w:szCs w:val="20"/>
          <w:color w:val="auto"/>
        </w:rPr>
      </w:pPr>
      <w:r>
        <w:rPr>
          <w:rFonts w:ascii="Arial" w:cs="Arial" w:eastAsia="Arial" w:hAnsi="Arial"/>
          <w:sz w:val="21"/>
          <w:szCs w:val="21"/>
          <w:color w:val="auto"/>
        </w:rPr>
        <w:t>Facsimile: 609-275-9006</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(with a copy to the Company’s General Counsel)</w:t>
      </w:r>
    </w:p>
    <w:p>
      <w:pPr>
        <w:spacing w:after="0" w:line="153" w:lineRule="exact"/>
        <w:rPr>
          <w:sz w:val="20"/>
          <w:szCs w:val="20"/>
          <w:color w:val="auto"/>
        </w:rPr>
      </w:pPr>
    </w:p>
    <w:p>
      <w:pPr>
        <w:jc w:val="both"/>
        <w:ind w:right="140" w:firstLine="619"/>
        <w:spacing w:after="0" w:line="224" w:lineRule="auto"/>
        <w:rPr>
          <w:sz w:val="20"/>
          <w:szCs w:val="20"/>
          <w:color w:val="auto"/>
        </w:rPr>
      </w:pPr>
      <w:r>
        <w:rPr>
          <w:rFonts w:ascii="Arial" w:cs="Arial" w:eastAsia="Arial" w:hAnsi="Arial"/>
          <w:sz w:val="21"/>
          <w:szCs w:val="21"/>
          <w:color w:val="auto"/>
        </w:rPr>
        <w:t>Any notice delivered personally or by courier under this Section 13 shall be deemed given on the date delivered and any notice sent by telecopy or registered or certified mail, postage prepaid, return receipt requested, shall be deemed given on the date telecopied or mailed.</w:t>
      </w:r>
    </w:p>
    <w:p>
      <w:pPr>
        <w:spacing w:after="0" w:line="149" w:lineRule="exact"/>
        <w:rPr>
          <w:sz w:val="20"/>
          <w:szCs w:val="20"/>
          <w:color w:val="auto"/>
        </w:rPr>
      </w:pPr>
    </w:p>
    <w:p>
      <w:pPr>
        <w:ind w:right="80" w:firstLine="622"/>
        <w:spacing w:after="0" w:line="216" w:lineRule="auto"/>
        <w:tabs>
          <w:tab w:leader="none" w:pos="928"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50" w:lineRule="exact"/>
        <w:rPr>
          <w:rFonts w:ascii="Arial" w:cs="Arial" w:eastAsia="Arial" w:hAnsi="Arial"/>
          <w:sz w:val="21"/>
          <w:szCs w:val="21"/>
          <w:color w:val="auto"/>
        </w:rPr>
      </w:pPr>
    </w:p>
    <w:p>
      <w:pPr>
        <w:ind w:right="120" w:firstLine="622"/>
        <w:spacing w:after="0" w:line="224" w:lineRule="auto"/>
        <w:tabs>
          <w:tab w:leader="none" w:pos="928"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Noncontravention</w:t>
      </w:r>
      <w:r>
        <w:rPr>
          <w:rFonts w:ascii="Arial" w:cs="Arial" w:eastAsia="Arial" w:hAnsi="Arial"/>
          <w:sz w:val="21"/>
          <w:szCs w:val="21"/>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148" w:lineRule="exact"/>
        <w:rPr>
          <w:rFonts w:ascii="Arial" w:cs="Arial" w:eastAsia="Arial" w:hAnsi="Arial"/>
          <w:sz w:val="21"/>
          <w:szCs w:val="21"/>
          <w:color w:val="auto"/>
        </w:rPr>
      </w:pPr>
    </w:p>
    <w:p>
      <w:pPr>
        <w:ind w:right="100" w:firstLine="622"/>
        <w:spacing w:after="0" w:line="250" w:lineRule="auto"/>
        <w:tabs>
          <w:tab w:leader="none" w:pos="92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Survivorship</w:t>
      </w:r>
      <w:r>
        <w:rPr>
          <w:rFonts w:ascii="Arial" w:cs="Arial" w:eastAsia="Arial" w:hAnsi="Arial"/>
          <w:sz w:val="20"/>
          <w:szCs w:val="20"/>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139" w:lineRule="exact"/>
        <w:rPr>
          <w:rFonts w:ascii="Arial" w:cs="Arial" w:eastAsia="Arial" w:hAnsi="Arial"/>
          <w:sz w:val="20"/>
          <w:szCs w:val="20"/>
          <w:color w:val="auto"/>
        </w:rPr>
      </w:pPr>
    </w:p>
    <w:p>
      <w:pPr>
        <w:ind w:right="140" w:firstLine="622"/>
        <w:spacing w:after="0" w:line="233" w:lineRule="auto"/>
        <w:tabs>
          <w:tab w:leader="none" w:pos="928"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This Agreement shall inure to the benefit of and be binding upon each successor of the Company, and upon the Executive’s beneficiaries, legal representatives or estate,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43" w:right="339" w:bottom="1440" w:gutter="0" w:footer="0" w:header="0"/>
        </w:sectPr>
      </w:pPr>
    </w:p>
    <w:bookmarkStart w:id="56" w:name="page57"/>
    <w:bookmarkEnd w:id="56"/>
    <w:p>
      <w:pPr>
        <w:ind w:left="-3" w:firstLine="622"/>
        <w:spacing w:after="0" w:line="219" w:lineRule="auto"/>
        <w:tabs>
          <w:tab w:leader="none" w:pos="925"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Except as would be in conflict with any specific provision herein, this Agreement is made under and subject to the provisions of the Plan as in effect on the Grant Date and, except as would conflict with the provisions of this Agreement, all of the provisions of the Plan as in effect on the Grant Date are hereby incorporated herein as provisions of this Agreement. In the event of any such conflict, the terms of this Agreement shall govern.</w:t>
      </w:r>
    </w:p>
    <w:p>
      <w:pPr>
        <w:spacing w:after="0" w:line="149" w:lineRule="exact"/>
        <w:rPr>
          <w:rFonts w:ascii="Arial" w:cs="Arial" w:eastAsia="Arial" w:hAnsi="Arial"/>
          <w:sz w:val="21"/>
          <w:szCs w:val="21"/>
          <w:color w:val="auto"/>
        </w:rPr>
      </w:pPr>
    </w:p>
    <w:p>
      <w:pPr>
        <w:ind w:left="-3" w:right="280" w:firstLine="622"/>
        <w:spacing w:after="0" w:line="233" w:lineRule="auto"/>
        <w:tabs>
          <w:tab w:leader="none" w:pos="925"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and construed in accordance with the laws of the State of Delaware, without regard to its conflicts of laws principles.</w:t>
      </w:r>
    </w:p>
    <w:p>
      <w:pPr>
        <w:spacing w:after="0" w:line="149" w:lineRule="exact"/>
        <w:rPr>
          <w:rFonts w:ascii="Arial" w:cs="Arial" w:eastAsia="Arial" w:hAnsi="Arial"/>
          <w:sz w:val="21"/>
          <w:szCs w:val="21"/>
          <w:color w:val="auto"/>
        </w:rPr>
      </w:pPr>
    </w:p>
    <w:p>
      <w:pPr>
        <w:ind w:left="-3" w:right="120" w:firstLine="622"/>
        <w:spacing w:after="0" w:line="233" w:lineRule="auto"/>
        <w:tabs>
          <w:tab w:leader="none" w:pos="925"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All descriptive headings of sections and paragraphs in this Agreement are for convenience of reference only, and they form no part of this Agreement and shall not affect its interpretation.</w:t>
      </w:r>
    </w:p>
    <w:p>
      <w:pPr>
        <w:spacing w:after="0" w:line="149" w:lineRule="exact"/>
        <w:rPr>
          <w:rFonts w:ascii="Arial" w:cs="Arial" w:eastAsia="Arial" w:hAnsi="Arial"/>
          <w:sz w:val="21"/>
          <w:szCs w:val="21"/>
          <w:color w:val="auto"/>
        </w:rPr>
      </w:pPr>
    </w:p>
    <w:p>
      <w:pPr>
        <w:ind w:left="-3" w:right="100" w:firstLine="622"/>
        <w:spacing w:after="0" w:line="233" w:lineRule="auto"/>
        <w:tabs>
          <w:tab w:leader="none" w:pos="925"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shall constitute one and the same instrument.</w:t>
      </w:r>
    </w:p>
    <w:p>
      <w:pPr>
        <w:spacing w:after="0" w:line="149" w:lineRule="exact"/>
        <w:rPr>
          <w:rFonts w:ascii="Arial" w:cs="Arial" w:eastAsia="Arial" w:hAnsi="Arial"/>
          <w:sz w:val="21"/>
          <w:szCs w:val="21"/>
          <w:color w:val="auto"/>
        </w:rPr>
      </w:pPr>
    </w:p>
    <w:p>
      <w:pPr>
        <w:ind w:left="-3" w:firstLine="622"/>
        <w:spacing w:after="0"/>
        <w:tabs>
          <w:tab w:leader="none" w:pos="92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This Agreement is intended to be exempt from or comply with the requirements of Section 409A of the Code and shall in all respects be administered and interpreted in accordance with Section 409A. Notwithstanding any other provision of this Agreement, the Company shall have the right in its sole discretion (without any obligation to do so or to indemnify Holder or any other person for failure to do so) to adopt such amendments to the Plan or this Agreement, or adopt other policies and procedures (including amendments, policies and procedures with retroactive effect), or take any other actions, as the Company determines are necessary or appropriate either for the Units to be exempt from the application of Section 409A or to comply with the requirements of Section 409A. Nothing in this Agreement, shall provide a basis for any person to take action against the Company based on matters covered by Section 409A of the Code, including the tax treatment of any amount paid or Units granted under this Agreement, and the Company shall have no liability to Executive or his or her estate or any other party for any taxes, penalties or interest due on amounts paid or payable under this Agreement, including taxes, penalties or interest imposed under Section 409A. Notwithstanding anything in the Agreement to the contrary, to the extent the Units constitute non-qualified deferred compensation under Section 409A of the Code (“Deferred Compensation”), payment may only be made under the Agreement upon an event or a date and in a manner permitted by Section 409A of the Code. To the extent the Units constitute Deferred Compensation, any payment to be made on the date of, or a date that is by reference of, Executive’s termination of employment under this Agreement shall not be made unless and until Executive experiences a “separation from service” within the meaning of the Code and its corresponding regulations, and if Executive is a “specified employee” within the meaning of the Code and its corresponding regulations shall be made within thirty</w:t>
      </w:r>
    </w:p>
    <w:p>
      <w:pPr>
        <w:spacing w:after="0" w:line="6" w:lineRule="exact"/>
        <w:rPr>
          <w:rFonts w:ascii="Arial" w:cs="Arial" w:eastAsia="Arial" w:hAnsi="Arial"/>
          <w:sz w:val="18"/>
          <w:szCs w:val="18"/>
          <w:color w:val="auto"/>
        </w:rPr>
      </w:pPr>
    </w:p>
    <w:p>
      <w:pPr>
        <w:ind w:left="-3" w:right="260" w:firstLine="3"/>
        <w:spacing w:after="0" w:line="214" w:lineRule="auto"/>
        <w:tabs>
          <w:tab w:leader="none" w:pos="392" w:val="left"/>
        </w:tabs>
        <w:numPr>
          <w:ilvl w:val="0"/>
          <w:numId w:val="27"/>
        </w:numPr>
        <w:rPr>
          <w:rFonts w:ascii="Arial" w:cs="Arial" w:eastAsia="Arial" w:hAnsi="Arial"/>
          <w:sz w:val="21"/>
          <w:szCs w:val="21"/>
          <w:color w:val="auto"/>
        </w:rPr>
      </w:pPr>
      <w:r>
        <w:rPr>
          <w:rFonts w:ascii="Arial" w:cs="Arial" w:eastAsia="Arial" w:hAnsi="Arial"/>
          <w:sz w:val="21"/>
          <w:szCs w:val="21"/>
          <w:color w:val="auto"/>
        </w:rPr>
        <w:t>days following the first business day that occurs immediately following the 6-month period after the date of Executive’s “separation from service.”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384" w:lineRule="exact"/>
        <w:rPr>
          <w:sz w:val="20"/>
          <w:szCs w:val="20"/>
          <w:color w:val="auto"/>
        </w:rPr>
      </w:pPr>
    </w:p>
    <w:p>
      <w:pPr>
        <w:jc w:val="center"/>
        <w:ind w:right="-1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6"/>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37"/>
          </w:cols>
          <w:pgMar w:left="323" w:top="1343" w:right="339" w:bottom="1440" w:gutter="0" w:footer="0" w:header="0"/>
        </w:sectPr>
      </w:pPr>
    </w:p>
    <w:bookmarkStart w:id="57" w:name="page58"/>
    <w:bookmarkEnd w:id="57"/>
    <w:p>
      <w:pPr>
        <w:spacing w:after="0" w:line="233" w:lineRule="auto"/>
        <w:rPr>
          <w:sz w:val="20"/>
          <w:szCs w:val="20"/>
          <w:color w:val="auto"/>
        </w:rPr>
      </w:pPr>
      <w:r>
        <w:rPr>
          <w:rFonts w:ascii="Arial" w:cs="Arial" w:eastAsia="Arial" w:hAnsi="Arial"/>
          <w:sz w:val="21"/>
          <w:szCs w:val="21"/>
          <w:color w:val="auto"/>
        </w:rPr>
        <w:t>IN WITNESS WHEREOF, the parties hereto have executed this Contract Stock / Restricted Units Agreement as of the date first above written.</w:t>
      </w:r>
    </w:p>
    <w:p>
      <w:pPr>
        <w:spacing w:after="0" w:line="376"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By: ___________________________________</w:t>
      </w:r>
    </w:p>
    <w:p>
      <w:pPr>
        <w:ind w:left="3400"/>
        <w:spacing w:after="0" w:line="205" w:lineRule="auto"/>
        <w:rPr>
          <w:sz w:val="20"/>
          <w:szCs w:val="20"/>
          <w:color w:val="auto"/>
        </w:rPr>
      </w:pPr>
      <w:r>
        <w:rPr>
          <w:rFonts w:ascii="Arial" w:cs="Arial" w:eastAsia="Arial" w:hAnsi="Arial"/>
          <w:sz w:val="21"/>
          <w:szCs w:val="21"/>
          <w:color w:val="auto"/>
        </w:rPr>
        <w:t>Name:</w:t>
      </w:r>
    </w:p>
    <w:p>
      <w:pPr>
        <w:ind w:left="34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___________________________________</w:t>
      </w:r>
    </w:p>
    <w:p>
      <w:pPr>
        <w:ind w:left="3400"/>
        <w:spacing w:after="0"/>
        <w:rPr>
          <w:sz w:val="20"/>
          <w:szCs w:val="20"/>
          <w:color w:val="auto"/>
        </w:rPr>
      </w:pPr>
      <w:r>
        <w:rPr>
          <w:rFonts w:ascii="Arial" w:cs="Arial" w:eastAsia="Arial" w:hAnsi="Arial"/>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20"/>
          </w:cols>
          <w:pgMar w:left="320" w:top="1343" w:right="45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 Jan De Witte, certify that:</w:t>
      </w:r>
    </w:p>
    <w:p>
      <w:pPr>
        <w:spacing w:after="0" w:line="114"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Integra LifeSciences Holdings Corporation;</w:t>
      </w:r>
    </w:p>
    <w:p>
      <w:pPr>
        <w:spacing w:after="0" w:line="113" w:lineRule="exact"/>
        <w:rPr>
          <w:rFonts w:ascii="Arial" w:cs="Arial" w:eastAsia="Arial" w:hAnsi="Arial"/>
          <w:sz w:val="17"/>
          <w:szCs w:val="17"/>
          <w:color w:val="auto"/>
        </w:rPr>
      </w:pPr>
    </w:p>
    <w:p>
      <w:pPr>
        <w:ind w:left="620" w:hanging="307"/>
        <w:spacing w:after="0" w:line="349"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hanging="307"/>
        <w:spacing w:after="0" w:line="279"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Arial" w:cs="Arial" w:eastAsia="Arial" w:hAnsi="Arial"/>
          <w:sz w:val="17"/>
          <w:szCs w:val="17"/>
          <w:color w:val="auto"/>
        </w:rPr>
      </w:pPr>
    </w:p>
    <w:p>
      <w:pPr>
        <w:jc w:val="both"/>
        <w:ind w:left="1240" w:hanging="309"/>
        <w:spacing w:after="0" w:line="266" w:lineRule="auto"/>
        <w:tabs>
          <w:tab w:leader="none" w:pos="1237"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jc w:val="both"/>
        <w:ind w:left="1240" w:hanging="309"/>
        <w:spacing w:after="0" w:line="266" w:lineRule="auto"/>
        <w:tabs>
          <w:tab w:leader="none" w:pos="1234"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1240" w:hanging="309"/>
        <w:spacing w:after="0" w:line="312" w:lineRule="auto"/>
        <w:tabs>
          <w:tab w:leader="none" w:pos="12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jc w:val="both"/>
        <w:ind w:left="1240" w:hanging="309"/>
        <w:spacing w:after="0" w:line="266" w:lineRule="auto"/>
        <w:tabs>
          <w:tab w:leader="none" w:pos="1234"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hanging="307"/>
        <w:spacing w:after="0" w:line="279" w:lineRule="auto"/>
        <w:tabs>
          <w:tab w:leader="none" w:pos="68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7"/>
          <w:szCs w:val="17"/>
          <w:color w:val="auto"/>
        </w:rPr>
      </w:pPr>
    </w:p>
    <w:p>
      <w:pPr>
        <w:ind w:left="1240" w:hanging="309"/>
        <w:spacing w:after="0" w:line="279" w:lineRule="auto"/>
        <w:tabs>
          <w:tab w:leader="none" w:pos="1237"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hanging="309"/>
        <w:spacing w:after="0" w:line="279" w:lineRule="auto"/>
        <w:tabs>
          <w:tab w:leader="none" w:pos="123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5020" w:type="dxa"/>
            <w:vAlign w:val="bottom"/>
          </w:tcPr>
          <w:p>
            <w:pPr>
              <w:ind w:left="240"/>
              <w:spacing w:after="0"/>
              <w:rPr>
                <w:sz w:val="20"/>
                <w:szCs w:val="20"/>
                <w:color w:val="auto"/>
              </w:rPr>
            </w:pPr>
            <w:r>
              <w:rPr>
                <w:rFonts w:ascii="Arial" w:cs="Arial" w:eastAsia="Arial" w:hAnsi="Arial"/>
                <w:sz w:val="17"/>
                <w:szCs w:val="17"/>
                <w:color w:val="auto"/>
              </w:rPr>
              <w:t>October 26, 2022</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Jan De Witte</w:t>
            </w:r>
          </w:p>
        </w:tc>
      </w:tr>
      <w:tr>
        <w:trPr>
          <w:trHeight w:val="211"/>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7"/>
                <w:szCs w:val="17"/>
                <w:color w:val="auto"/>
              </w:rPr>
              <w:t>Jan De Witte</w:t>
            </w:r>
          </w:p>
        </w:tc>
      </w:tr>
      <w:tr>
        <w:trPr>
          <w:trHeight w:val="219"/>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7"/>
                <w:szCs w:val="17"/>
                <w:i w:val="1"/>
                <w:iCs w:val="1"/>
                <w:color w:val="auto"/>
              </w:rPr>
              <w:t>President and Chief Executive Officer</w:t>
            </w:r>
          </w:p>
        </w:tc>
      </w:tr>
    </w:tbl>
    <w:p>
      <w:pPr>
        <w:sectPr>
          <w:pgSz w:w="11900" w:h="16838" w:orient="portrait"/>
          <w:cols w:equalWidth="0" w:num="1">
            <w:col w:w="11240"/>
          </w:cols>
          <w:pgMar w:left="320" w:top="85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 Carrie L. Anderson, certify that:</w:t>
      </w:r>
    </w:p>
    <w:p>
      <w:pPr>
        <w:spacing w:after="0" w:line="114"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Integra LifeSciences Holdings Corporation;</w:t>
      </w:r>
    </w:p>
    <w:p>
      <w:pPr>
        <w:spacing w:after="0" w:line="113" w:lineRule="exact"/>
        <w:rPr>
          <w:rFonts w:ascii="Arial" w:cs="Arial" w:eastAsia="Arial" w:hAnsi="Arial"/>
          <w:sz w:val="17"/>
          <w:szCs w:val="17"/>
          <w:color w:val="auto"/>
        </w:rPr>
      </w:pPr>
    </w:p>
    <w:p>
      <w:pPr>
        <w:ind w:left="620" w:hanging="307"/>
        <w:spacing w:after="0" w:line="349" w:lineRule="auto"/>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hanging="307"/>
        <w:spacing w:after="0" w:line="279"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Arial" w:cs="Arial" w:eastAsia="Arial" w:hAnsi="Arial"/>
          <w:sz w:val="17"/>
          <w:szCs w:val="17"/>
          <w:color w:val="auto"/>
        </w:rPr>
      </w:pPr>
    </w:p>
    <w:p>
      <w:pPr>
        <w:jc w:val="both"/>
        <w:ind w:left="1240" w:hanging="309"/>
        <w:spacing w:after="0" w:line="266" w:lineRule="auto"/>
        <w:tabs>
          <w:tab w:leader="none" w:pos="1237"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jc w:val="both"/>
        <w:ind w:left="1240" w:hanging="309"/>
        <w:spacing w:after="0" w:line="266" w:lineRule="auto"/>
        <w:tabs>
          <w:tab w:leader="none" w:pos="1234"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1240" w:hanging="309"/>
        <w:spacing w:after="0" w:line="312" w:lineRule="auto"/>
        <w:tabs>
          <w:tab w:leader="none" w:pos="123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jc w:val="both"/>
        <w:ind w:left="1240" w:hanging="309"/>
        <w:spacing w:after="0" w:line="266" w:lineRule="auto"/>
        <w:tabs>
          <w:tab w:leader="none" w:pos="1234"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hanging="307"/>
        <w:spacing w:after="0" w:line="279" w:lineRule="auto"/>
        <w:tabs>
          <w:tab w:leader="none" w:pos="68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7"/>
          <w:szCs w:val="17"/>
          <w:color w:val="auto"/>
        </w:rPr>
      </w:pPr>
    </w:p>
    <w:p>
      <w:pPr>
        <w:ind w:left="1240" w:hanging="309"/>
        <w:spacing w:after="0" w:line="279" w:lineRule="auto"/>
        <w:tabs>
          <w:tab w:leader="none" w:pos="1237"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hanging="309"/>
        <w:spacing w:after="0" w:line="279" w:lineRule="auto"/>
        <w:tabs>
          <w:tab w:leader="none" w:pos="1234"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5020" w:type="dxa"/>
            <w:vAlign w:val="bottom"/>
          </w:tcPr>
          <w:p>
            <w:pPr>
              <w:ind w:left="240"/>
              <w:spacing w:after="0"/>
              <w:rPr>
                <w:sz w:val="20"/>
                <w:szCs w:val="20"/>
                <w:color w:val="auto"/>
              </w:rPr>
            </w:pPr>
            <w:r>
              <w:rPr>
                <w:rFonts w:ascii="Arial" w:cs="Arial" w:eastAsia="Arial" w:hAnsi="Arial"/>
                <w:sz w:val="17"/>
                <w:szCs w:val="17"/>
                <w:color w:val="auto"/>
              </w:rPr>
              <w:t>October 26, 2022</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Carrie L. Anderson</w:t>
            </w:r>
          </w:p>
        </w:tc>
      </w:tr>
      <w:tr>
        <w:trPr>
          <w:trHeight w:val="211"/>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Carrie L. Anderson</w:t>
            </w:r>
          </w:p>
        </w:tc>
      </w:tr>
      <w:tr>
        <w:trPr>
          <w:trHeight w:val="219"/>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ectPr>
          <w:pgSz w:w="11900" w:h="16838" w:orient="portrait"/>
          <w:cols w:equalWidth="0" w:num="1">
            <w:col w:w="11240"/>
          </w:cols>
          <w:pgMar w:left="320" w:top="85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Jan De Witte, President and Chief Executive Officer of Integra LifeSciences Holdings Corporation (the “Company”), hereby certify that, to my knowledge:</w:t>
      </w:r>
    </w:p>
    <w:p>
      <w:pPr>
        <w:spacing w:after="0" w:line="125" w:lineRule="exact"/>
        <w:rPr>
          <w:sz w:val="20"/>
          <w:szCs w:val="20"/>
          <w:color w:val="auto"/>
        </w:rPr>
      </w:pPr>
    </w:p>
    <w:p>
      <w:pPr>
        <w:ind w:left="620" w:hanging="307"/>
        <w:spacing w:after="0" w:line="279"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2022 (the “Report”) fully complies with the requirement of Section 13(a) or Section 15(d), as applicable, of the Securities Exchange Act of 1934, as amended;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4920" w:type="dxa"/>
            <w:vAlign w:val="bottom"/>
          </w:tcPr>
          <w:p>
            <w:pPr>
              <w:ind w:left="140"/>
              <w:spacing w:after="0"/>
              <w:rPr>
                <w:sz w:val="20"/>
                <w:szCs w:val="20"/>
                <w:color w:val="auto"/>
              </w:rPr>
            </w:pPr>
            <w:r>
              <w:rPr>
                <w:rFonts w:ascii="Arial" w:cs="Arial" w:eastAsia="Arial" w:hAnsi="Arial"/>
                <w:sz w:val="17"/>
                <w:szCs w:val="17"/>
                <w:color w:val="auto"/>
              </w:rPr>
              <w:t>October 26, 2022</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Jan De Witte</w:t>
            </w:r>
          </w:p>
        </w:tc>
      </w:tr>
      <w:tr>
        <w:trPr>
          <w:trHeight w:val="211"/>
        </w:trPr>
        <w:tc>
          <w:tcPr>
            <w:tcW w:w="5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7"/>
                <w:szCs w:val="17"/>
                <w:color w:val="auto"/>
              </w:rPr>
              <w:t>Jan De Witte</w:t>
            </w:r>
          </w:p>
        </w:tc>
      </w:tr>
      <w:tr>
        <w:trPr>
          <w:trHeight w:val="219"/>
        </w:trPr>
        <w:tc>
          <w:tcPr>
            <w:tcW w:w="5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7"/>
                <w:szCs w:val="17"/>
                <w:i w:val="1"/>
                <w:iCs w:val="1"/>
                <w:color w:val="auto"/>
              </w:rPr>
              <w:t>President and Chief Executive Officer</w:t>
            </w:r>
          </w:p>
        </w:tc>
      </w:tr>
    </w:tbl>
    <w:p>
      <w:pPr>
        <w:sectPr>
          <w:pgSz w:w="11900" w:h="16838" w:orient="portrait"/>
          <w:cols w:equalWidth="0" w:num="1">
            <w:col w:w="11240"/>
          </w:cols>
          <w:pgMar w:left="320" w:top="85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5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Carrie L. Anderson, Executive Vice President and Chief Financial Officer of Integra LifeSciences Holdings Corporation (the “Company”), hereby certify that, to my knowledge:</w:t>
      </w:r>
    </w:p>
    <w:p>
      <w:pPr>
        <w:spacing w:after="0" w:line="61" w:lineRule="exact"/>
        <w:rPr>
          <w:sz w:val="20"/>
          <w:szCs w:val="20"/>
          <w:color w:val="auto"/>
        </w:rPr>
      </w:pPr>
    </w:p>
    <w:p>
      <w:pPr>
        <w:ind w:left="620" w:hanging="307"/>
        <w:spacing w:after="0" w:line="279"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2022 (the “Report”) fully complies with the requirement of Section 13(a) or Section 15(d), as applicable, of the Securities Exchange Act of 1934, as amended;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160"/>
              <w:spacing w:after="0"/>
              <w:rPr>
                <w:sz w:val="20"/>
                <w:szCs w:val="20"/>
                <w:color w:val="auto"/>
              </w:rPr>
            </w:pPr>
            <w:r>
              <w:rPr>
                <w:rFonts w:ascii="Arial" w:cs="Arial" w:eastAsia="Arial" w:hAnsi="Arial"/>
                <w:sz w:val="17"/>
                <w:szCs w:val="17"/>
                <w:color w:val="auto"/>
              </w:rPr>
              <w:t>October 26, 2022</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Carrie L. Anderson</w:t>
            </w:r>
          </w:p>
        </w:tc>
      </w:tr>
      <w:tr>
        <w:trPr>
          <w:trHeight w:val="211"/>
        </w:trPr>
        <w:tc>
          <w:tcPr>
            <w:tcW w:w="5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Carrie L. Anderson</w:t>
            </w:r>
          </w:p>
        </w:tc>
      </w:tr>
      <w:tr>
        <w:trPr>
          <w:trHeight w:val="219"/>
        </w:trPr>
        <w:tc>
          <w:tcPr>
            <w:tcW w:w="5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Roman"/>
      <w:start w:val="1"/>
    </w:lvl>
    <w:lvl w:ilvl="1">
      <w:lvlJc w:val="left"/>
      <w:lvlText w:val="%2."/>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upperLetter"/>
      <w:start w:val="46"/>
    </w:lvl>
  </w:abstractNum>
  <w:abstractNum w:abstractNumId="10">
    <w:nsid w:val="628C895D"/>
    <w:multiLevelType w:val="hybridMultilevel"/>
    <w:lvl w:ilvl="0">
      <w:lvlJc w:val="left"/>
      <w:lvlText w:val="%1"/>
      <w:numFmt w:val="upperLetter"/>
      <w:start w:val="46"/>
    </w:lvl>
  </w:abstractNum>
  <w:abstractNum w:abstractNumId="11">
    <w:nsid w:val="333AB105"/>
    <w:multiLevelType w:val="hybridMultilevel"/>
    <w:lvl w:ilvl="0">
      <w:lvlJc w:val="left"/>
      <w:lvlText w:val="*"/>
      <w:numFmt w:val="bullet"/>
      <w:start w:val="1"/>
    </w:lvl>
    <w:lvl w:ilvl="1">
      <w:lvlJc w:val="left"/>
      <w:lvlText w:val="%2"/>
      <w:numFmt w:val="decimal"/>
      <w:start w:val="104"/>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67638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6">
    <w:nsid w:val="75A2A8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4"/>
    </w:lvl>
    <w:lvl w:ilvl="3">
      <w:lvlJc w:val="left"/>
      <w:lvlText w:val="%4"/>
      <w:numFmt w:val="lowerRoman"/>
      <w:start w:val="1"/>
    </w:lvl>
  </w:abstractNum>
  <w:abstractNum w:abstractNumId="17">
    <w:nsid w:val="8EDBDA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Roman"/>
      <w:start w:val="1"/>
    </w:lvl>
  </w:abstractNum>
  <w:abstractNum w:abstractNumId="18">
    <w:nsid w:val="79838CB2"/>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9">
    <w:nsid w:val="4353D0CD"/>
    <w:multiLevelType w:val="hybridMultilevel"/>
    <w:lvl w:ilvl="0">
      <w:lvlJc w:val="left"/>
      <w:lvlText w:val="%1"/>
      <w:numFmt w:val="lowerLetter"/>
      <w:start w:val="1"/>
    </w:lvl>
    <w:lvl w:ilvl="1">
      <w:lvlJc w:val="left"/>
      <w:lvlText w:val="(%2)"/>
      <w:numFmt w:val="lowerLetter"/>
      <w:start w:val="2"/>
    </w:lvl>
  </w:abstractNum>
  <w:abstractNum w:abstractNumId="20">
    <w:nsid w:val="B03E0C6"/>
    <w:multiLevelType w:val="hybridMultilevel"/>
    <w:lvl w:ilvl="0">
      <w:lvlJc w:val="left"/>
      <w:lvlText w:val="(%1)"/>
      <w:numFmt w:val="lowerLetter"/>
      <w:start w:val="4"/>
    </w:lvl>
    <w:lvl w:ilvl="1">
      <w:lvlJc w:val="left"/>
      <w:lvlText w:val="%2"/>
      <w:numFmt w:val="low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6"/>
    </w:lvl>
  </w:abstractNum>
  <w:abstractNum w:abstractNumId="22">
    <w:nsid w:val="54E49EB4"/>
    <w:multiLevelType w:val="hybridMultilevel"/>
    <w:lvl w:ilvl="0">
      <w:lvlJc w:val="left"/>
      <w:lvlText w:val="%1."/>
      <w:numFmt w:val="decimal"/>
      <w:start w:val="7"/>
    </w:lvl>
    <w:lvl w:ilvl="1">
      <w:lvlJc w:val="left"/>
      <w:lvlText w:val="%2"/>
      <w:numFmt w:val="lowerLetter"/>
      <w:start w:val="1"/>
    </w:lvl>
  </w:abstractNum>
  <w:abstractNum w:abstractNumId="23">
    <w:nsid w:val="71F32454"/>
    <w:multiLevelType w:val="hybridMultilevel"/>
    <w:lvl w:ilvl="0">
      <w:lvlJc w:val="left"/>
      <w:lvlText w:val="%1."/>
      <w:numFmt w:val="decimal"/>
      <w:start w:val="12"/>
    </w:lvl>
  </w:abstractNum>
  <w:abstractNum w:abstractNumId="24">
    <w:nsid w:val="2CA88611"/>
    <w:multiLevelType w:val="hybridMultilevel"/>
    <w:lvl w:ilvl="0">
      <w:lvlJc w:val="left"/>
      <w:lvlText w:val="%1."/>
      <w:numFmt w:val="decimal"/>
      <w:start w:val="14"/>
    </w:lvl>
  </w:abstractNum>
  <w:abstractNum w:abstractNumId="25">
    <w:nsid w:val="836C40E"/>
    <w:multiLevelType w:val="hybridMultilevel"/>
    <w:lvl w:ilvl="0">
      <w:lvlJc w:val="left"/>
      <w:lvlText w:val="%1"/>
      <w:numFmt w:val="decimal"/>
      <w:start w:val="1"/>
    </w:lvl>
    <w:lvl w:ilvl="1">
      <w:lvlJc w:val="left"/>
      <w:lvlText w:val="%2."/>
      <w:numFmt w:val="decimal"/>
      <w:start w:val="18"/>
    </w:lvl>
  </w:abstractNum>
  <w:abstractNum w:abstractNumId="26">
    <w:nsid w:val="2901D82"/>
    <w:multiLevelType w:val="hybridMultilevel"/>
    <w:lvl w:ilvl="0">
      <w:lvlJc w:val="left"/>
      <w:lvlText w:val="(%1)"/>
      <w:numFmt w:val="decimal"/>
      <w:start w:val="30"/>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88" Type="http://schemas.openxmlformats.org/officeDocument/2006/relationships/hyperlink" Target="https://www.sec.gov/Archives/edgar/data/917520/000091752022000044/integra_separationagreemen.htm" TargetMode="External"/><Relationship Id="rId89" Type="http://schemas.openxmlformats.org/officeDocument/2006/relationships/hyperlink" Target="https://www.sec.gov/Archives/edgar/data/917520/000091752022000029/ex101indemnific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2022-10-26T15:55:23Z</dcterms:created>
  <dcterms:modified xsi:type="dcterms:W3CDTF">2022-10-26T15:55:23Z</dcterms:modified>
</cp:coreProperties>
</file>