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460" w:right="85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4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jc w:val="right"/>
              <w:ind w:right="1690"/>
              <w:spacing w:after="0"/>
              <w:rPr>
                <w:sz w:val="20"/>
                <w:szCs w:val="20"/>
                <w:color w:val="auto"/>
              </w:rPr>
            </w:pPr>
            <w:r>
              <w:rPr>
                <w:rFonts w:ascii="Arial" w:cs="Arial" w:eastAsia="Arial" w:hAnsi="Arial"/>
                <w:sz w:val="18"/>
                <w:szCs w:val="18"/>
                <w:b w:val="1"/>
                <w:bCs w:val="1"/>
                <w:color w:val="auto"/>
              </w:rPr>
              <w:t>51-0317849</w:t>
            </w:r>
          </w:p>
        </w:tc>
      </w:tr>
      <w:tr>
        <w:trPr>
          <w:trHeight w:val="216"/>
        </w:trPr>
        <w:tc>
          <w:tcPr>
            <w:tcW w:w="5400" w:type="dxa"/>
            <w:vAlign w:val="bottom"/>
            <w:gridSpan w:val="3"/>
          </w:tcPr>
          <w:p>
            <w:pPr>
              <w:jc w:val="center"/>
              <w:ind w:right="1020"/>
              <w:spacing w:after="0"/>
              <w:rPr>
                <w:sz w:val="20"/>
                <w:szCs w:val="20"/>
                <w:color w:val="auto"/>
              </w:rPr>
            </w:pPr>
            <w:r>
              <w:rPr>
                <w:rFonts w:ascii="Arial" w:cs="Arial" w:eastAsia="Arial" w:hAnsi="Arial"/>
                <w:sz w:val="18"/>
                <w:szCs w:val="18"/>
                <w:i w:val="1"/>
                <w:iCs w:val="1"/>
                <w:color w:val="auto"/>
                <w:w w:val="91"/>
              </w:rPr>
              <w:t>(STATE OR OTHER JURISDICTION OF</w:t>
            </w:r>
          </w:p>
        </w:tc>
        <w:tc>
          <w:tcPr>
            <w:tcW w:w="3920" w:type="dxa"/>
            <w:vAlign w:val="bottom"/>
          </w:tcPr>
          <w:p>
            <w:pPr>
              <w:jc w:val="center"/>
              <w:ind w:right="4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5400" w:type="dxa"/>
            <w:vAlign w:val="bottom"/>
            <w:gridSpan w:val="3"/>
          </w:tcPr>
          <w:p>
            <w:pPr>
              <w:jc w:val="center"/>
              <w:ind w:right="980"/>
              <w:spacing w:after="0"/>
              <w:rPr>
                <w:sz w:val="20"/>
                <w:szCs w:val="20"/>
                <w:color w:val="auto"/>
              </w:rPr>
            </w:pPr>
            <w:r>
              <w:rPr>
                <w:rFonts w:ascii="Arial" w:cs="Arial" w:eastAsia="Arial" w:hAnsi="Arial"/>
                <w:sz w:val="18"/>
                <w:szCs w:val="18"/>
                <w:i w:val="1"/>
                <w:iCs w:val="1"/>
                <w:color w:val="auto"/>
                <w:w w:val="92"/>
              </w:rPr>
              <w:t>INCORPORATION OR ORGANIZATION)</w:t>
            </w:r>
          </w:p>
        </w:tc>
        <w:tc>
          <w:tcPr>
            <w:tcW w:w="3920" w:type="dxa"/>
            <w:vAlign w:val="bottom"/>
          </w:tcPr>
          <w:p>
            <w:pPr>
              <w:jc w:val="center"/>
              <w:ind w:right="4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54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8"/>
              </w:rPr>
              <w:t>311 ENTERPRISE DRIVE</w:t>
            </w:r>
          </w:p>
        </w:tc>
        <w:tc>
          <w:tcPr>
            <w:tcW w:w="3920" w:type="dxa"/>
            <w:vAlign w:val="bottom"/>
          </w:tcPr>
          <w:p>
            <w:pPr>
              <w:spacing w:after="0"/>
              <w:rPr>
                <w:sz w:val="24"/>
                <w:szCs w:val="24"/>
                <w:color w:val="auto"/>
              </w:rPr>
            </w:pPr>
          </w:p>
        </w:tc>
      </w:tr>
      <w:tr>
        <w:trPr>
          <w:trHeight w:val="220"/>
        </w:trPr>
        <w:tc>
          <w:tcPr>
            <w:tcW w:w="54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9"/>
              </w:rPr>
              <w:t>PLAINSBORO, NEW JERSEY</w:t>
            </w:r>
          </w:p>
        </w:tc>
        <w:tc>
          <w:tcPr>
            <w:tcW w:w="3920" w:type="dxa"/>
            <w:vAlign w:val="bottom"/>
          </w:tcPr>
          <w:p>
            <w:pPr>
              <w:jc w:val="right"/>
              <w:ind w:right="1910"/>
              <w:spacing w:after="0"/>
              <w:rPr>
                <w:sz w:val="20"/>
                <w:szCs w:val="20"/>
                <w:color w:val="auto"/>
              </w:rPr>
            </w:pPr>
            <w:r>
              <w:rPr>
                <w:rFonts w:ascii="Arial" w:cs="Arial" w:eastAsia="Arial" w:hAnsi="Arial"/>
                <w:sz w:val="18"/>
                <w:szCs w:val="18"/>
                <w:b w:val="1"/>
                <w:bCs w:val="1"/>
                <w:color w:val="auto"/>
              </w:rPr>
              <w:t>08536</w:t>
            </w:r>
          </w:p>
        </w:tc>
      </w:tr>
      <w:tr>
        <w:trPr>
          <w:trHeight w:val="230"/>
        </w:trPr>
        <w:tc>
          <w:tcPr>
            <w:tcW w:w="5400" w:type="dxa"/>
            <w:vAlign w:val="bottom"/>
            <w:gridSpan w:val="3"/>
          </w:tcPr>
          <w:p>
            <w:pPr>
              <w:jc w:val="center"/>
              <w:ind w:right="980"/>
              <w:spacing w:after="0"/>
              <w:rPr>
                <w:sz w:val="20"/>
                <w:szCs w:val="20"/>
                <w:color w:val="auto"/>
              </w:rPr>
            </w:pPr>
            <w:r>
              <w:rPr>
                <w:rFonts w:ascii="Arial" w:cs="Arial" w:eastAsia="Arial" w:hAnsi="Arial"/>
                <w:sz w:val="18"/>
                <w:szCs w:val="18"/>
                <w:i w:val="1"/>
                <w:iCs w:val="1"/>
                <w:color w:val="auto"/>
                <w:w w:val="92"/>
              </w:rPr>
              <w:t>(ADDRESS OF PRINCIPAL EXECUTIVE OFFICES)</w:t>
            </w:r>
          </w:p>
        </w:tc>
        <w:tc>
          <w:tcPr>
            <w:tcW w:w="3920" w:type="dxa"/>
            <w:vAlign w:val="bottom"/>
          </w:tcPr>
          <w:p>
            <w:pPr>
              <w:jc w:val="center"/>
              <w:ind w:right="430"/>
              <w:spacing w:after="0"/>
              <w:rPr>
                <w:sz w:val="20"/>
                <w:szCs w:val="20"/>
                <w:color w:val="auto"/>
              </w:rPr>
            </w:pPr>
            <w:r>
              <w:rPr>
                <w:rFonts w:ascii="Arial" w:cs="Arial" w:eastAsia="Arial" w:hAnsi="Arial"/>
                <w:sz w:val="18"/>
                <w:szCs w:val="18"/>
                <w:i w:val="1"/>
                <w:iCs w:val="1"/>
                <w:color w:val="auto"/>
                <w:w w:val="94"/>
              </w:rPr>
              <w:t>(ZIP CODE)</w:t>
            </w:r>
          </w:p>
        </w:tc>
      </w:tr>
      <w:tr>
        <w:trPr>
          <w:trHeight w:val="387"/>
        </w:trPr>
        <w:tc>
          <w:tcPr>
            <w:tcW w:w="9320" w:type="dxa"/>
            <w:vAlign w:val="bottom"/>
            <w:gridSpan w:val="4"/>
          </w:tcPr>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tc>
      </w:tr>
      <w:tr>
        <w:trPr>
          <w:trHeight w:val="234"/>
        </w:trPr>
        <w:tc>
          <w:tcPr>
            <w:tcW w:w="5400" w:type="dxa"/>
            <w:vAlign w:val="bottom"/>
            <w:gridSpan w:val="3"/>
          </w:tcPr>
          <w:p>
            <w:pPr>
              <w:jc w:val="center"/>
              <w:ind w:left="3830"/>
              <w:spacing w:after="0"/>
              <w:rPr>
                <w:sz w:val="20"/>
                <w:szCs w:val="20"/>
                <w:color w:val="auto"/>
              </w:rPr>
            </w:pPr>
            <w:r>
              <w:rPr>
                <w:rFonts w:ascii="Arial" w:cs="Arial" w:eastAsia="Arial" w:hAnsi="Arial"/>
                <w:sz w:val="18"/>
                <w:szCs w:val="18"/>
                <w:b w:val="1"/>
                <w:bCs w:val="1"/>
                <w:color w:val="auto"/>
                <w:w w:val="90"/>
              </w:rPr>
              <w:t>(609) 275-0500</w:t>
            </w:r>
          </w:p>
        </w:tc>
        <w:tc>
          <w:tcPr>
            <w:tcW w:w="3920" w:type="dxa"/>
            <w:vAlign w:val="bottom"/>
          </w:tcPr>
          <w:p>
            <w:pPr>
              <w:spacing w:after="0"/>
              <w:rPr>
                <w:sz w:val="20"/>
                <w:szCs w:val="20"/>
                <w:color w:val="auto"/>
              </w:rPr>
            </w:pPr>
          </w:p>
        </w:tc>
      </w:tr>
      <w:tr>
        <w:trPr>
          <w:trHeight w:val="432"/>
        </w:trPr>
        <w:tc>
          <w:tcPr>
            <w:tcW w:w="93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432"/>
        </w:trPr>
        <w:tc>
          <w:tcPr>
            <w:tcW w:w="540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9"/>
              </w:rPr>
              <w:t>Title of Each Class</w:t>
            </w:r>
          </w:p>
        </w:tc>
        <w:tc>
          <w:tcPr>
            <w:tcW w:w="392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$.01 Per Share</w:t>
            </w:r>
          </w:p>
        </w:tc>
        <w:tc>
          <w:tcPr>
            <w:tcW w:w="4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2"/>
              </w:rPr>
              <w:t>The Nasdaq Stock Market LLC</w:t>
            </w:r>
          </w:p>
        </w:tc>
      </w:tr>
    </w:tbl>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31" w:gutter="0" w:footer="0" w:header="0"/>
        </w:sectPr>
      </w:pPr>
    </w:p>
    <w:p>
      <w:pPr>
        <w:spacing w:after="0" w:line="149"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180" w:space="300"/>
            <w:col w:w="1340" w:space="260"/>
            <w:col w:w="3340" w:space="140"/>
            <w:col w:w="2659"/>
          </w:cols>
          <w:pgMar w:left="240" w:top="122" w:right="1440" w:bottom="131" w:gutter="0" w:footer="0" w:header="0"/>
          <w:type w:val="continuous"/>
        </w:sectPr>
      </w:pPr>
    </w:p>
    <w:p>
      <w:pPr>
        <w:jc w:val="both"/>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As of June 30, 2008, the aggregate market value of the registrant’s common stock held by non-affiliates was approximately $859.9 million based upon the closing sales price of the registrant’s common stock on The Nasdaq Global Market on such date. The number of shares of the registrant’s Common Stock outstanding as of February 25, 2009 was 28,142,997.</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0219"/>
          </w:cols>
          <w:pgMar w:left="240" w:top="122" w:right="1440" w:bottom="131" w:gutter="0" w:footer="0" w:header="0"/>
          <w:type w:val="continuous"/>
        </w:sectPr>
      </w:pPr>
    </w:p>
    <w:bookmarkStart w:id="2" w:name="page3"/>
    <w:bookmarkEnd w:id="2"/>
    <w:p>
      <w:pPr>
        <w:ind w:right="559" w:firstLine="373"/>
        <w:spacing w:after="0" w:line="277" w:lineRule="auto"/>
        <w:rPr>
          <w:sz w:val="20"/>
          <w:szCs w:val="20"/>
          <w:color w:val="auto"/>
        </w:rPr>
      </w:pPr>
      <w:r>
        <w:rPr>
          <w:rFonts w:ascii="Arial" w:cs="Arial" w:eastAsia="Arial" w:hAnsi="Arial"/>
          <w:sz w:val="18"/>
          <w:szCs w:val="18"/>
          <w:color w:val="auto"/>
        </w:rPr>
        <w:t>Certain portions of the registrant’s definitive proxy statement relating to its scheduled May 20, 2009 Annual Meeting of Stockholders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784225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gridSpan w:val="15"/>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3720" w:type="dxa"/>
            <w:vAlign w:val="bottom"/>
            <w:gridSpan w:val="8"/>
            <w:vMerge w:val="restart"/>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vMerge w:val="continue"/>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1B. Unresolved Staff Comments</w:t>
              </w:r>
            </w:hyperlink>
          </w:p>
        </w:tc>
        <w:tc>
          <w:tcPr>
            <w:tcW w:w="59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2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2. Properties</w:t>
              </w:r>
            </w:hyperlink>
          </w:p>
        </w:tc>
        <w:tc>
          <w:tcPr>
            <w:tcW w:w="740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Submission of Matters to a Vote of Security Holders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340" w:type="dxa"/>
            <w:vAlign w:val="bottom"/>
            <w:gridSpan w:val="10"/>
          </w:tcPr>
          <w:p>
            <w:pPr>
              <w:jc w:val="center"/>
              <w:ind w:right="370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5. Market for Registrant’s Common Equity, Related Stockholder Matters and Issuer Purchases of Equity</w:t>
              </w:r>
            </w:hyperlink>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2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6. Selected Financial Data</w:t>
              </w:r>
            </w:hyperlink>
          </w:p>
        </w:tc>
        <w:tc>
          <w:tcPr>
            <w:tcW w:w="642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7. 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06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Item 7A. Quantitative and Qualitative Disclosures About Market Risk</w:t>
              </w:r>
            </w:hyperlink>
          </w:p>
        </w:tc>
        <w:tc>
          <w:tcPr>
            <w:tcW w:w="1940" w:type="dxa"/>
            <w:vAlign w:val="bottom"/>
            <w:tcBorders>
              <w:top w:val="single" w:sz="8" w:color="0000EE"/>
            </w:tcBorders>
          </w:tcPr>
          <w:p>
            <w:pPr>
              <w:spacing w:after="0"/>
              <w:rPr>
                <w:sz w:val="24"/>
                <w:szCs w:val="24"/>
                <w:color w:val="auto"/>
              </w:rPr>
            </w:pPr>
          </w:p>
        </w:tc>
        <w:tc>
          <w:tcPr>
            <w:tcW w:w="16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38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8. Financial Statements and Supplementary Data</w:t>
              </w:r>
            </w:hyperlink>
          </w:p>
        </w:tc>
        <w:tc>
          <w:tcPr>
            <w:tcW w:w="48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868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9. 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9A. Controls and Procedures</w:t>
              </w:r>
            </w:hyperlink>
          </w:p>
        </w:tc>
        <w:tc>
          <w:tcPr>
            <w:tcW w:w="16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2440" w:type="dxa"/>
            <w:vAlign w:val="bottom"/>
            <w:tcBorders>
              <w:top w:val="single" w:sz="8" w:color="0000EE"/>
            </w:tcBorders>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9B. Other Information</w:t>
              </w:r>
            </w:hyperlink>
          </w:p>
        </w:tc>
        <w:tc>
          <w:tcPr>
            <w:tcW w:w="624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364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gridSpan w:val="28"/>
          </w:tcPr>
          <w:p>
            <w:pPr>
              <w:spacing w:after="0"/>
              <w:rPr>
                <w:sz w:val="20"/>
                <w:szCs w:val="20"/>
                <w:color w:val="auto"/>
              </w:rPr>
            </w:pPr>
            <w:r>
              <w:rPr>
                <w:rFonts w:ascii="Arial" w:cs="Arial" w:eastAsia="Arial" w:hAnsi="Arial"/>
                <w:sz w:val="18"/>
                <w:szCs w:val="18"/>
                <w:color w:val="auto"/>
              </w:rPr>
              <w:t>Item 10. Directors, Executive Officers and Corporate Governance</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8680" w:type="dxa"/>
            <w:vAlign w:val="bottom"/>
            <w:gridSpan w:val="28"/>
          </w:tcPr>
          <w:p>
            <w:pPr>
              <w:spacing w:after="0"/>
              <w:rPr>
                <w:sz w:val="20"/>
                <w:szCs w:val="20"/>
                <w:color w:val="auto"/>
              </w:rPr>
            </w:pPr>
            <w:r>
              <w:rPr>
                <w:rFonts w:ascii="Arial" w:cs="Arial" w:eastAsia="Arial" w:hAnsi="Arial"/>
                <w:sz w:val="18"/>
                <w:szCs w:val="18"/>
                <w:color w:val="auto"/>
              </w:rPr>
              <w:t>Item 11. Executive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8680" w:type="dxa"/>
            <w:vAlign w:val="bottom"/>
            <w:gridSpan w:val="28"/>
          </w:tcPr>
          <w:p>
            <w:pPr>
              <w:spacing w:after="0"/>
              <w:rPr>
                <w:sz w:val="20"/>
                <w:szCs w:val="20"/>
                <w:color w:val="auto"/>
              </w:rPr>
            </w:pPr>
            <w:r>
              <w:rPr>
                <w:rFonts w:ascii="Arial" w:cs="Arial" w:eastAsia="Arial" w:hAnsi="Arial"/>
                <w:sz w:val="18"/>
                <w:szCs w:val="18"/>
                <w:color w:val="auto"/>
                <w:w w:val="99"/>
              </w:rPr>
              <w:t>Item 12. Security Ownership of Certain Beneficial Owners and Management and Related Stockholder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8680" w:type="dxa"/>
            <w:vAlign w:val="bottom"/>
            <w:gridSpan w:val="28"/>
          </w:tcPr>
          <w:p>
            <w:pPr>
              <w:spacing w:after="0"/>
              <w:rPr>
                <w:sz w:val="20"/>
                <w:szCs w:val="20"/>
                <w:color w:val="auto"/>
              </w:rPr>
            </w:pPr>
            <w:r>
              <w:rPr>
                <w:rFonts w:ascii="Arial" w:cs="Arial" w:eastAsia="Arial" w:hAnsi="Arial"/>
                <w:sz w:val="18"/>
                <w:szCs w:val="18"/>
                <w:color w:val="auto"/>
              </w:rPr>
              <w:t>Item 13. Certain Relationships, Related Transactions, and Director Independence</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2"/>
        </w:trPr>
        <w:tc>
          <w:tcPr>
            <w:tcW w:w="8680" w:type="dxa"/>
            <w:vAlign w:val="bottom"/>
            <w:gridSpan w:val="28"/>
          </w:tcPr>
          <w:p>
            <w:pPr>
              <w:spacing w:after="0"/>
              <w:rPr>
                <w:sz w:val="20"/>
                <w:szCs w:val="20"/>
                <w:color w:val="auto"/>
              </w:rPr>
            </w:pPr>
            <w:r>
              <w:rPr>
                <w:rFonts w:ascii="Arial" w:cs="Arial" w:eastAsia="Arial" w:hAnsi="Arial"/>
                <w:sz w:val="18"/>
                <w:szCs w:val="18"/>
                <w:color w:val="auto"/>
              </w:rPr>
              <w:t>Item 14. Principal Accountant Fees and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80" w:type="dxa"/>
            <w:vAlign w:val="bottom"/>
            <w:gridSpan w:val="12"/>
          </w:tcPr>
          <w:p>
            <w:pPr>
              <w:jc w:val="center"/>
              <w:ind w:right="366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IV</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Item 15. Exhibit and Financial Statements Schedules</w:t>
              </w:r>
            </w:hyperlink>
          </w:p>
        </w:tc>
        <w:tc>
          <w:tcPr>
            <w:tcW w:w="520" w:type="dxa"/>
            <w:vAlign w:val="bottom"/>
            <w:gridSpan w:val="3"/>
          </w:tcPr>
          <w:p>
            <w:pPr>
              <w:spacing w:after="0"/>
              <w:rPr>
                <w:sz w:val="24"/>
                <w:szCs w:val="24"/>
                <w:color w:val="auto"/>
              </w:rPr>
            </w:pPr>
          </w:p>
        </w:tc>
        <w:tc>
          <w:tcPr>
            <w:tcW w:w="700" w:type="dxa"/>
            <w:vAlign w:val="bottom"/>
            <w:tcBorders>
              <w:top w:val="single" w:sz="8" w:color="0000EE"/>
            </w:tcBorders>
            <w:gridSpan w:val="5"/>
          </w:tcPr>
          <w:p>
            <w:pPr>
              <w:spacing w:after="0"/>
              <w:rPr>
                <w:sz w:val="24"/>
                <w:szCs w:val="24"/>
                <w:color w:val="auto"/>
              </w:rPr>
            </w:pPr>
          </w:p>
        </w:tc>
        <w:tc>
          <w:tcPr>
            <w:tcW w:w="36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792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 21</w:t>
            </w:r>
          </w:p>
        </w:tc>
        <w:tc>
          <w:tcPr>
            <w:tcW w:w="7900" w:type="dxa"/>
            <w:vAlign w:val="bottom"/>
            <w:gridSpan w:val="2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Integra, headquartered in Plainsboro, New Jersey, is a world leader in regenerative medicine. We employ over 2,800 people around the world who are dedicated to improving patient quality of life through the development, manufacturing and marketing of clinically relevant, innovative, and cost-effective surgical implants and medical instruments. Our products are used to treat millions of patients every year, primarily in neurosurgery, orthopedics and general surgery. Revenues grew to $654.6 million in 2008, an increase of 19% from $550.5 million in 2007.</w:t>
      </w:r>
    </w:p>
    <w:p>
      <w:pPr>
        <w:spacing w:after="0" w:line="14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Founded in 1989, Integra has grown to be a leader in developing medical devices, particularly for neurosurgery, spinal surgery, and extremity reconstruction, and is one of the largest surgical instrument companies in the United States.</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had several developments in 2008 that we expect will contribute to growing our business in the foreseeable future.</w:t>
      </w:r>
    </w:p>
    <w:p>
      <w:pPr>
        <w:spacing w:after="0" w:line="2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August 2008, we acquired Theken Spine, LLC, Theken Disc, LLC and Therics, LLC (collectively, “Theken”), based in Akron, Ohio. Theken specializes in pioneering spinal implant technologies that seek to improve spinal surgical techniques, thereby benefiting patients as well as surgeons. Theken provides comprehensive product lines that offer steadfast product reliability and easy-to-use instrumentation. Products include cervical plates, pedicle screws, spacers, degenerative/deformity products, trauma devices, and synthetic bone substitute products. Theken Disc is a development stage company focused on next generation artificial disc replacement technology. We have begun marketing Theken’s products as Integra Spine, which will align the spinal implant business more closely with the Integra corporate brand and build on our mutual strengths.</w:t>
      </w:r>
    </w:p>
    <w:p>
      <w:pPr>
        <w:spacing w:after="0" w:line="12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November 2008, we acquired our longstanding Australia and New Zealand distributors, which will provide us with both direct access to these markets and the ability to provide enhanced service and support in Southeast Asia.</w:t>
      </w:r>
    </w:p>
    <w:p>
      <w:pPr>
        <w:spacing w:after="0" w:line="13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December 2008, we acquired Minnesota Scientific, Inc., which does business as Omni-Tract Surgical (“Omni-Tract”), based in St. Paul, Minnesota. It is a global leader in the development and manufacture of table-mounted retractors and sells these systems for use in vascular, bariatric, general, urologic, orthopedic, spine, pediatric and laparoscopic surgery. We will integrate Omni-Tract’s retractor products into our other lines of surgical instruments and illumination systems sold by the Integra Surgical sales team.</w:t>
      </w:r>
    </w:p>
    <w:p>
      <w:pPr>
        <w:spacing w:after="0" w:line="161"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In the third quarter of 2008, we revised the presentation of our revenue results to reflect the markets into which we sell our products: neurosciences, orthopedics and medical instruments. These replace the previously reported revenue categories.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STRATEGY</w:t>
      </w:r>
    </w:p>
    <w:p>
      <w:pPr>
        <w:spacing w:after="0" w:line="189"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Our goal is to become a global leader in the development, manufacturing and marketing of medical devices, implants and instruments for surgery, particularly neurosurgery, spine surgery, and orthopedics. Key elements of our strategy include:</w:t>
      </w:r>
    </w:p>
    <w:p>
      <w:pPr>
        <w:spacing w:after="0" w:line="97" w:lineRule="exact"/>
        <w:rPr>
          <w:sz w:val="20"/>
          <w:szCs w:val="20"/>
          <w:color w:val="auto"/>
        </w:rPr>
      </w:pPr>
    </w:p>
    <w:p>
      <w:pPr>
        <w:jc w:val="both"/>
        <w:ind w:left="700" w:right="559" w:firstLine="358"/>
        <w:spacing w:after="0" w:line="277" w:lineRule="auto"/>
        <w:rPr>
          <w:sz w:val="20"/>
          <w:szCs w:val="20"/>
          <w:color w:val="auto"/>
        </w:rPr>
      </w:pPr>
      <w:r>
        <w:rPr>
          <w:rFonts w:ascii="Arial" w:cs="Arial" w:eastAsia="Arial" w:hAnsi="Arial"/>
          <w:sz w:val="18"/>
          <w:szCs w:val="18"/>
          <w:i w:val="1"/>
          <w:iCs w:val="1"/>
          <w:color w:val="auto"/>
        </w:rPr>
        <w:t xml:space="preserve">Marketing innovative medical devices in underserved markets. </w:t>
      </w:r>
      <w:r>
        <w:rPr>
          <w:rFonts w:ascii="Arial" w:cs="Arial" w:eastAsia="Arial" w:hAnsi="Arial"/>
          <w:sz w:val="18"/>
          <w:szCs w:val="18"/>
          <w:color w:val="auto"/>
        </w:rPr>
        <w:t>We develop innovative medical devices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neurosurgery, spine surgery, extremity reconstructive surgery and general surgery.</w:t>
      </w:r>
    </w:p>
    <w:p>
      <w:pPr>
        <w:spacing w:after="0" w:line="130" w:lineRule="exact"/>
        <w:rPr>
          <w:sz w:val="20"/>
          <w:szCs w:val="20"/>
          <w:color w:val="auto"/>
        </w:rPr>
      </w:pPr>
    </w:p>
    <w:p>
      <w:pPr>
        <w:jc w:val="both"/>
        <w:ind w:left="700" w:right="559" w:firstLine="358"/>
        <w:spacing w:after="0" w:line="297" w:lineRule="auto"/>
        <w:rPr>
          <w:sz w:val="20"/>
          <w:szCs w:val="20"/>
          <w:color w:val="auto"/>
        </w:rPr>
      </w:pPr>
      <w:r>
        <w:rPr>
          <w:rFonts w:ascii="Arial" w:cs="Arial" w:eastAsia="Arial" w:hAnsi="Arial"/>
          <w:sz w:val="16"/>
          <w:szCs w:val="16"/>
          <w:i w:val="1"/>
          <w:iCs w:val="1"/>
          <w:color w:val="auto"/>
        </w:rPr>
        <w:t xml:space="preserve">Investing in sales distribution channels to increase market penetration. </w:t>
      </w:r>
      <w:r>
        <w:rPr>
          <w:rFonts w:ascii="Arial" w:cs="Arial" w:eastAsia="Arial" w:hAnsi="Arial"/>
          <w:sz w:val="16"/>
          <w:szCs w:val="16"/>
          <w:color w:val="auto"/>
        </w:rPr>
        <w:t>We have built a large neurosurgical sales team</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150 sales professionals in the U.S. who sell products to operating rooms and intensive care units. We have also built one of the largest direct extremity reconstruction sales forces of approximately 90 sales professionals in the U.S. Our European sales force consists of approximately 75 professionals, our Canadian sales force consists of approximately 10 professionals, and our newly acquired New Zealand and Australia sales force consists of approximately 5 professionals.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559" w:firstLine="358"/>
        <w:spacing w:after="0" w:line="279" w:lineRule="auto"/>
        <w:rPr>
          <w:sz w:val="20"/>
          <w:szCs w:val="20"/>
          <w:color w:val="auto"/>
        </w:rPr>
      </w:pPr>
      <w:r>
        <w:rPr>
          <w:rFonts w:ascii="Arial" w:cs="Arial" w:eastAsia="Arial" w:hAnsi="Arial"/>
          <w:sz w:val="17"/>
          <w:szCs w:val="17"/>
          <w:i w:val="1"/>
          <w:iCs w:val="1"/>
          <w:color w:val="auto"/>
        </w:rPr>
        <w:t xml:space="preserve">Developing innovative products based on core technologies. </w:t>
      </w:r>
      <w:r>
        <w:rPr>
          <w:rFonts w:ascii="Arial" w:cs="Arial" w:eastAsia="Arial" w:hAnsi="Arial"/>
          <w:sz w:val="17"/>
          <w:szCs w:val="17"/>
          <w:color w:val="auto"/>
        </w:rPr>
        <w:t>We are a leader in regenerative technology. We sell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regenerative products through both our own sales network and through alliances with other companies in private-label arrangements. Our proprietary highly purified collagen scaffold technology provides the foundation of our products for duraplasty, dermal regeneration, nerve and tendon repair, and bone repair and regeneration.</w:t>
      </w:r>
    </w:p>
    <w:p>
      <w:pPr>
        <w:spacing w:after="0" w:line="144" w:lineRule="exact"/>
        <w:rPr>
          <w:sz w:val="20"/>
          <w:szCs w:val="20"/>
          <w:color w:val="auto"/>
        </w:rPr>
      </w:pPr>
    </w:p>
    <w:p>
      <w:pPr>
        <w:jc w:val="both"/>
        <w:ind w:left="700" w:right="559" w:firstLine="358"/>
        <w:spacing w:after="0" w:line="257" w:lineRule="auto"/>
        <w:rPr>
          <w:sz w:val="20"/>
          <w:szCs w:val="20"/>
          <w:color w:val="auto"/>
        </w:rPr>
      </w:pPr>
      <w:r>
        <w:rPr>
          <w:rFonts w:ascii="Arial" w:cs="Arial" w:eastAsia="Arial" w:hAnsi="Arial"/>
          <w:sz w:val="18"/>
          <w:szCs w:val="18"/>
          <w:i w:val="1"/>
          <w:iCs w:val="1"/>
          <w:color w:val="auto"/>
        </w:rPr>
        <w:t xml:space="preserve">Acquiring products that fit existing sales channels or establish new sales channels. </w:t>
      </w:r>
      <w:r>
        <w:rPr>
          <w:rFonts w:ascii="Arial" w:cs="Arial" w:eastAsia="Arial" w:hAnsi="Arial"/>
          <w:sz w:val="18"/>
          <w:szCs w:val="18"/>
          <w:color w:val="auto"/>
        </w:rPr>
        <w:t>We acquire new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to increase the efficiency and size of our sales force, stimulate the development of new products, and extend the commercial lives of existing products. We have completed 18 acquisitions since the beginning of 2004, have demonstrated that we can quickly and profitably integrate new products and businesses and have an active program to evaluate more such opportunities.</w:t>
      </w:r>
    </w:p>
    <w:p>
      <w:pPr>
        <w:spacing w:after="0" w:line="1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strategy allows us to expand our presence in hospitals and other health care facilities, to integrate acquired products effectively, to create strong sales platforms and to drive short- and long-term revenue and earnings growth.</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DISTRIBUTION</w:t>
      </w:r>
    </w:p>
    <w:p>
      <w:pPr>
        <w:spacing w:after="0" w:line="20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the U.S., we have three sales channels. The largest, Integra NeuroSciences, sells products through directly employed sales representatives. Within our Integra Orthopedics sales channel, there are three sales organizations: Integra Extremity Reconstruction, which sells through a large direct sales organization, Integra OrthoBiologics and Integra Spine. Integra OrthoBiologics and Integra Spine sell through specialty distributors focused on their respective surgical specialties. The Integra Medical Instruments market sales channel sells through three main sales organizations: Integra Surgical, which sells both directly and through distributors; Miltex, which sells through distributors and wholesalers; and Integra Pain Management, which sells through independent sales people and specialty distributors.</w:t>
      </w:r>
    </w:p>
    <w:p>
      <w:pPr>
        <w:spacing w:after="0" w:line="137"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b w:val="1"/>
          <w:bCs w:val="1"/>
          <w:i w:val="1"/>
          <w:iCs w:val="1"/>
          <w:color w:val="auto"/>
        </w:rPr>
        <w:t xml:space="preserve">Integra NeuroSciences. </w:t>
      </w:r>
      <w:r>
        <w:rPr>
          <w:rFonts w:ascii="Arial" w:cs="Arial" w:eastAsia="Arial" w:hAnsi="Arial"/>
          <w:sz w:val="16"/>
          <w:szCs w:val="16"/>
          <w:color w:val="auto"/>
        </w:rPr>
        <w:t>Integra NeuroSciences’ direct sales effort in the U.S. involves approximately 150 professionals,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direct sales representatives, product specialists, sales management, and clinical educators who educate and train our salespeople and customers in the use of our products. Our direct sales representatives focus on products used in operating rooms and intensive care units. Integra NeuroSciences sales representatives call on neurosurgeons, intensivists, other physicians, nurses, hospitals and surgery centers. Outside the U.S., we sell neurosurgical products directly in Canada, Australia, New Zealand and major European markets. In all other markets, Integra NeuroSciences products are sold through a network of distributors.</w:t>
      </w:r>
    </w:p>
    <w:p>
      <w:pPr>
        <w:spacing w:after="0" w:line="124"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b w:val="1"/>
          <w:bCs w:val="1"/>
          <w:i w:val="1"/>
          <w:iCs w:val="1"/>
          <w:color w:val="auto"/>
        </w:rPr>
        <w:t xml:space="preserve">Integra Extremity Reconstruction. </w:t>
      </w:r>
      <w:r>
        <w:rPr>
          <w:rFonts w:ascii="Arial" w:cs="Arial" w:eastAsia="Arial" w:hAnsi="Arial"/>
          <w:sz w:val="16"/>
          <w:szCs w:val="16"/>
          <w:color w:val="auto"/>
        </w:rPr>
        <w:t>Our Integra Extremity Reconstruction sales organization in the U.S. consists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90 direct salespeople, sales managers and clinical educators. Integra Extremity Reconstruction sells medical devices to orthopedic surgeons, podiatric surgeons, trauma and reconstructive surgeons, burn surgeons and other physicians who practice in hospitals and surgery centers. The Integra Extremity Reconstruction team sells both metal implants for internal fixation and joint reconstruction and regenerative biomaterials for the repair of soft tissue, including the skin, peripheral nerves and tendons. Outside the U.S., we sell devices for extremity reconstruction directly through sales representatives in Canada, Australia, New Zealand and major European markets, and elsewhere through a network of distributors.</w:t>
      </w:r>
    </w:p>
    <w:p>
      <w:pPr>
        <w:spacing w:after="0" w:line="14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 xml:space="preserve">Integra OrthoBiologics. </w:t>
      </w:r>
      <w:r>
        <w:rPr>
          <w:rFonts w:ascii="Arial" w:cs="Arial" w:eastAsia="Arial" w:hAnsi="Arial"/>
          <w:sz w:val="18"/>
          <w:szCs w:val="18"/>
          <w:color w:val="auto"/>
        </w:rPr>
        <w:t>Integra OrthoBiologics supports a distributor network of more than 45 dealer organizations,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retain over 300 sales representatives. The Integra OrthoBiologics distributor network receives additional marketing support from a team of approximately 20 Integra OrthoBiologics sales representatives who work in tandem with the dealers’ representatives to deliver a solution of bone regenerative products to spine and orthopedic surgeons. Outside the U.S., we sell orthobiologics products through a network of distributors.</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b w:val="1"/>
          <w:bCs w:val="1"/>
          <w:i w:val="1"/>
          <w:iCs w:val="1"/>
          <w:color w:val="auto"/>
        </w:rPr>
        <w:t xml:space="preserve">Integra Spine. </w:t>
      </w:r>
      <w:r>
        <w:rPr>
          <w:rFonts w:ascii="Arial" w:cs="Arial" w:eastAsia="Arial" w:hAnsi="Arial"/>
          <w:sz w:val="17"/>
          <w:szCs w:val="17"/>
          <w:color w:val="auto"/>
        </w:rPr>
        <w:t>Our Integra Spine sales network consists of approximately 50 independent U.S. distributor organizations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retain over 170 sales representatives who distribute our products in 33 states. They market our spinal implant and biologics products to neurosurgeons and orthopedic surgeons who specialize in spine surgery. We have nine additional sales specialists who support our field efforts and work closely with our customers. Integra Spine is not currently represented outside the U.S., and we view this market outside the U.S. as a long-term opportunity for growth.</w:t>
      </w:r>
    </w:p>
    <w:p>
      <w:pPr>
        <w:spacing w:after="0" w:line="13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Integra Medical Instruments. </w:t>
      </w:r>
      <w:r>
        <w:rPr>
          <w:rFonts w:ascii="Arial" w:cs="Arial" w:eastAsia="Arial" w:hAnsi="Arial"/>
          <w:sz w:val="18"/>
          <w:szCs w:val="18"/>
          <w:color w:val="auto"/>
        </w:rPr>
        <w:t>Integra Medical Instruments includes three sales organizations. Integra Surgical sells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specialty and general instruments and surgical lighting to hospitals through approximately 50 directly employed sales representatives and a network of distributors. Miltex sells hand-held surgical and dental instruments in the alternate-site market (outpatient surgical clinics, physician offices, podiatry practices, dental offices and veterinary clinics) through a large network of distributors and wholesalers. Integra Pain Management sells customized pain management kits and devices through independent sales people or specialty distributors.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b w:val="1"/>
          <w:bCs w:val="1"/>
          <w:i w:val="1"/>
          <w:iCs w:val="1"/>
          <w:color w:val="auto"/>
        </w:rPr>
        <w:t xml:space="preserve">Strategic Alliances. </w:t>
      </w:r>
      <w:r>
        <w:rPr>
          <w:rFonts w:ascii="Arial" w:cs="Arial" w:eastAsia="Arial" w:hAnsi="Arial"/>
          <w:sz w:val="18"/>
          <w:szCs w:val="18"/>
          <w:color w:val="auto"/>
        </w:rPr>
        <w:t>We market certain products through strategic partners or original equipment manufacturer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these products generally address large and diverse markets, it is more cost-effective for us to leverage the product development and distribution systems of our strategic partners. We have these relationships with Johnson &amp; Johnson, Medtronic, Wyeth and Zimmer, among others.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PRODUCTS — OVERVIEW</w:t>
      </w:r>
    </w:p>
    <w:p>
      <w:pPr>
        <w:spacing w:after="0" w:line="18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Integra is a fully integrated medical device company with thousands of products for the medical specialties that we target. Our objective is to develop, or otherwise provide, any product that will improve our service to our customers. These products include implants for neurosurgery, spinal surgery and extremity reconstructive surgery, and medical surgical equipment, which includes hand-held instruments, powered instruments, image-guided surgery systems and monitors that measure brain parameters. We distinguish ourselves by emphasizing the importance of the relatively new field of regenerative medicine.</w:t>
      </w:r>
    </w:p>
    <w:p>
      <w:pPr>
        <w:spacing w:after="0" w:line="11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2008, approximately 22% of our revenues came from surgical implants derived from our proprietary collagen matrix technology.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lay down new native “extracellular matrix.” In their interaction with the patient’s body, our collagen matrices inhibit the formation of scar tissue, so in the end the implant disappears leaving healthy native tissue in its place. This basic technology can be applied to many different procedures. We sell regenerative medicine products through most of our sales channels.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NEUROSCIENCES PRODUCT PORTFOLIO</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Integra NeuroSciences sales organization sells a full line of instruments and other equipment for neurosurgery. We have products for each step of cranial procedure and the care of the patient after the operation. We sell equipment used in the neurosurgery operating room and neurosurgery intensive care unit (“ICU”). We also offer a wide array of implants for neurosurgery and spine surgery, including a complete set of duraplasty products and biomaterials for spine surgery. Highlights include:</w:t>
      </w:r>
    </w:p>
    <w:p>
      <w:pPr>
        <w:spacing w:after="0" w:line="148" w:lineRule="exact"/>
        <w:rPr>
          <w:sz w:val="20"/>
          <w:szCs w:val="20"/>
          <w:color w:val="auto"/>
        </w:rPr>
      </w:pPr>
    </w:p>
    <w:p>
      <w:pPr>
        <w:jc w:val="both"/>
        <w:ind w:left="340" w:right="559" w:firstLine="373"/>
        <w:spacing w:after="0" w:line="242" w:lineRule="auto"/>
        <w:rPr>
          <w:sz w:val="20"/>
          <w:szCs w:val="20"/>
          <w:color w:val="auto"/>
        </w:rPr>
      </w:pPr>
      <w:r>
        <w:rPr>
          <w:rFonts w:ascii="Arial" w:cs="Arial" w:eastAsia="Arial" w:hAnsi="Arial"/>
          <w:sz w:val="17"/>
          <w:szCs w:val="17"/>
          <w:b w:val="1"/>
          <w:bCs w:val="1"/>
          <w:i w:val="1"/>
          <w:iCs w:val="1"/>
          <w:color w:val="auto"/>
        </w:rPr>
        <w:t xml:space="preserve">Duraplasty Products. </w:t>
      </w:r>
      <w:r>
        <w:rPr>
          <w:rFonts w:ascii="Arial" w:cs="Arial" w:eastAsia="Arial" w:hAnsi="Arial"/>
          <w:sz w:val="17"/>
          <w:szCs w:val="17"/>
          <w:color w:val="auto"/>
        </w:rPr>
        <w:t>In the U.S., over 225,000 craniotomy procedures are performed each year. Most of these surgeries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breach the dura mater, which is the tough, fibrous membrane that surrounds and protects the tissue of the brain and spinal cord. The breach must be repaired, either by suturing or applying a dural graft to prevent cerebrospinal fluid leaks and facilitate wound healing. Since the introduction of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Graft Matrix in 1999, the first onlay collagen graft for dural repair, we have become the market leader in sutureless closure of dural defects in the U.S. We subsequently launched DuraGen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Regeneration Matrix in 2003, Suturable DuraGen™ Dural Regeneration Matrix in 2005, and DuraGen XS™ Dural Regeneration Matrix in 2007, demonstrating our sustained commitment to providing the neurosurgical community with innovative technology and materials for the management of dural defects. These products are alternatives to autologous tissue grafts taken from elsewhere in the patient’s body.</w:t>
      </w:r>
    </w:p>
    <w:p>
      <w:pPr>
        <w:spacing w:after="0" w:line="174" w:lineRule="exact"/>
        <w:rPr>
          <w:sz w:val="20"/>
          <w:szCs w:val="20"/>
          <w:color w:val="auto"/>
        </w:rPr>
      </w:pPr>
    </w:p>
    <w:p>
      <w:pPr>
        <w:jc w:val="both"/>
        <w:ind w:left="340" w:right="559" w:firstLine="373"/>
        <w:spacing w:after="0" w:line="235" w:lineRule="auto"/>
        <w:rPr>
          <w:sz w:val="20"/>
          <w:szCs w:val="20"/>
          <w:color w:val="auto"/>
        </w:rPr>
      </w:pPr>
      <w:r>
        <w:rPr>
          <w:rFonts w:ascii="Arial" w:cs="Arial" w:eastAsia="Arial" w:hAnsi="Arial"/>
          <w:sz w:val="18"/>
          <w:szCs w:val="18"/>
          <w:b w:val="1"/>
          <w:bCs w:val="1"/>
          <w:i w:val="1"/>
          <w:iCs w:val="1"/>
          <w:color w:val="auto"/>
        </w:rPr>
        <w:t xml:space="preserve">Collagen for Spine. </w:t>
      </w:r>
      <w:r>
        <w:rPr>
          <w:rFonts w:ascii="Arial" w:cs="Arial" w:eastAsia="Arial" w:hAnsi="Arial"/>
          <w:sz w:val="18"/>
          <w:szCs w:val="18"/>
          <w:color w:val="auto"/>
        </w:rPr>
        <w:t>Over 450,000 patients undergo lumbar surgery in the U.S. each year. Adhesions, a painful condition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occurs when internal scar tissue causes nerves, organs and other structures to adhere to each other, are a frequent complication of the procedure. Our collagen matrix technology has the potential to inhibit the formation of scar tissue, so we believe it is well-suited to address this problem. Outside the U.S., we sell the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Adhesion Barrier Matrix as a barrier against the formation of adhesions following spine surgery and for the repair and restoration of the dura mater following spinal and cranial surgery.</w:t>
      </w:r>
    </w:p>
    <w:p>
      <w:pPr>
        <w:spacing w:after="0" w:line="166" w:lineRule="exact"/>
        <w:rPr>
          <w:sz w:val="20"/>
          <w:szCs w:val="20"/>
          <w:color w:val="auto"/>
        </w:rPr>
      </w:pPr>
    </w:p>
    <w:p>
      <w:pPr>
        <w:jc w:val="both"/>
        <w:ind w:left="340" w:right="559" w:firstLine="373"/>
        <w:spacing w:after="0" w:line="275" w:lineRule="auto"/>
        <w:rPr>
          <w:sz w:val="20"/>
          <w:szCs w:val="20"/>
          <w:color w:val="auto"/>
        </w:rPr>
      </w:pPr>
      <w:r>
        <w:rPr>
          <w:rFonts w:ascii="Arial" w:cs="Arial" w:eastAsia="Arial" w:hAnsi="Arial"/>
          <w:sz w:val="16"/>
          <w:szCs w:val="16"/>
          <w:color w:val="auto"/>
        </w:rPr>
        <w:t>In 2008, we continued to make progress in our multi-center clinical trial, designed to evaluate the safety and effectiveness of DuraGen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Adhesion Barrier Matrix, for use in spinal surgery in the U.S., as a barrier against the formation of adhesions following such surgery. If the trial is completed in accordance with our expectations and achieves results acceptable to the Food and Drug Administration (“FDA”) (of which there can be no assurance), we expect to file a Premarket Approval (“PMA”) application for DuraGen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Adhesion Barrier Matrix with the FDA in 2011 for use as an adhesion barrier in spinal surgery.</w:t>
      </w:r>
    </w:p>
    <w:p>
      <w:pPr>
        <w:spacing w:after="0" w:line="1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b w:val="1"/>
          <w:bCs w:val="1"/>
          <w:i w:val="1"/>
          <w:iCs w:val="1"/>
          <w:color w:val="auto"/>
        </w:rPr>
        <w:t xml:space="preserve">Cerebral Spinal Fluid (“CSF”) Management Devices. </w:t>
      </w:r>
      <w:r>
        <w:rPr>
          <w:rFonts w:ascii="Arial" w:cs="Arial" w:eastAsia="Arial" w:hAnsi="Arial"/>
          <w:sz w:val="18"/>
          <w:szCs w:val="18"/>
          <w:color w:val="auto"/>
        </w:rPr>
        <w:t>CSF drainage is an important component of managing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intracranial pressure of a neuro-compromised patient or a patient undergoing abdominal aortic aneurysm surgery. In 2007, over 300,000 procedures in the U.S. were performed using lumbar or ventricular drainage systems, representing an estimated $100 million market.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Hydrocephalus is a condition in which the primary characteristic is excessive accumulation of CSF in the brain. It is most commonly treated by inserting a shunt into the ventricular system of the brain. The shunt is designed to divert the flow of CSF out of the brain to an appropriate drainage site, such as the peritoneal cavity or the heart’s right atrium, and through a pressure valve to maintain a normal level of CSF within the ventricles. Each year there are 40,000 new implants and revision cases to treat hydrocephalus. The total U.S. market for hydrocephalus management is over $100 million. Integra currently offers a diverse line of hydrocephalus management products, including a wide variety of valves and ventricular, lumbar, peritoneal and cardiac catheters.</w:t>
      </w:r>
    </w:p>
    <w:p>
      <w:pPr>
        <w:spacing w:after="0" w:line="16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Normal Pressure Hydrocephalus (“NPH”) is an abnormal increase of CSF in the brain’s ventricles, or cavities. The majority of cases of NPH are idiopathic. The accumulation causes the ventricles to enlarge, putting pressure on the brain. However, due to the normal atrophy of the brain associated with aging, there is usually little or no increase in intracranial pressure. NPH is characterized by many of the same symptoms associated with other conditions that occur more often in the elderly, such as memory loss, dementia, gait disorder, urinary incontinence and a general slowing of activity. It may result from a subarachnoid hemorrhage, head trauma, infection, tumor, complications of surgery or for unknown reasons. Treatment for NPH involves surgical placement of a shunt in the brain to drain excess CSF into the abdomen where it can be absorbed. This allows the brain ventricles to decrease in size, alleviating the pressure of the brain. There are about 13,200 cases of NPH a year. It is estimated that 10% of the 7.5 million patients who think they have Alzheimer’s actually have NPH.</w:t>
      </w:r>
    </w:p>
    <w:p>
      <w:pPr>
        <w:spacing w:after="0" w:line="126" w:lineRule="exact"/>
        <w:rPr>
          <w:sz w:val="20"/>
          <w:szCs w:val="20"/>
          <w:color w:val="auto"/>
        </w:rPr>
      </w:pPr>
    </w:p>
    <w:p>
      <w:pPr>
        <w:jc w:val="both"/>
        <w:ind w:left="340" w:right="559" w:firstLine="373"/>
        <w:spacing w:after="0" w:line="229" w:lineRule="auto"/>
        <w:rPr>
          <w:sz w:val="20"/>
          <w:szCs w:val="20"/>
          <w:color w:val="auto"/>
        </w:rPr>
      </w:pPr>
      <w:r>
        <w:rPr>
          <w:rFonts w:ascii="Arial" w:cs="Arial" w:eastAsia="Arial" w:hAnsi="Arial"/>
          <w:sz w:val="18"/>
          <w:szCs w:val="18"/>
          <w:b w:val="1"/>
          <w:bCs w:val="1"/>
          <w:i w:val="1"/>
          <w:iCs w:val="1"/>
          <w:color w:val="auto"/>
        </w:rPr>
        <w:t xml:space="preserve">Cranial Stabilization Equipment. </w:t>
      </w:r>
      <w:r>
        <w:rPr>
          <w:rFonts w:ascii="Arial" w:cs="Arial" w:eastAsia="Arial" w:hAnsi="Arial"/>
          <w:sz w:val="18"/>
          <w:szCs w:val="18"/>
          <w:color w:val="auto"/>
        </w:rPr>
        <w:t>Most neurosurgery procedures require that the head is held rigidly during the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MAYFIELD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line of cranial stabilization equipment fixes the head in an orientation determined by the surgeon; the device contacts the head via skull pins that are held in a frame that is anchored to the operating table and can be adjusted in multiple planes of movement.</w:t>
      </w:r>
    </w:p>
    <w:p>
      <w:pPr>
        <w:spacing w:after="0" w:line="162" w:lineRule="exact"/>
        <w:rPr>
          <w:sz w:val="20"/>
          <w:szCs w:val="20"/>
          <w:color w:val="auto"/>
        </w:rPr>
      </w:pPr>
    </w:p>
    <w:p>
      <w:pPr>
        <w:jc w:val="both"/>
        <w:ind w:left="340" w:right="559" w:firstLine="373"/>
        <w:spacing w:after="0" w:line="234" w:lineRule="auto"/>
        <w:rPr>
          <w:sz w:val="20"/>
          <w:szCs w:val="20"/>
          <w:color w:val="auto"/>
        </w:rPr>
      </w:pPr>
      <w:r>
        <w:rPr>
          <w:rFonts w:ascii="Arial" w:cs="Arial" w:eastAsia="Arial" w:hAnsi="Arial"/>
          <w:sz w:val="17"/>
          <w:szCs w:val="17"/>
          <w:color w:val="auto"/>
        </w:rPr>
        <w:t>The MAYFIELD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is used worldwide in over 200,000 brain procedures annually. Treatments using MAYFIELD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include head trauma injuries, pediatric disorders such as hydrocephalus, biopsies, cancer removal, and treatments for cerebrovascular disorders such as aneurysms, and neurodegenerative disorders such as Parkinson’s disease or epilepsy.</w:t>
      </w:r>
    </w:p>
    <w:p>
      <w:pPr>
        <w:spacing w:after="0" w:line="176" w:lineRule="exact"/>
        <w:rPr>
          <w:sz w:val="20"/>
          <w:szCs w:val="20"/>
          <w:color w:val="auto"/>
        </w:rPr>
      </w:pPr>
    </w:p>
    <w:p>
      <w:pPr>
        <w:jc w:val="both"/>
        <w:ind w:left="340" w:right="559" w:firstLine="373"/>
        <w:spacing w:after="0" w:line="223" w:lineRule="auto"/>
        <w:rPr>
          <w:sz w:val="20"/>
          <w:szCs w:val="20"/>
          <w:color w:val="auto"/>
        </w:rPr>
      </w:pPr>
      <w:r>
        <w:rPr>
          <w:rFonts w:ascii="Arial" w:cs="Arial" w:eastAsia="Arial" w:hAnsi="Arial"/>
          <w:sz w:val="18"/>
          <w:szCs w:val="18"/>
          <w:b w:val="1"/>
          <w:bCs w:val="1"/>
          <w:i w:val="1"/>
          <w:iCs w:val="1"/>
          <w:color w:val="auto"/>
        </w:rPr>
        <w:t xml:space="preserve">Image-Guided Surgery Equipment. </w:t>
      </w:r>
      <w:r>
        <w:rPr>
          <w:rFonts w:ascii="Arial" w:cs="Arial" w:eastAsia="Arial" w:hAnsi="Arial"/>
          <w:sz w:val="18"/>
          <w:szCs w:val="18"/>
          <w:color w:val="auto"/>
        </w:rPr>
        <w:t>Our Radionics</w:t>
      </w:r>
      <w:r>
        <w:rPr>
          <w:rFonts w:ascii="Arial" w:cs="Arial" w:eastAsia="Arial" w:hAnsi="Arial"/>
          <w:sz w:val="26"/>
          <w:szCs w:val="26"/>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OmniSight</w:t>
      </w:r>
      <w:r>
        <w:rPr>
          <w:rFonts w:ascii="Arial" w:cs="Arial" w:eastAsia="Arial" w:hAnsi="Arial"/>
          <w:sz w:val="26"/>
          <w:szCs w:val="26"/>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EXcel image-guided surgery system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neurosurgeons and orthopedic surgeons with enhanced three-dimensional visualization of critical anatomy and the ability to perform less invasive surgical procedures.</w:t>
      </w:r>
    </w:p>
    <w:p>
      <w:pPr>
        <w:spacing w:after="0" w:line="161"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7"/>
          <w:szCs w:val="17"/>
          <w:b w:val="1"/>
          <w:bCs w:val="1"/>
          <w:i w:val="1"/>
          <w:iCs w:val="1"/>
          <w:color w:val="auto"/>
        </w:rPr>
        <w:t xml:space="preserve">Stereotactic Equipment. </w:t>
      </w:r>
      <w:r>
        <w:rPr>
          <w:rFonts w:ascii="Arial" w:cs="Arial" w:eastAsia="Arial" w:hAnsi="Arial"/>
          <w:sz w:val="17"/>
          <w:szCs w:val="17"/>
          <w:color w:val="auto"/>
        </w:rPr>
        <w:t>Stereotactic radiosurgery is a minimally invasive technique used to deliver a single high dose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radiation to small, well-defined target volumes, while avoiding nearby normal tissue and critical structures. The targeted volumes are primarily brain tumors and vascular malformations. Integra NeuroSciences has a strong portfolio of stereotactic products, with the Radionics CRW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stereotactic system for neurosurgery, and the Radionics XKnife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for stereotactic radiosurgery. Certain intracranial brain lesions may not be good candidates for surgical resection, and neurosurgeons may use our Radionics XKnife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in the non-invasive treatment of these lesions.</w:t>
      </w:r>
    </w:p>
    <w:p>
      <w:pPr>
        <w:spacing w:after="0" w:line="36" w:lineRule="exact"/>
        <w:rPr>
          <w:sz w:val="20"/>
          <w:szCs w:val="20"/>
          <w:color w:val="auto"/>
        </w:rPr>
      </w:pPr>
    </w:p>
    <w:p>
      <w:pPr>
        <w:jc w:val="both"/>
        <w:ind w:left="340" w:right="559" w:firstLine="373"/>
        <w:spacing w:after="0" w:line="233" w:lineRule="auto"/>
        <w:rPr>
          <w:sz w:val="20"/>
          <w:szCs w:val="20"/>
          <w:color w:val="auto"/>
        </w:rPr>
      </w:pPr>
      <w:r>
        <w:rPr>
          <w:rFonts w:ascii="Arial" w:cs="Arial" w:eastAsia="Arial" w:hAnsi="Arial"/>
          <w:sz w:val="16"/>
          <w:szCs w:val="16"/>
          <w:b w:val="1"/>
          <w:bCs w:val="1"/>
          <w:i w:val="1"/>
          <w:iCs w:val="1"/>
          <w:color w:val="auto"/>
        </w:rPr>
        <w:t xml:space="preserve">Tissue Ablation Equipment. </w:t>
      </w:r>
      <w:r>
        <w:rPr>
          <w:rFonts w:ascii="Arial" w:cs="Arial" w:eastAsia="Arial" w:hAnsi="Arial"/>
          <w:sz w:val="16"/>
          <w:szCs w:val="16"/>
          <w:color w:val="auto"/>
        </w:rPr>
        <w:t>Ultrasonic surgery uses high frequency acoustic pulses to selectively dissect soft tissues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according to their density, leaving fibrous tissues, such as nerves and blood vessels, relatively unaffected. It therefore facilitates the ablation of unwanted tissue adjacent or attached to vital structures. Integra’s CUSA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has been a leading ultrasonic surgical aspirator for over 25 years. The product offering includes the CUSA Excel</w:t>
      </w:r>
      <w:r>
        <w:rPr>
          <w:rFonts w:ascii="Arial" w:cs="Arial" w:eastAsia="Arial" w:hAnsi="Arial"/>
          <w:sz w:val="23"/>
          <w:szCs w:val="23"/>
          <w:color w:val="auto"/>
          <w:vertAlign w:val="superscript"/>
        </w:rPr>
        <w:t>®</w:t>
      </w:r>
      <w:r>
        <w:rPr>
          <w:rFonts w:ascii="Arial" w:cs="Arial" w:eastAsia="Arial" w:hAnsi="Arial"/>
          <w:sz w:val="16"/>
          <w:szCs w:val="16"/>
          <w:color w:val="auto"/>
        </w:rPr>
        <w:t>, CUSA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Selector</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CUSA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Dissectron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(sold internationally). In 2009, we plan to launch the CUSA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NXT. Its new features, which will include revolutionary digital architecture and an advanced aspiration system, will enhance clinical performance and simplify system set up and control.</w:t>
      </w:r>
    </w:p>
    <w:p>
      <w:pPr>
        <w:spacing w:after="0" w:line="17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Our market-leading CUSA tissue ablation systems are used on over 100,000 procedures annually, at over 2,000 centers around the world, for the removal of brain tumors, epilepsy foci, as well as gynecological and liver tumors. According to industry sources, the total U.S. market for ultrasonic tissue ablation products is over $60 million. Applications for ultrasonic tissue ablation technology continue to expand, both within neurosurgery and in other surgical specialties, and we are developing accessories, such as new tips and handpieces, to meet these new clinical applications. We expect the market to continue to grow.</w:t>
      </w:r>
    </w:p>
    <w:p>
      <w:pPr>
        <w:spacing w:after="0" w:line="118" w:lineRule="exact"/>
        <w:rPr>
          <w:sz w:val="20"/>
          <w:szCs w:val="20"/>
          <w:color w:val="auto"/>
        </w:rPr>
      </w:pPr>
    </w:p>
    <w:p>
      <w:pPr>
        <w:jc w:val="both"/>
        <w:ind w:left="340" w:right="559" w:firstLine="373"/>
        <w:spacing w:after="0" w:line="229" w:lineRule="auto"/>
        <w:rPr>
          <w:sz w:val="20"/>
          <w:szCs w:val="20"/>
          <w:color w:val="auto"/>
        </w:rPr>
      </w:pPr>
      <w:r>
        <w:rPr>
          <w:rFonts w:ascii="Arial" w:cs="Arial" w:eastAsia="Arial" w:hAnsi="Arial"/>
          <w:sz w:val="18"/>
          <w:szCs w:val="18"/>
          <w:b w:val="1"/>
          <w:bCs w:val="1"/>
          <w:i w:val="1"/>
          <w:iCs w:val="1"/>
          <w:color w:val="auto"/>
        </w:rPr>
        <w:t xml:space="preserve">Intracranial Monitoring Equipment. </w:t>
      </w:r>
      <w:r>
        <w:rPr>
          <w:rFonts w:ascii="Arial" w:cs="Arial" w:eastAsia="Arial" w:hAnsi="Arial"/>
          <w:sz w:val="18"/>
          <w:szCs w:val="18"/>
          <w:color w:val="auto"/>
        </w:rPr>
        <w:t>The neurosurgical ICU monitors a patient’s post-operative condition, following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neurosurgical procedures involving craniotomy. We offer the leading products for monitoring intracranial pressure (the Camino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ICP monitor) and metabolic activity (LICOX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brain tissue monitoring system) and equipment for the drainage of excess CSF (the AccuDrain</w:t>
      </w:r>
      <w:r>
        <w:rPr>
          <w:rFonts w:ascii="Arial" w:cs="Arial" w:eastAsia="Arial" w:hAnsi="Arial"/>
          <w:sz w:val="15"/>
          <w:szCs w:val="15"/>
          <w:color w:val="auto"/>
        </w:rPr>
        <w:t>®</w:t>
      </w:r>
      <w:r>
        <w:rPr>
          <w:rFonts w:ascii="Arial" w:cs="Arial" w:eastAsia="Arial" w:hAnsi="Arial"/>
          <w:sz w:val="18"/>
          <w:szCs w:val="18"/>
          <w:color w:val="auto"/>
        </w:rPr>
        <w:t xml:space="preserve"> Extermal Ventricular Drainage Systems).</w:t>
      </w:r>
    </w:p>
    <w:p>
      <w:pPr>
        <w:spacing w:after="0" w:line="162" w:lineRule="exact"/>
        <w:rPr>
          <w:sz w:val="20"/>
          <w:szCs w:val="20"/>
          <w:color w:val="auto"/>
        </w:rPr>
      </w:pPr>
    </w:p>
    <w:p>
      <w:pPr>
        <w:jc w:val="both"/>
        <w:ind w:left="340" w:right="559" w:firstLine="373"/>
        <w:spacing w:after="0" w:line="250" w:lineRule="auto"/>
        <w:rPr>
          <w:sz w:val="20"/>
          <w:szCs w:val="20"/>
          <w:color w:val="auto"/>
        </w:rPr>
      </w:pPr>
      <w:r>
        <w:rPr>
          <w:rFonts w:ascii="Arial" w:cs="Arial" w:eastAsia="Arial" w:hAnsi="Arial"/>
          <w:sz w:val="17"/>
          <w:szCs w:val="17"/>
          <w:color w:val="auto"/>
        </w:rPr>
        <w:t>Our Camino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LICOX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monitoring systems are also used in the treatment of Traumatic Brain Injury (“TBI”). TBI is a major public health problem and costs the U.S. an estimated $56 billion a year. More than 5 million Americans alive today have had a TBI, resulting in a permanent need for help in performing daily activities, and TBI survivors are often left with significant cognitive, behavioral, and communicative disabilities. Research has shown that not all brain damage occurs at the moment of impact, but frequently evolves over the ensuing hours and days after the initial injury. The secondary damage may be controlled, in part, by monitoring and managing intracranial pressure and brain tissue oxygen.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ORTHOPEDICS PRODUCT PORTFOLIO</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orthopedics market category includes products sold by our Integra Extremity Reconstruction, Integra OrthoBiologics and Integra Spine sales organizations.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 Extremity Reconstruction Product Portfolio</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Extremity reconstruction is a growing area of the orthopedic market. It is attractive to us because larger orthopedic medical device companies have not traditionally concentrated on this niche market. We define extremity reconstruction to mean the repair of soft tissue and the orthopedic reconstruction of bone in the foot, ankle and leg below the knee, and the hand, wrist, elbow and arm below the shoulder.</w:t>
      </w:r>
    </w:p>
    <w:p>
      <w:pPr>
        <w:spacing w:after="0" w:line="160" w:lineRule="exact"/>
        <w:rPr>
          <w:sz w:val="20"/>
          <w:szCs w:val="20"/>
          <w:color w:val="auto"/>
        </w:rPr>
      </w:pPr>
    </w:p>
    <w:p>
      <w:pPr>
        <w:jc w:val="both"/>
        <w:ind w:left="340" w:right="559" w:firstLine="373"/>
        <w:spacing w:after="0" w:line="229" w:lineRule="auto"/>
        <w:rPr>
          <w:sz w:val="20"/>
          <w:szCs w:val="20"/>
          <w:color w:val="auto"/>
        </w:rPr>
      </w:pPr>
      <w:r>
        <w:rPr>
          <w:rFonts w:ascii="Arial" w:cs="Arial" w:eastAsia="Arial" w:hAnsi="Arial"/>
          <w:sz w:val="18"/>
          <w:szCs w:val="18"/>
          <w:b w:val="1"/>
          <w:bCs w:val="1"/>
          <w:i w:val="1"/>
          <w:iCs w:val="1"/>
          <w:color w:val="auto"/>
        </w:rPr>
        <w:t xml:space="preserve">Dermal Regeneration and Engineered Wound Dressings. </w:t>
      </w:r>
      <w:r>
        <w:rPr>
          <w:rFonts w:ascii="Arial" w:cs="Arial" w:eastAsia="Arial" w:hAnsi="Arial"/>
          <w:sz w:val="18"/>
          <w:szCs w:val="18"/>
          <w:color w:val="auto"/>
        </w:rPr>
        <w:t>Our dermal repair and regeneration products (INTEGRA</w:t>
      </w:r>
      <w:r>
        <w:rPr>
          <w:rFonts w:ascii="Arial" w:cs="Arial" w:eastAsia="Arial" w:hAnsi="Arial"/>
          <w:sz w:val="26"/>
          <w:szCs w:val="26"/>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Dermal Regeneration Template, Integra™ Bilayer Matrix Wound Dressing, Integra™ Matrix Wound Dressing, and Integra™ Flowable Wound Matrix) are used to treat the chronic wounds that can form on the foot, ankle and lower leg, severe burns, and scar contractures.</w:t>
      </w:r>
    </w:p>
    <w:p>
      <w:pPr>
        <w:spacing w:after="0" w:line="16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Integra’s matrix wound dressings are indicated for the management of wounds including partial and full-thickness wounds, pressure ulcers, venous ulcers, diabetic ulcers, chronic vascular ulcers, tunneled/undermined wounds, surgical wounds (donor sites/grafts, post-laser surgery, podiatric, and wound dehiscence), trauma wounds (abrasions, lacerations, second-degree burns, and skin tears) and draining wounds. We estimate that the market opportunity for products used to treat trauma and chronic wounds in the U.S. is approximately $800 million.</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There are currently 18 million people with diabetes in the U.S. Approximately 15% of these patients incur one or more diabetic foot ulcers during their lifetime. This population is also 15 times more likely to suffer an amputation due to non-healing diabetic foot ulcers. However, approximately 85% of all amputations are preventable if proper intervention is provided. Approximately 500,000 adults seek treatment for venous leg ulcers annually in the U.S.</w:t>
      </w:r>
    </w:p>
    <w:p>
      <w:pPr>
        <w:spacing w:after="0" w:line="160" w:lineRule="exact"/>
        <w:rPr>
          <w:sz w:val="20"/>
          <w:szCs w:val="20"/>
          <w:color w:val="auto"/>
        </w:rPr>
      </w:pPr>
    </w:p>
    <w:p>
      <w:pPr>
        <w:jc w:val="both"/>
        <w:ind w:left="340" w:right="559" w:firstLine="373"/>
        <w:spacing w:after="0" w:line="275" w:lineRule="auto"/>
        <w:rPr>
          <w:sz w:val="20"/>
          <w:szCs w:val="20"/>
          <w:color w:val="auto"/>
        </w:rPr>
      </w:pPr>
      <w:r>
        <w:rPr>
          <w:rFonts w:ascii="Arial" w:cs="Arial" w:eastAsia="Arial" w:hAnsi="Arial"/>
          <w:sz w:val="16"/>
          <w:szCs w:val="16"/>
          <w:b w:val="1"/>
          <w:bCs w:val="1"/>
          <w:i w:val="1"/>
          <w:iCs w:val="1"/>
          <w:color w:val="auto"/>
        </w:rPr>
        <w:t xml:space="preserve">Nerve and Tendon. </w:t>
      </w:r>
      <w:r>
        <w:rPr>
          <w:rFonts w:ascii="Arial" w:cs="Arial" w:eastAsia="Arial" w:hAnsi="Arial"/>
          <w:sz w:val="16"/>
          <w:szCs w:val="16"/>
          <w:color w:val="auto"/>
        </w:rPr>
        <w:t>Surgeons who specialize in foot or hand orthopedic surgery often have to repair nerves and tendons.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these needs, we offer the NeuraGen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Nerve Guide and the NeuraWrap™ Nerve Protector for peripheral nerve repair and protection, and the TenoGlide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Tendon Protector Sheet, all of which are based on our regenerative matrix technology platform.</w:t>
      </w:r>
    </w:p>
    <w:p>
      <w:pPr>
        <w:spacing w:after="0" w:line="7" w:lineRule="exact"/>
        <w:rPr>
          <w:sz w:val="20"/>
          <w:szCs w:val="20"/>
          <w:color w:val="auto"/>
        </w:rPr>
      </w:pPr>
    </w:p>
    <w:p>
      <w:pPr>
        <w:jc w:val="both"/>
        <w:ind w:left="340" w:right="559" w:firstLine="373"/>
        <w:spacing w:after="0" w:line="223" w:lineRule="auto"/>
        <w:rPr>
          <w:sz w:val="20"/>
          <w:szCs w:val="20"/>
          <w:color w:val="auto"/>
        </w:rPr>
      </w:pPr>
      <w:r>
        <w:rPr>
          <w:rFonts w:ascii="Arial" w:cs="Arial" w:eastAsia="Arial" w:hAnsi="Arial"/>
          <w:sz w:val="18"/>
          <w:szCs w:val="18"/>
          <w:color w:val="auto"/>
        </w:rPr>
        <w:t>The NeuraGen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Nerve Guide has been used in many procedures, including peripheral nerve repair in the upper and lower extremities, cranial and facial nerves, as well as procedures for brachial plexus reconstruction. We estimate that the worldwide market for the repair of severed peripheral nerves is approximately $40 million.</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NeuraWrap™ Nerve Protector is a collagen implant designed for the management of injured, compressed or scarred nerves, NeuraWrap™ provides a protective environment for nerve healing and serves as an interface between damaged nerves and surrounding tissue. We estimate that the worldwide market for the repair of injured, compressed and scarred peripheral nerves is approximately $70 million.</w:t>
      </w:r>
    </w:p>
    <w:p>
      <w:pPr>
        <w:spacing w:after="0" w:line="16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b w:val="1"/>
          <w:bCs w:val="1"/>
          <w:i w:val="1"/>
          <w:iCs w:val="1"/>
          <w:color w:val="auto"/>
        </w:rPr>
        <w:t xml:space="preserve">Bone and Joint Fixation Devices and Instruments. </w:t>
      </w:r>
      <w:r>
        <w:rPr>
          <w:rFonts w:ascii="Arial" w:cs="Arial" w:eastAsia="Arial" w:hAnsi="Arial"/>
          <w:sz w:val="17"/>
          <w:szCs w:val="17"/>
          <w:color w:val="auto"/>
        </w:rPr>
        <w:t>We offer the extremity reconstruction surgeon a comprehensive set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bone and joint fixation devices for upper and lower extremity reconstruction, including orthopedic implants and surgical devices for small bone and joint procedures involving the foot, ankle, hand, wrist and elbow. Our products address both the trauma and reconstructive segments of the extremities market, an approximately $900 million market in the U.S.</w:t>
      </w:r>
    </w:p>
    <w:p>
      <w:pPr>
        <w:spacing w:after="0" w:line="131" w:lineRule="exact"/>
        <w:rPr>
          <w:sz w:val="20"/>
          <w:szCs w:val="20"/>
          <w:color w:val="auto"/>
        </w:rPr>
      </w:pPr>
    </w:p>
    <w:p>
      <w:pPr>
        <w:jc w:val="both"/>
        <w:ind w:left="340" w:right="559" w:firstLine="373"/>
        <w:spacing w:after="0" w:line="216" w:lineRule="auto"/>
        <w:rPr>
          <w:sz w:val="20"/>
          <w:szCs w:val="20"/>
          <w:color w:val="auto"/>
        </w:rPr>
      </w:pPr>
      <w:r>
        <w:rPr>
          <w:rFonts w:ascii="Arial" w:cs="Arial" w:eastAsia="Arial" w:hAnsi="Arial"/>
          <w:sz w:val="17"/>
          <w:szCs w:val="17"/>
          <w:color w:val="auto"/>
        </w:rPr>
        <w:t>We are a leading developer and manufacturer of specialty implants and instruments specifically designed for foot and ankle surgery. In reconstruction of the lower extremities, our leading brands include Newdeal</w:t>
      </w:r>
      <w:r>
        <w:rPr>
          <w:rFonts w:ascii="Arial" w:cs="Arial" w:eastAsia="Arial" w:hAnsi="Arial"/>
          <w:sz w:val="25"/>
          <w:szCs w:val="25"/>
          <w:color w:val="auto"/>
          <w:vertAlign w:val="superscript"/>
        </w:rPr>
        <w:t>®</w:t>
      </w:r>
      <w:r>
        <w:rPr>
          <w:rFonts w:ascii="Arial" w:cs="Arial" w:eastAsia="Arial" w:hAnsi="Arial"/>
          <w:sz w:val="17"/>
          <w:szCs w:val="17"/>
          <w:color w:val="auto"/>
        </w:rPr>
        <w:t>, the Uni-CP™ Compression Plate, the Bold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Cannulated Compression Screw, the Uni-Clip</w:t>
      </w:r>
      <w:r>
        <w:rPr>
          <w:rFonts w:ascii="Arial" w:cs="Arial" w:eastAsia="Arial" w:hAnsi="Arial"/>
          <w:sz w:val="25"/>
          <w:szCs w:val="25"/>
          <w:color w:val="auto"/>
          <w:vertAlign w:val="superscript"/>
        </w:rPr>
        <w:t>®</w:t>
      </w:r>
      <w:r>
        <w:rPr>
          <w:rFonts w:ascii="Arial" w:cs="Arial" w:eastAsia="Arial" w:hAnsi="Arial"/>
          <w:sz w:val="17"/>
          <w:szCs w:val="17"/>
          <w:color w:val="auto"/>
        </w:rPr>
        <w:t>, the Advansys</w:t>
      </w:r>
      <w:r>
        <w:rPr>
          <w:rFonts w:ascii="Arial" w:cs="Arial" w:eastAsia="Arial" w:hAnsi="Arial"/>
          <w:sz w:val="15"/>
          <w:szCs w:val="15"/>
          <w:color w:val="auto"/>
        </w:rPr>
        <w:t>™</w:t>
      </w:r>
      <w:r>
        <w:rPr>
          <w:rFonts w:ascii="Arial" w:cs="Arial" w:eastAsia="Arial" w:hAnsi="Arial"/>
          <w:sz w:val="17"/>
          <w:szCs w:val="17"/>
          <w:color w:val="auto"/>
        </w:rPr>
        <w:t>Mid and Hind Foot Plating Systems, the Hallu</w:t>
      </w:r>
      <w:r>
        <w:rPr>
          <w:rFonts w:ascii="Arial" w:cs="Arial" w:eastAsia="Arial" w:hAnsi="Arial"/>
          <w:sz w:val="25"/>
          <w:szCs w:val="25"/>
          <w:color w:val="auto"/>
          <w:vertAlign w:val="superscript"/>
        </w:rPr>
        <w:t>®</w:t>
      </w:r>
      <w:r>
        <w:rPr>
          <w:rFonts w:ascii="Arial" w:cs="Arial" w:eastAsia="Arial" w:hAnsi="Arial"/>
          <w:sz w:val="17"/>
          <w:szCs w:val="17"/>
          <w:color w:val="auto"/>
        </w:rPr>
        <w:t>-Fix System, the PANTA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Nail, and Qwix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Large Qwix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stabilization screws, the HINTEGRA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total ankle prosthesis (sold outside the U.S.), and the Subtalar MBA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Implant System (Maxwell-Brancheau Arthroereisis System), a market leading product that provides a simple and effective means of correcting debilitating flatfoot for both pediatric and adult patients. Customers include orthopedic surgeons specializing in injuries of the foot, ankle and extremities, as well as podiatric surgeons, of which there are 2,300 and 6,200, respectively, in the U.S.</w:t>
      </w: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1" w:lineRule="auto"/>
        <w:rPr>
          <w:sz w:val="20"/>
          <w:szCs w:val="20"/>
          <w:color w:val="auto"/>
        </w:rPr>
      </w:pPr>
      <w:r>
        <w:rPr>
          <w:rFonts w:ascii="Arial" w:cs="Arial" w:eastAsia="Arial" w:hAnsi="Arial"/>
          <w:sz w:val="17"/>
          <w:szCs w:val="17"/>
          <w:color w:val="auto"/>
        </w:rPr>
        <w:t>For upper extremity reconstruction, we offer the Universal2™ Total Wrist Implant System, which is recognized as the premier implant for wrist arthroplasty, a procedure that restores the function of the arthritic wrist. Other leading products offered include the Katalyst™ Bipolar Radial Head System for elbow reconstruction, the Spider™ Limited Wrist Fusion System for intercarpal arthrodesis, the Viper™ Distal Radius Plate for fracture fixation, the Kompressor™ Compression Screw System for small bone fixation, the SafeGuard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Mini Carpal Tunnel Release System for treatment of carpal tunnel syndrome, and the EndoRelease™ Endoscopic Cubital Tunnel System for treatment of cubital tunnel syndrome.</w:t>
      </w:r>
    </w:p>
    <w:p>
      <w:pPr>
        <w:spacing w:after="0" w:line="163" w:lineRule="exact"/>
        <w:rPr>
          <w:sz w:val="20"/>
          <w:szCs w:val="20"/>
          <w:color w:val="auto"/>
        </w:rPr>
      </w:pPr>
    </w:p>
    <w:p>
      <w:pPr>
        <w:jc w:val="both"/>
        <w:ind w:left="340" w:right="559" w:firstLine="373"/>
        <w:spacing w:after="0" w:line="220" w:lineRule="auto"/>
        <w:rPr>
          <w:sz w:val="20"/>
          <w:szCs w:val="20"/>
          <w:color w:val="auto"/>
        </w:rPr>
      </w:pPr>
      <w:r>
        <w:rPr>
          <w:rFonts w:ascii="Arial" w:cs="Arial" w:eastAsia="Arial" w:hAnsi="Arial"/>
          <w:sz w:val="18"/>
          <w:szCs w:val="18"/>
          <w:color w:val="auto"/>
        </w:rPr>
        <w:t>Extremity fixation is an increasingly large segment of the orthopedic market. Over 700,000 extremity fusion and osteotomy procedures were performed in the U.S. in 2008. In March 2008, we introduced the Large Qwix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Fixation and Positioning Screw System, which is designed for correction and fixation of osteotomies, a surgical procedure where a bone is cut to shorten, lengthen or change its alignment, and fractures of the mid and hind foot. The combination of the Large Qwix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screws, with our existing 3mm and 4.3mm Qwix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screws and the Bold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screw, gives Integra’s extremity sales organization a comprehensive line of cannulated screws for lower extremity fixation.</w:t>
      </w:r>
    </w:p>
    <w:p>
      <w:pPr>
        <w:spacing w:after="0" w:line="16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June 2008, Integra introduced the Tibiaxys™ Plating System, which is designed specifically to address ankle arthritis and deformity, and is manufactured from titanium alloy for strength and biocompatibility.</w:t>
      </w:r>
    </w:p>
    <w:p>
      <w:pPr>
        <w:spacing w:after="0" w:line="13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use of plating systems is becoming an increasingly popular technique for the treatment of ankle fractures. Plating is also being used extensively in arthrodesis procedures for the treatment of degenerative diseases of the ankle joint, a technique by which the joint is fused to reduce pain and aid walking. Based on available procedural data, Integra estimates that there are over 20,000 ankle fusion procedures performed annually in the U.S., with an estimated market value of $10-$20 million.</w:t>
      </w:r>
    </w:p>
    <w:p>
      <w:pPr>
        <w:spacing w:after="0" w:line="127"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b w:val="1"/>
          <w:bCs w:val="1"/>
          <w:i w:val="1"/>
          <w:iCs w:val="1"/>
          <w:color w:val="auto"/>
        </w:rPr>
        <w:t xml:space="preserve">Bone Graft Substitutes for Extremity Reconstruction. </w:t>
      </w:r>
      <w:r>
        <w:rPr>
          <w:rFonts w:ascii="Arial" w:cs="Arial" w:eastAsia="Arial" w:hAnsi="Arial"/>
          <w:sz w:val="17"/>
          <w:szCs w:val="17"/>
          <w:color w:val="auto"/>
        </w:rPr>
        <w:t>In March 2008, Integra introduced its line of extremity focused bone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graft substitutes to leverage the strength of its bone and joint fixation products. Integra’s comprehensive line of synthetic bone graft substitutes and demineralized bone matrix products includes three distinct product lines: Integra OS™ Osteoconductive Scaffold, bone void filler manufactured from beta tri-calcium phosphate and type I bovine collagen; Trel-X™ a demineralized bone matrix; and Trel-XC™, a demineralized bone matrix premixed with cancellous bone.</w:t>
      </w:r>
    </w:p>
    <w:p>
      <w:pPr>
        <w:spacing w:after="0" w:line="13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Bone graft substitutes are used in many of the more than 700,000 extremity fusion and osteotomy procedures annually. The extremity reconstruction bone graft market is estimated at more than $50 million annually in the U.S.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 Spine Product Portfolio</w:t>
      </w:r>
    </w:p>
    <w:p>
      <w:pPr>
        <w:spacing w:after="0" w:line="20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2008, the U.S. spinal implant market, consisting of thoracolumbar fusion devices, cervical fusion devices, interbody fusion devices, and motion preservation technologies, was valued at approximately $4.2 billion, representing one of the most dynamic and growing segments of the orthopedic industry. Integra Spine provides comprehensive spinal solutions from the occiput to the sacrum, and has 13 spinal fusion systems, a full line of synthetic orthobiologics, and motion preservation devices in development. Our design philosophy is “fewer parts, fewer steps,” which benefits both the surgeon and patient by decreasing time in the operating room and limiting the number of surgical implants.</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b w:val="1"/>
          <w:bCs w:val="1"/>
          <w:i w:val="1"/>
          <w:iCs w:val="1"/>
          <w:color w:val="auto"/>
        </w:rPr>
        <w:t xml:space="preserve">Spinal Fusion Devices. </w:t>
      </w:r>
      <w:r>
        <w:rPr>
          <w:rFonts w:ascii="Arial" w:cs="Arial" w:eastAsia="Arial" w:hAnsi="Arial"/>
          <w:sz w:val="18"/>
          <w:szCs w:val="18"/>
          <w:color w:val="auto"/>
        </w:rPr>
        <w:t>Many people suffer from chronic back pain, which may be alleviated surgically with a spinal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fusion, the process of removing the disc material and fusing two vertebrae together. However, the vertebrae cannot fuse unless bone touches bone. To create this union, surgeons utilize two types of fusion devices: supplemental fixation systems and interbody/vertebral body replacements.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Supplemental fixation devices are plate and rod systems used to keep the vertebra in place, securing the bone to bone union. Interbody/vertebral body replacements are shaped like a cage and used to hold the bone graft in place. They are placed in the disc space and filled with bone graft or bone type material. Successful spinal fusion requires the combination of supplemental fixation and interbody/vertebral body replacement devices. Integra Spine offers each type of device for the different areas of the spine and specific types of diseases.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Supplemental Fixation Systems. </w:t>
      </w:r>
      <w:r>
        <w:rPr>
          <w:rFonts w:ascii="Arial" w:cs="Arial" w:eastAsia="Arial" w:hAnsi="Arial"/>
          <w:sz w:val="18"/>
          <w:szCs w:val="18"/>
          <w:color w:val="auto"/>
        </w:rPr>
        <w:t>According to industry sources, in 2008 the cervical market was valued at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$700 million. The market consists of posterior and anterior fixation devices, which include plating and rod systems. Integra Spine offers several supplemental fixation systems for cervical procedures. We offer the Tether™ anterior cervical plating system for the anterior side, and the Atoll™ Cervico-Thoracic system for the posterior side. In May 2008, we introduced the Manta Ray™ System in the U.S., a new anterior cervical plate. This system provides a unique locking ring on the screw, which eliminates the need for a secondary locking mechanism.</w:t>
      </w:r>
    </w:p>
    <w:p>
      <w:pPr>
        <w:spacing w:after="0" w:line="16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degenerative market is the largest market segment within the spinal implant market. The majority of the procedures are patients with degenerative disc disease requiring fusion in the lower lumbar region of the spine. Lower back pain affects approximately 80% of Americans at some point in their lives. When back pain is severe, a pedicle screw system may be used to alleviate the chronic back pain and limited mobility caused by various spinal disorders, including spinal tumors. The Coral™ Spinal System is a pedicle screw fusion system used for the correction and stabilization of the lumbar or lower region of the spine. Components of the system incorporate a number of features that make it unique, enabling a lumbar surgery to require fewer implants and fewer surgical steps.</w:t>
      </w:r>
    </w:p>
    <w:p>
      <w:pPr>
        <w:spacing w:after="0" w:line="13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Our Coral™ Spinal System may also be used for surgical procedures to help correct spinal deformities. The unique feature of this system is the semi-malleable titanium rod, which allows for </w:t>
      </w:r>
      <w:r>
        <w:rPr>
          <w:rFonts w:ascii="Arial" w:cs="Arial" w:eastAsia="Arial" w:hAnsi="Arial"/>
          <w:sz w:val="18"/>
          <w:szCs w:val="18"/>
          <w:i w:val="1"/>
          <w:iCs w:val="1"/>
          <w:color w:val="auto"/>
        </w:rPr>
        <w:t>in situ</w:t>
      </w:r>
      <w:r>
        <w:rPr>
          <w:rFonts w:ascii="Arial" w:cs="Arial" w:eastAsia="Arial" w:hAnsi="Arial"/>
          <w:sz w:val="18"/>
          <w:szCs w:val="18"/>
          <w:color w:val="auto"/>
        </w:rPr>
        <w:t xml:space="preserve"> correction techniques. This correction technique is less invasive and allows for a gradual curvature correction of the spine through a specialized segmental bending technique. Further development and focus on the deformity market segment is planned for 2009. In 2008, the deformity market was valued at approximately $475 million.</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b w:val="1"/>
          <w:bCs w:val="1"/>
          <w:i w:val="1"/>
          <w:iCs w:val="1"/>
          <w:color w:val="auto"/>
        </w:rPr>
        <w:t xml:space="preserve">Interbody/vertebral body replacements. </w:t>
      </w:r>
      <w:r>
        <w:rPr>
          <w:rFonts w:ascii="Arial" w:cs="Arial" w:eastAsia="Arial" w:hAnsi="Arial"/>
          <w:sz w:val="17"/>
          <w:szCs w:val="17"/>
          <w:color w:val="auto"/>
        </w:rPr>
        <w:t>Integra Spine offers a number of interbody/vertebral body replacement devices.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include Vu e</w:t>
      </w:r>
      <w:r>
        <w:rPr>
          <w:rFonts w:ascii="Arial" w:cs="Arial" w:eastAsia="Arial" w:hAnsi="Arial"/>
          <w:sz w:val="17"/>
          <w:szCs w:val="17"/>
          <w:b w:val="1"/>
          <w:bCs w:val="1"/>
          <w:color w:val="auto"/>
        </w:rPr>
        <w:t>•</w:t>
      </w:r>
      <w:r>
        <w:rPr>
          <w:rFonts w:ascii="Arial" w:cs="Arial" w:eastAsia="Arial" w:hAnsi="Arial"/>
          <w:sz w:val="17"/>
          <w:szCs w:val="17"/>
          <w:color w:val="auto"/>
        </w:rPr>
        <w:t>POD™, Vu L</w:t>
      </w:r>
      <w:r>
        <w:rPr>
          <w:rFonts w:ascii="Arial" w:cs="Arial" w:eastAsia="Arial" w:hAnsi="Arial"/>
          <w:sz w:val="17"/>
          <w:szCs w:val="17"/>
          <w:b w:val="1"/>
          <w:bCs w:val="1"/>
          <w:color w:val="auto"/>
        </w:rPr>
        <w:t>•</w:t>
      </w:r>
      <w:r>
        <w:rPr>
          <w:rFonts w:ascii="Arial" w:cs="Arial" w:eastAsia="Arial" w:hAnsi="Arial"/>
          <w:sz w:val="17"/>
          <w:szCs w:val="17"/>
          <w:color w:val="auto"/>
        </w:rPr>
        <w:t>POD™, L</w:t>
      </w:r>
      <w:r>
        <w:rPr>
          <w:rFonts w:ascii="Arial" w:cs="Arial" w:eastAsia="Arial" w:hAnsi="Arial"/>
          <w:sz w:val="17"/>
          <w:szCs w:val="17"/>
          <w:b w:val="1"/>
          <w:bCs w:val="1"/>
          <w:color w:val="auto"/>
        </w:rPr>
        <w:t>•</w:t>
      </w:r>
      <w:r>
        <w:rPr>
          <w:rFonts w:ascii="Arial" w:cs="Arial" w:eastAsia="Arial" w:hAnsi="Arial"/>
          <w:sz w:val="17"/>
          <w:szCs w:val="17"/>
          <w:color w:val="auto"/>
        </w:rPr>
        <w:t>POD™, Vu c</w:t>
      </w:r>
      <w:r>
        <w:rPr>
          <w:rFonts w:ascii="Arial" w:cs="Arial" w:eastAsia="Arial" w:hAnsi="Arial"/>
          <w:sz w:val="17"/>
          <w:szCs w:val="17"/>
          <w:b w:val="1"/>
          <w:bCs w:val="1"/>
          <w:color w:val="auto"/>
        </w:rPr>
        <w:t>•</w:t>
      </w:r>
      <w:r>
        <w:rPr>
          <w:rFonts w:ascii="Arial" w:cs="Arial" w:eastAsia="Arial" w:hAnsi="Arial"/>
          <w:sz w:val="17"/>
          <w:szCs w:val="17"/>
          <w:color w:val="auto"/>
        </w:rPr>
        <w:t>POD™ and Vu Mesh™. Each of these devices is a small cage with a unique shape. They are used to hold the graft in place to ensure a successful fusion. In 2008, Integra Spine released the Vu aPOD™, the first anterior lumbar intervertebral fusion (ALIF) device with an optional internal SpinPlate to receive FDA clearance. The SpinPlate provides further security against risk of implant expulsion.</w:t>
      </w:r>
    </w:p>
    <w:p>
      <w:pPr>
        <w:spacing w:after="0" w:line="14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6"/>
          <w:szCs w:val="16"/>
          <w:b w:val="1"/>
          <w:bCs w:val="1"/>
          <w:i w:val="1"/>
          <w:iCs w:val="1"/>
          <w:color w:val="auto"/>
        </w:rPr>
        <w:t xml:space="preserve">Synthetic Orthobiologics. </w:t>
      </w:r>
      <w:r>
        <w:rPr>
          <w:rFonts w:ascii="Arial" w:cs="Arial" w:eastAsia="Arial" w:hAnsi="Arial"/>
          <w:sz w:val="16"/>
          <w:szCs w:val="16"/>
          <w:color w:val="auto"/>
        </w:rPr>
        <w:t>Synthetic bone substitute is a growing market because of the need for a second incision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harvesting the patient’s own bone for the procedure. Our synthetic bone product line consists of beta-tricalcium phosphate (“TCP”) grafts and putty and is manufactured with the patented Theriform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technology, which controls the porosity and structure of the product, makes the product unique, and enhances its performance. The controlled porosity and structure allows for the synthetic bone to resorb back into the body more slowly, which enables it to stay in place long enough to allow the bones to grow together and create a successful fusion. Studies show that beta-TCP maintains high levels of bone in-growth, while maintaining controlled graft resorption rates, resulting in high quality bone with mechanical properties comparable to native tissue.</w:t>
      </w:r>
    </w:p>
    <w:p>
      <w:pPr>
        <w:spacing w:after="0" w:line="13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b w:val="1"/>
          <w:bCs w:val="1"/>
          <w:i w:val="1"/>
          <w:iCs w:val="1"/>
          <w:color w:val="auto"/>
        </w:rPr>
        <w:t xml:space="preserve">Motion Preservation Devices. </w:t>
      </w:r>
      <w:r>
        <w:rPr>
          <w:rFonts w:ascii="Arial" w:cs="Arial" w:eastAsia="Arial" w:hAnsi="Arial"/>
          <w:sz w:val="18"/>
          <w:szCs w:val="18"/>
          <w:color w:val="auto"/>
        </w:rPr>
        <w:t>The spinal fixation market is evolving toward motion preservation. Motion preservation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 are utilized in place of fixation devices, in efforts to maintain some of the patient’s natural motion. Total disc replacement (“TDR”) for the cervical and lumbar market is the leading technology in this area. Integra Spine is developing the eDisc, a lumbar TDR, which incorporates proprietary polymer and embedded microelectronics. The eDisc is the first artificial disc to incorporate microelectronics.</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 OrthoBiologics Product Portfolio</w:t>
      </w:r>
    </w:p>
    <w:p>
      <w:pPr>
        <w:spacing w:after="0" w:line="202" w:lineRule="exact"/>
        <w:rPr>
          <w:sz w:val="20"/>
          <w:szCs w:val="20"/>
          <w:color w:val="auto"/>
        </w:rPr>
      </w:pPr>
    </w:p>
    <w:p>
      <w:pPr>
        <w:jc w:val="both"/>
        <w:ind w:left="340" w:right="559" w:firstLine="373"/>
        <w:spacing w:after="0" w:line="298" w:lineRule="auto"/>
        <w:rPr>
          <w:sz w:val="20"/>
          <w:szCs w:val="20"/>
          <w:color w:val="auto"/>
        </w:rPr>
      </w:pPr>
      <w:r>
        <w:rPr>
          <w:rFonts w:ascii="Arial" w:cs="Arial" w:eastAsia="Arial" w:hAnsi="Arial"/>
          <w:sz w:val="16"/>
          <w:szCs w:val="16"/>
          <w:color w:val="auto"/>
        </w:rPr>
        <w:t>Integra offers a comprehensive family of orthobiologic products and deploys an established network of distributors focusing on orthopedic surgeons. We market and sell a range of innovative bone graft substitutes and other related medical devices that are used to enhance the repair and regeneration of bone in spinal and trauma surgery, total joint replacements and dental applications. Integra is one of the largest companies in the world focused on advanced technology in orthobiologics. We have a product portfolio encompassing some of the largest and most trusted orthobiologic brands, such as Integra Mozaik™ Osteoconductive Scaffold, the Accell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family of demineralized bone matrix products, and DynaGraft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and OrthoBlast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w:t>
      </w:r>
    </w:p>
    <w:p>
      <w:pPr>
        <w:spacing w:after="0" w:line="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Degenerative disease of the spine is increasingly prevalent in the aging population. Patients who experience severe pain and who do not respond to conservative therapies may require fusion of one or more vertebrae (spinal fusion). A spinal fusion is successful when the bones grow together biologically and form a solid mass. Surgeons frequently use bone grafts or other materials to aid and promote bone growth to achieve fusion. The use of bone graft substitutes in spinal procedures, excluding recombinant bone morphogenetic proteins, represents an estimated $400 million market. In 2008, an estimated 500,000 spinal fusion procedures were performed in the U.S, including over 200,000 cervical spinal fusions. Additional opportunity exists in orthopedic reconstructive applications.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MEDICAL INSTRUMENTS PRODUCT PORTFOLIO</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are one of the leading surgical instrument companies in the U.S., providing more than 60,000 instrument patterns and surgical products to hospitals, surgery centers, and dental, podiatry, veterinarian and physician offices.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 Surgical</w:t>
      </w:r>
    </w:p>
    <w:p>
      <w:pPr>
        <w:spacing w:after="0" w:line="189" w:lineRule="exact"/>
        <w:rPr>
          <w:sz w:val="20"/>
          <w:szCs w:val="20"/>
          <w:color w:val="auto"/>
        </w:rPr>
      </w:pPr>
    </w:p>
    <w:p>
      <w:pPr>
        <w:jc w:val="both"/>
        <w:ind w:left="340" w:right="559" w:firstLine="373"/>
        <w:spacing w:after="0" w:line="216" w:lineRule="auto"/>
        <w:rPr>
          <w:sz w:val="20"/>
          <w:szCs w:val="20"/>
          <w:color w:val="auto"/>
        </w:rPr>
      </w:pPr>
      <w:r>
        <w:rPr>
          <w:rFonts w:ascii="Arial" w:cs="Arial" w:eastAsia="Arial" w:hAnsi="Arial"/>
          <w:sz w:val="17"/>
          <w:szCs w:val="17"/>
          <w:color w:val="auto"/>
        </w:rPr>
        <w:t>Integra Surgical is a leading supplier of innovative, high quality operating room instrumentation and surgical lighting. For over 35 years, the Jarit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instrument line has offered a comprehensive selection of reusable surgical instruments that provides a complete solution for laparoscopic, general, cardiovascular, neuro, gynecological, and orthopedic surgical specialties. For over 25 years,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products have led the surgical illumination market. Today these products include market leading Xenon illumination systems, digital video recording systems, fiber optic cables and surgical loupes. For over 35 years, innovative market leading Omni-Tract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Surgical table retractor systems have offered surgeons and operating rooms the benefits of light weight, fewer parts, and fast, easy set up. Our CIMS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Consulting services and software offers comprehensive, integrated instrument solutions for managing surgical instrument assets.</w:t>
      </w:r>
    </w:p>
    <w:p>
      <w:pPr>
        <w:spacing w:after="0" w:line="179" w:lineRule="exact"/>
        <w:rPr>
          <w:sz w:val="20"/>
          <w:szCs w:val="20"/>
          <w:color w:val="auto"/>
        </w:rPr>
      </w:pPr>
    </w:p>
    <w:p>
      <w:pPr>
        <w:jc w:val="both"/>
        <w:ind w:left="340" w:right="559" w:firstLine="373"/>
        <w:spacing w:after="0" w:line="208" w:lineRule="auto"/>
        <w:rPr>
          <w:sz w:val="20"/>
          <w:szCs w:val="20"/>
          <w:color w:val="auto"/>
        </w:rPr>
      </w:pPr>
      <w:r>
        <w:rPr>
          <w:rFonts w:ascii="Arial" w:cs="Arial" w:eastAsia="Arial" w:hAnsi="Arial"/>
          <w:sz w:val="18"/>
          <w:szCs w:val="18"/>
          <w:color w:val="auto"/>
        </w:rPr>
        <w:t>In October 2008, we introduced the Luxtec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MLX 300W Xenon light source for use in surgical procedures, the latest addition to Luxtec’s extensive line of illumination systems. Most surgical procedures require directed white light to visualize blood vessels, muscle tissue and specific anatomical features. Over 60,000 surgeons worldwide use Luxtec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light sources for optimal surgical site visualization.</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Miltex</w:t>
      </w:r>
    </w:p>
    <w:p>
      <w:pPr>
        <w:spacing w:after="0" w:line="189"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For more than 50 years, Miltex, Inc. has established itself as one of the largest and most respected suppliers of hand-held surgical instruments in the alternate site market, which includes surgical, dental, podiatry and veterinarian markets.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Integra Pain Management</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Integra Pain Management is one of the preferred choices in disposable products for interventional and chronic pain management. The product line offers quality disposable devices for steroid injections, discography, and radiofrequency procedures. Integra Pain Management specializes in custom designed trays for steroid injections within the spine. These custom trays focus on patient safety and effective treatment, while reducing costly facility waste. Injecting steroid products into the spine, with the use of Integra Pain Management’s instruments, can reduce nerve inflammation, effectively reducing or eliminating back pain.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STRATEGY</w:t>
      </w:r>
    </w:p>
    <w:p>
      <w:pPr>
        <w:spacing w:after="0" w:line="20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We spent $60.5 million, $30.7 million and $25.7 million in 2008, 2007 and 2006, respectively, on research and development activities. The 2008 amount includes $25.2 million in-process research and development charges recorded in connection with the Theken acquisition. The 2007 amount includes $4.6 million in-process research and development charges recorded in connection with the IsoTis acquisition. The 2006 amount includes a $5.9 million in-process research and development charge recorded in connection with the KMI acquisition. Increases in research and development expenditures will accelerate the development of new devices for neurosurgery, extremity reconstruction and orthobiologics.</w:t>
      </w:r>
    </w:p>
    <w:p>
      <w:pPr>
        <w:spacing w:after="0" w:line="13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research and development activities focus on identifying and evaluating unmet surgical needs and product improvement opportunities to drive the development of innovative solutions and products. We apply our technological and developmental core competencies to develop regenerative products for neurosurgical, orthopedic and spinal applications, neuro-monitoring and CSF management, cranial stabilization and closure, tissue ablation, surgical instruments and spine, soft tissue, extremity small bone, and joint fixation. Our activities include both internal product development initiatives and the acquisition of proprietary rights to strategic technological platforms.</w:t>
      </w:r>
    </w:p>
    <w:p>
      <w:pPr>
        <w:spacing w:after="0" w:line="153"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b w:val="1"/>
          <w:bCs w:val="1"/>
          <w:i w:val="1"/>
          <w:iCs w:val="1"/>
          <w:color w:val="auto"/>
        </w:rPr>
        <w:t xml:space="preserve">Regenerative Products. </w:t>
      </w:r>
      <w:r>
        <w:rPr>
          <w:rFonts w:ascii="Arial" w:cs="Arial" w:eastAsia="Arial" w:hAnsi="Arial"/>
          <w:sz w:val="17"/>
          <w:szCs w:val="17"/>
          <w:color w:val="auto"/>
        </w:rPr>
        <w:t>Because implants represent a fast-growing, high-margin segment for us, a large portion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expenditure is allocated to the development of these products. Our regenerative product development portfolio focuses on applying our expertise in biomaterials and collagen matrices to support the development of innovative products targeted at neurosurgical, orthopedic and spinal surgery applications, as well as dermal regeneration, nerve repair, and wound dressing applications. Our focus on technological advancement, product segmentation and differentiation activities will continue to drive our activities in each of these areas. We are committed to investing in, and proving the safety and efficacy of, our regenerative products.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b w:val="1"/>
          <w:bCs w:val="1"/>
          <w:i w:val="1"/>
          <w:iCs w:val="1"/>
          <w:color w:val="auto"/>
        </w:rPr>
        <w:t xml:space="preserve">Neurosurgery. </w:t>
      </w:r>
      <w:r>
        <w:rPr>
          <w:rFonts w:ascii="Arial" w:cs="Arial" w:eastAsia="Arial" w:hAnsi="Arial"/>
          <w:sz w:val="18"/>
          <w:szCs w:val="18"/>
          <w:color w:val="auto"/>
        </w:rPr>
        <w:t>With a focus on our neurosurgery customers and distribution channel, our 2009 research and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activities will be directed toward the development of new systems and tips for ultrasonic removal of tumors and bone, next generation cranial stabilization systems for surgical procedures with intraoperative imaging, regenerative solutions for dural closure, shunt product improvements, next generation stereotaxy products and expanded applications in radiation therapy. For neuro critical care customers, our 2009 development activities will be focused on improvements in Integra’s advanced neuromonitoring technology.</w:t>
      </w:r>
    </w:p>
    <w:p>
      <w:pPr>
        <w:spacing w:after="0" w:line="166" w:lineRule="exact"/>
        <w:rPr>
          <w:sz w:val="20"/>
          <w:szCs w:val="20"/>
          <w:color w:val="auto"/>
        </w:rPr>
      </w:pPr>
    </w:p>
    <w:p>
      <w:pPr>
        <w:jc w:val="both"/>
        <w:ind w:left="340" w:right="559" w:firstLine="373"/>
        <w:spacing w:after="0" w:line="208" w:lineRule="auto"/>
        <w:rPr>
          <w:sz w:val="20"/>
          <w:szCs w:val="20"/>
          <w:color w:val="auto"/>
        </w:rPr>
      </w:pPr>
      <w:r>
        <w:rPr>
          <w:rFonts w:ascii="Arial" w:cs="Arial" w:eastAsia="Arial" w:hAnsi="Arial"/>
          <w:sz w:val="18"/>
          <w:szCs w:val="18"/>
          <w:color w:val="auto"/>
        </w:rPr>
        <w:t>We continue to invest in clinical research and will continue enrolling patients in our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Adhesion Barrier Matrix multi-center clinical trial in the U.S. being conducted under an FDA Investigational Device Exemption (“IDE”). This study is designed to demonstrate the safety and effectiveness of the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as an adhesion barrier in spine surgery.</w:t>
      </w:r>
    </w:p>
    <w:p>
      <w:pPr>
        <w:spacing w:after="0" w:line="163"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b w:val="1"/>
          <w:bCs w:val="1"/>
          <w:i w:val="1"/>
          <w:iCs w:val="1"/>
          <w:color w:val="auto"/>
        </w:rPr>
        <w:t xml:space="preserve">Extremity Reconstruction. </w:t>
      </w:r>
      <w:r>
        <w:rPr>
          <w:rFonts w:ascii="Arial" w:cs="Arial" w:eastAsia="Arial" w:hAnsi="Arial"/>
          <w:sz w:val="16"/>
          <w:szCs w:val="16"/>
          <w:color w:val="auto"/>
        </w:rPr>
        <w:t>We continue to build and expand the capabilities of our product development team, focusing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development of fixation devices for upper and lower extremity reconstruction, skin and soft tissue products, and have structured a robust product development program that will advance our product offerings. This program includes the development of devices for both the upper and lower extremities. In 2008, we launched six significant extremities products; five for use in lower extremity procedures and one novel endoscopic system for upper extremity ulnar nerve release procedures.</w:t>
      </w:r>
    </w:p>
    <w:p>
      <w:pPr>
        <w:spacing w:after="0" w:line="11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b w:val="1"/>
          <w:bCs w:val="1"/>
          <w:i w:val="1"/>
          <w:iCs w:val="1"/>
          <w:color w:val="auto"/>
        </w:rPr>
        <w:t xml:space="preserve">Orthobiologics. </w:t>
      </w:r>
      <w:r>
        <w:rPr>
          <w:rFonts w:ascii="Arial" w:cs="Arial" w:eastAsia="Arial" w:hAnsi="Arial"/>
          <w:sz w:val="16"/>
          <w:szCs w:val="16"/>
          <w:color w:val="auto"/>
        </w:rPr>
        <w:t>We have built a strong orthobiologic product development capability that leverages our Accell family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demineralized bone matrix product lines and our Integra Mozaik™ Osteoconductive Scaffold, resorbable bone void filler product line. We are pursuing product development synergies and opportunities in both of these areas. In 2008, we launched our third generation demineralized bone matrix, Accell Evo3™. We also launched additional sizes of Integra Mozaik™ Putty and Accell TBM</w:t>
      </w:r>
      <w:r>
        <w:rPr>
          <w:rFonts w:ascii="Arial" w:cs="Arial" w:eastAsia="Arial" w:hAnsi="Arial"/>
          <w:sz w:val="13"/>
          <w:szCs w:val="13"/>
          <w:color w:val="auto"/>
        </w:rPr>
        <w:t>®</w:t>
      </w:r>
      <w:r>
        <w:rPr>
          <w:rFonts w:ascii="Arial" w:cs="Arial" w:eastAsia="Arial" w:hAnsi="Arial"/>
          <w:sz w:val="16"/>
          <w:szCs w:val="16"/>
          <w:color w:val="auto"/>
        </w:rPr>
        <w:t xml:space="preserve"> (Total Bone Matrix) to address a wider variety of orthopedic procedures requiring bone grafting materials.</w:t>
      </w:r>
    </w:p>
    <w:p>
      <w:pPr>
        <w:spacing w:after="0" w:line="131"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b w:val="1"/>
          <w:bCs w:val="1"/>
          <w:i w:val="1"/>
          <w:iCs w:val="1"/>
          <w:color w:val="auto"/>
        </w:rPr>
        <w:t xml:space="preserve">Spine. </w:t>
      </w:r>
      <w:r>
        <w:rPr>
          <w:rFonts w:ascii="Arial" w:cs="Arial" w:eastAsia="Arial" w:hAnsi="Arial"/>
          <w:sz w:val="16"/>
          <w:szCs w:val="16"/>
          <w:color w:val="auto"/>
        </w:rPr>
        <w:t>The recent acquisition of Theken expands Integra’s product development engine with a strong engineering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prototyping and mechanical testing capabilities and a portfolio of active spine implant product developments. Included are exciting new projects in synthetic orthobiologic scaffolding for bone and tissue regeneration, and projects in the rapidly growing spine segment of motion preservation. In 2008, Integra Spine received FDA clearance for four products. The most significant product launches were the Vu aPOD™ Intervertebral Body Fusion Device and the Manta Ray™ Anterior Cervical Plate.”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largest competitors in the neurosurgery markets are the Medtronic Neurologic Technologies division of Medtronic, Inc., the Codman division of Johnson &amp; Johnson, the Stryker Craniomaxillofacial division of Stryker Corporation and the Aesculap division of B. Braun. In addition, many of our neurosurgery product lines compete with smaller specialized companies and larger companies that do not otherwise focus on neurosurgery.</w:t>
      </w:r>
    </w:p>
    <w:p>
      <w:pPr>
        <w:spacing w:after="0" w:line="16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competition in extremity reconstruction includes the DePuy division of Johnson &amp; Johnson, Synthes, Inc., Stryker Corporation, Wright Medical Group, Inc., Zimmer, Small Bone Innovations, Inc., and Tornier, Inc., as well as other major orthopedic companies that carry a full line of small bone and joint fixation and soft tissue products.</w:t>
      </w:r>
    </w:p>
    <w:p>
      <w:pPr>
        <w:spacing w:after="0" w:line="141"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Competitors for our newly launched Integra Spine business include Medtronic, Inc., the DePuy division of Johnson &amp; Johnson, Synthes, Inc., Stryker Corporation, Zimmer, NuVasive, Inc., Globus Medical Inc., Alphatec Spine, Inc., and Orthofix.</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competitors in our orthobiologics business include such well-established companies as Medtronic, Inc., Synthes, Inc.</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Johnson &amp; Johnson and also include several smaller, biologic-focused companies, such as Osteotech and Orthovita.</w:t>
      </w:r>
    </w:p>
    <w:p>
      <w:pPr>
        <w:spacing w:after="0" w:line="19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believe that we are the second largest reusable surgical instrument company in the U.S. We compete with the largest reusable instrument company, V. Mueller, a division of Cardinal Healthcare, as well as the Aesculap division of B. Braun. In addition, we compete with the Codman division of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private-label products face diverse and broad competition, depending on the market addressed by the product.</w:t>
      </w:r>
    </w:p>
    <w:p>
      <w:pPr>
        <w:spacing w:after="0" w:line="19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marketing partner, sophistication of our technology and cost effectiveness of our solution to the customer’s medical requirements.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a manufacturer and marketer of medical devices, we are subject to extensive regulation by the FDA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w:t>
      </w:r>
    </w:p>
    <w:p>
      <w:pPr>
        <w:spacing w:after="0" w:line="153"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regulatory process of obtaining product approvals and clearances can be onerous and costly. The FDA requires, as a condition to marketing a medical device in the U.S., that we secure a Premarket Notification clearance pursuant to Section 510(k) of the Federal Food, Drug and Cosmetic Act (the “FFDCA”), an approved Premarket Approval application (or supplemental PMA application) or an approved Product Development Protocol. Obtaining these approvals and clearances can take up to several years and involves preclinical studies and clinical testing. The FDA has announced that it is reviewing the 510(k) Premarket Notification process which may result in more extensive testing and clinical trial requirements. To perform clinical trials for significant risk devices in the U.S. on an unapproved product, we are required to obtain an Investigational Device 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provide notices to the FDA, maintain certain records relating to exports and make these records available to the FDA for inspection, if required.</w:t>
      </w:r>
    </w:p>
    <w:p>
      <w:pPr>
        <w:spacing w:after="0" w:line="13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 other regulatory submissions. There may be increases in user fees on an annual basis as well as additional user fees established by the FDA.</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Integra, through the acquisition of IsoTis OrthoBiologics, manufactures medical devices derived from human tissue (demineralized bone tissue).</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5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Some HCT/Ps also meet the definition of a biological product, medical device or drug regulated under the FFDCA. These biologic, device or drug HCT/Ps must comply both with the requirements exclusively applicable to HCT/Ps and, in addition, with requirements applicable to biologics, devices or drugs, including premarket clearance or approval from FDA.</w:t>
      </w:r>
    </w:p>
    <w:p>
      <w:pPr>
        <w:spacing w:after="0" w:line="12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when processing, storing, labeling, and distribution HCT/Ps, including required labeling information, stringent record keeping, and adverse event reporting.</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Some states have their own tissue banking regulation. We are licensed or have permits for tissue banking in California, Florida, New York and Maryland. In addition, tissue banks may undergo voluntary accreditation by the American Association of Tissue Banks (“AATB”). The AATB has issued operating standards for tissue banking. Compliance with these standards is a requirement in order to become an AATB-accredited tissue establishment.</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of the National Organ 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42"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i w:val="1"/>
          <w:iCs w:val="1"/>
          <w:color w:val="auto"/>
        </w:rPr>
        <w:t xml:space="preserve">Postmarket Requirements. </w:t>
      </w:r>
      <w:r>
        <w:rPr>
          <w:rFonts w:ascii="Arial" w:cs="Arial" w:eastAsia="Arial" w:hAnsi="Arial"/>
          <w:sz w:val="16"/>
          <w:szCs w:val="16"/>
          <w:color w:val="auto"/>
        </w:rPr>
        <w:t>After a device is cleared or approved for commercial distribution, numerous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apply. These include the FDA Quality System Regulation which covers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FFDCA.</w:t>
      </w:r>
    </w:p>
    <w:p>
      <w:pPr>
        <w:spacing w:after="0" w:line="126"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We are also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Department of Justice.</w:t>
      </w:r>
    </w:p>
    <w:p>
      <w:pPr>
        <w:spacing w:after="0" w:line="15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Medical device regulations also are in effect in many of the countries outside the U.S.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CE Mark Certification requires a comprehensive Quality System program, comprehensive technical documentation and data on the product, which a Notified Body (an organization designated by the national governments of the European Union member states to make independent judgments about whether a product complies with the protection requirements established by each CE marking directive) in Europe reviews. The Medical Device Directive, ISO 9000 series and ISO 13485 are recognized international quality standards that are designed to ensure that we develop and manufacture quality medical devices. A recognized Notified Body audits our facilities annually to verify our compliance with these standards. As a result of an amendment to Japan’s Pharmaceutical Affairs Law that went into effect on April 1, 2005, new regulations and requirements for obtaining approval of medical devices, including new requirements governing the conduct of clinical trials, the manufacturing of products and the distribution of products in Japan became law. Australia, China and other countries have issued new regulations on the approval and registration process for Medical Devices with which we must comply with in order to sell our products in those countries.</w:t>
      </w:r>
    </w:p>
    <w:p>
      <w:pPr>
        <w:spacing w:after="0" w:line="14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European Union (the “EU”), our products that contain human derived tissue, including those containing DBM, are not medical devices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Certain countries, as well as the European Union,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51"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Regulatory Oversight Of The Medical Device Industry Might Affect The Manner In Which We May Sell Medical Devices.”</w:t>
      </w:r>
    </w:p>
    <w:p>
      <w:pPr>
        <w:spacing w:after="0" w:line="12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and the U.S. Foreign Corrupt Practices Act.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4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15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addition to the above regulations, we are and may be subject to regulation under federal and state laws, including, but not limited to, requirements regarding occupational health and safety, laboratory practices and the maintenance of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14"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i w:val="1"/>
          <w:iCs w:val="1"/>
          <w:color w:val="auto"/>
        </w:rPr>
        <w:t xml:space="preserve">Third-Party Reimbursement. </w:t>
      </w:r>
      <w:r>
        <w:rPr>
          <w:rFonts w:ascii="Arial" w:cs="Arial" w:eastAsia="Arial" w:hAnsi="Arial"/>
          <w:sz w:val="16"/>
          <w:szCs w:val="16"/>
          <w:color w:val="auto"/>
        </w:rPr>
        <w:t>Healthcare providers that purchase medical devices generally rely on third-party payers,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Medicare and Medicaid programs and private payers,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payers. The manner in which reimbursement is sought and obtained varies based upon the type of payer involved and the setting in which the product is furnished and utilized. Reimbursement from Medicare, Medicaid and other third-party payers may be subject to periodic adjustments as a result of legislative, regulatory and policy changes as well as budgetary pressures. Possible reductions in, or eliminations of, coverage or reimbursement by third-party payers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PATENTS AND INTELLECTUAL PROPERTY</w:t>
      </w:r>
    </w:p>
    <w:p>
      <w:pPr>
        <w:spacing w:after="0" w:line="202"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We seek patent protection for our key technology, products and product improvements, both in the U.S.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27" w:lineRule="auto"/>
        <w:rPr>
          <w:sz w:val="20"/>
          <w:szCs w:val="20"/>
          <w:color w:val="auto"/>
        </w:rPr>
      </w:pPr>
      <w:r>
        <w:rPr>
          <w:rFonts w:ascii="Arial" w:cs="Arial" w:eastAsia="Arial" w:hAnsi="Arial"/>
          <w:sz w:val="16"/>
          <w:szCs w:val="16"/>
          <w:color w:val="auto"/>
        </w:rPr>
        <w:t>AccuDrain</w:t>
      </w:r>
      <w:r>
        <w:rPr>
          <w:rFonts w:ascii="Arial" w:cs="Arial" w:eastAsia="Arial" w:hAnsi="Arial"/>
          <w:sz w:val="23"/>
          <w:szCs w:val="23"/>
          <w:color w:val="auto"/>
          <w:vertAlign w:val="superscript"/>
        </w:rPr>
        <w:t>®</w:t>
      </w:r>
      <w:r>
        <w:rPr>
          <w:rFonts w:ascii="Arial" w:cs="Arial" w:eastAsia="Arial" w:hAnsi="Arial"/>
          <w:sz w:val="16"/>
          <w:szCs w:val="16"/>
          <w:color w:val="auto"/>
        </w:rPr>
        <w:t>, Accell</w:t>
      </w:r>
      <w:r>
        <w:rPr>
          <w:rFonts w:ascii="Arial" w:cs="Arial" w:eastAsia="Arial" w:hAnsi="Arial"/>
          <w:sz w:val="23"/>
          <w:szCs w:val="23"/>
          <w:color w:val="auto"/>
          <w:vertAlign w:val="superscript"/>
        </w:rPr>
        <w:t>®</w:t>
      </w:r>
      <w:r>
        <w:rPr>
          <w:rFonts w:ascii="Arial" w:cs="Arial" w:eastAsia="Arial" w:hAnsi="Arial"/>
          <w:sz w:val="16"/>
          <w:szCs w:val="16"/>
          <w:color w:val="auto"/>
        </w:rPr>
        <w:t>, Atoll™, Bold</w:t>
      </w:r>
      <w:r>
        <w:rPr>
          <w:rFonts w:ascii="Arial" w:cs="Arial" w:eastAsia="Arial" w:hAnsi="Arial"/>
          <w:sz w:val="23"/>
          <w:szCs w:val="23"/>
          <w:color w:val="auto"/>
          <w:vertAlign w:val="superscript"/>
        </w:rPr>
        <w:t>®</w:t>
      </w:r>
      <w:r>
        <w:rPr>
          <w:rFonts w:ascii="Arial" w:cs="Arial" w:eastAsia="Arial" w:hAnsi="Arial"/>
          <w:sz w:val="16"/>
          <w:szCs w:val="16"/>
          <w:color w:val="auto"/>
        </w:rPr>
        <w:t>, Camino</w:t>
      </w:r>
      <w:r>
        <w:rPr>
          <w:rFonts w:ascii="Arial" w:cs="Arial" w:eastAsia="Arial" w:hAnsi="Arial"/>
          <w:sz w:val="23"/>
          <w:szCs w:val="23"/>
          <w:color w:val="auto"/>
          <w:vertAlign w:val="superscript"/>
        </w:rPr>
        <w:t>®</w:t>
      </w:r>
      <w:r>
        <w:rPr>
          <w:rFonts w:ascii="Arial" w:cs="Arial" w:eastAsia="Arial" w:hAnsi="Arial"/>
          <w:sz w:val="16"/>
          <w:szCs w:val="16"/>
          <w:color w:val="auto"/>
        </w:rPr>
        <w:t>, CRW</w:t>
      </w:r>
      <w:r>
        <w:rPr>
          <w:rFonts w:ascii="Arial" w:cs="Arial" w:eastAsia="Arial" w:hAnsi="Arial"/>
          <w:sz w:val="23"/>
          <w:szCs w:val="23"/>
          <w:color w:val="auto"/>
          <w:vertAlign w:val="superscript"/>
        </w:rPr>
        <w:t>®</w:t>
      </w:r>
      <w:r>
        <w:rPr>
          <w:rFonts w:ascii="Arial" w:cs="Arial" w:eastAsia="Arial" w:hAnsi="Arial"/>
          <w:sz w:val="16"/>
          <w:szCs w:val="16"/>
          <w:color w:val="auto"/>
        </w:rPr>
        <w:t>, Coral™, CUSA</w:t>
      </w:r>
      <w:r>
        <w:rPr>
          <w:rFonts w:ascii="Arial" w:cs="Arial" w:eastAsia="Arial" w:hAnsi="Arial"/>
          <w:sz w:val="23"/>
          <w:szCs w:val="23"/>
          <w:color w:val="auto"/>
          <w:vertAlign w:val="superscript"/>
        </w:rPr>
        <w:t>®</w:t>
      </w:r>
      <w:r>
        <w:rPr>
          <w:rFonts w:ascii="Arial" w:cs="Arial" w:eastAsia="Arial" w:hAnsi="Arial"/>
          <w:sz w:val="16"/>
          <w:szCs w:val="16"/>
          <w:color w:val="auto"/>
        </w:rPr>
        <w:t>, CUSA Excel</w:t>
      </w:r>
      <w:r>
        <w:rPr>
          <w:rFonts w:ascii="Arial" w:cs="Arial" w:eastAsia="Arial" w:hAnsi="Arial"/>
          <w:sz w:val="23"/>
          <w:szCs w:val="23"/>
          <w:color w:val="auto"/>
          <w:vertAlign w:val="superscript"/>
        </w:rPr>
        <w:t>®</w:t>
      </w:r>
      <w:r>
        <w:rPr>
          <w:rFonts w:ascii="Arial" w:cs="Arial" w:eastAsia="Arial" w:hAnsi="Arial"/>
          <w:sz w:val="16"/>
          <w:szCs w:val="16"/>
          <w:color w:val="auto"/>
        </w:rPr>
        <w:t>, DenLite</w:t>
      </w:r>
      <w:r>
        <w:rPr>
          <w:rFonts w:ascii="Arial" w:cs="Arial" w:eastAsia="Arial" w:hAnsi="Arial"/>
          <w:sz w:val="23"/>
          <w:szCs w:val="23"/>
          <w:color w:val="auto"/>
          <w:vertAlign w:val="superscript"/>
        </w:rPr>
        <w:t>®</w:t>
      </w:r>
      <w:r>
        <w:rPr>
          <w:rFonts w:ascii="Arial" w:cs="Arial" w:eastAsia="Arial" w:hAnsi="Arial"/>
          <w:sz w:val="16"/>
          <w:szCs w:val="16"/>
          <w:color w:val="auto"/>
        </w:rPr>
        <w:t>, Dissectron</w:t>
      </w:r>
      <w:r>
        <w:rPr>
          <w:rFonts w:ascii="Arial" w:cs="Arial" w:eastAsia="Arial" w:hAnsi="Arial"/>
          <w:sz w:val="23"/>
          <w:szCs w:val="23"/>
          <w:color w:val="auto"/>
          <w:vertAlign w:val="superscript"/>
        </w:rPr>
        <w:t>®</w:t>
      </w:r>
      <w:r>
        <w:rPr>
          <w:rFonts w:ascii="Arial" w:cs="Arial" w:eastAsia="Arial" w:hAnsi="Arial"/>
          <w:sz w:val="16"/>
          <w:szCs w:val="16"/>
          <w:color w:val="auto"/>
        </w:rPr>
        <w:t>, DuraGen</w:t>
      </w:r>
      <w:r>
        <w:rPr>
          <w:rFonts w:ascii="Arial" w:cs="Arial" w:eastAsia="Arial" w:hAnsi="Arial"/>
          <w:sz w:val="23"/>
          <w:szCs w:val="23"/>
          <w:color w:val="auto"/>
          <w:vertAlign w:val="superscript"/>
        </w:rPr>
        <w:t>®</w:t>
      </w:r>
      <w:r>
        <w:rPr>
          <w:rFonts w:ascii="Arial" w:cs="Arial" w:eastAsia="Arial" w:hAnsi="Arial"/>
          <w:sz w:val="16"/>
          <w:szCs w:val="16"/>
          <w:color w:val="auto"/>
        </w:rPr>
        <w:t>, DuraGen Plus</w:t>
      </w:r>
      <w:r>
        <w:rPr>
          <w:rFonts w:ascii="Arial" w:cs="Arial" w:eastAsia="Arial" w:hAnsi="Arial"/>
          <w:sz w:val="23"/>
          <w:szCs w:val="23"/>
          <w:color w:val="auto"/>
          <w:vertAlign w:val="superscript"/>
        </w:rPr>
        <w:t>®</w:t>
      </w:r>
      <w:r>
        <w:rPr>
          <w:rFonts w:ascii="Arial" w:cs="Arial" w:eastAsia="Arial" w:hAnsi="Arial"/>
          <w:sz w:val="16"/>
          <w:szCs w:val="16"/>
          <w:color w:val="auto"/>
        </w:rPr>
        <w:t>, DynaGraft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Hallu</w:t>
      </w:r>
      <w:r>
        <w:rPr>
          <w:rFonts w:ascii="Arial" w:cs="Arial" w:eastAsia="Arial" w:hAnsi="Arial"/>
          <w:sz w:val="23"/>
          <w:szCs w:val="23"/>
          <w:color w:val="auto"/>
          <w:vertAlign w:val="superscript"/>
        </w:rPr>
        <w:t>®</w:t>
      </w:r>
      <w:r>
        <w:rPr>
          <w:rFonts w:ascii="Arial" w:cs="Arial" w:eastAsia="Arial" w:hAnsi="Arial"/>
          <w:sz w:val="16"/>
          <w:szCs w:val="16"/>
          <w:color w:val="auto"/>
        </w:rPr>
        <w:t>-Fix, HINTEGRA</w:t>
      </w:r>
      <w:r>
        <w:rPr>
          <w:rFonts w:ascii="Arial" w:cs="Arial" w:eastAsia="Arial" w:hAnsi="Arial"/>
          <w:sz w:val="23"/>
          <w:szCs w:val="23"/>
          <w:color w:val="auto"/>
          <w:vertAlign w:val="superscript"/>
        </w:rPr>
        <w:t>®</w:t>
      </w:r>
      <w:r>
        <w:rPr>
          <w:rFonts w:ascii="Arial" w:cs="Arial" w:eastAsia="Arial" w:hAnsi="Arial"/>
          <w:sz w:val="16"/>
          <w:szCs w:val="16"/>
          <w:color w:val="auto"/>
        </w:rPr>
        <w:t>, ICOS™, Integra</w:t>
      </w:r>
      <w:r>
        <w:rPr>
          <w:rFonts w:ascii="Arial" w:cs="Arial" w:eastAsia="Arial" w:hAnsi="Arial"/>
          <w:sz w:val="23"/>
          <w:szCs w:val="23"/>
          <w:color w:val="auto"/>
          <w:vertAlign w:val="superscript"/>
        </w:rPr>
        <w:t>®</w:t>
      </w:r>
      <w:r>
        <w:rPr>
          <w:rFonts w:ascii="Arial" w:cs="Arial" w:eastAsia="Arial" w:hAnsi="Arial"/>
          <w:sz w:val="16"/>
          <w:szCs w:val="16"/>
          <w:color w:val="auto"/>
        </w:rPr>
        <w:t>, Integra Mozaik™, Integra OS™, Jarit</w:t>
      </w:r>
      <w:r>
        <w:rPr>
          <w:rFonts w:ascii="Arial" w:cs="Arial" w:eastAsia="Arial" w:hAnsi="Arial"/>
          <w:sz w:val="23"/>
          <w:szCs w:val="23"/>
          <w:color w:val="auto"/>
          <w:vertAlign w:val="superscript"/>
        </w:rPr>
        <w:t>®</w:t>
      </w:r>
      <w:r>
        <w:rPr>
          <w:rFonts w:ascii="Arial" w:cs="Arial" w:eastAsia="Arial" w:hAnsi="Arial"/>
          <w:sz w:val="16"/>
          <w:szCs w:val="16"/>
          <w:color w:val="auto"/>
        </w:rPr>
        <w:t>, LICOX</w:t>
      </w:r>
      <w:r>
        <w:rPr>
          <w:rFonts w:ascii="Arial" w:cs="Arial" w:eastAsia="Arial" w:hAnsi="Arial"/>
          <w:sz w:val="23"/>
          <w:szCs w:val="23"/>
          <w:color w:val="auto"/>
          <w:vertAlign w:val="superscript"/>
        </w:rPr>
        <w:t>®</w:t>
      </w:r>
      <w:r>
        <w:rPr>
          <w:rFonts w:ascii="Arial" w:cs="Arial" w:eastAsia="Arial" w:hAnsi="Arial"/>
          <w:sz w:val="16"/>
          <w:szCs w:val="16"/>
          <w:color w:val="auto"/>
        </w:rPr>
        <w:t>, Luxtec</w:t>
      </w:r>
      <w:r>
        <w:rPr>
          <w:rFonts w:ascii="Arial" w:cs="Arial" w:eastAsia="Arial" w:hAnsi="Arial"/>
          <w:sz w:val="23"/>
          <w:szCs w:val="23"/>
          <w:color w:val="auto"/>
          <w:vertAlign w:val="superscript"/>
        </w:rPr>
        <w:t>®</w:t>
      </w:r>
      <w:r>
        <w:rPr>
          <w:rFonts w:ascii="Arial" w:cs="Arial" w:eastAsia="Arial" w:hAnsi="Arial"/>
          <w:sz w:val="16"/>
          <w:szCs w:val="16"/>
          <w:color w:val="auto"/>
        </w:rPr>
        <w:t>, Manta Ray™, Miltex</w:t>
      </w:r>
      <w:r>
        <w:rPr>
          <w:rFonts w:ascii="Arial" w:cs="Arial" w:eastAsia="Arial" w:hAnsi="Arial"/>
          <w:sz w:val="23"/>
          <w:szCs w:val="23"/>
          <w:color w:val="auto"/>
          <w:vertAlign w:val="superscript"/>
        </w:rPr>
        <w:t>®</w:t>
      </w:r>
      <w:r>
        <w:rPr>
          <w:rFonts w:ascii="Arial" w:cs="Arial" w:eastAsia="Arial" w:hAnsi="Arial"/>
          <w:sz w:val="16"/>
          <w:szCs w:val="16"/>
          <w:color w:val="auto"/>
        </w:rPr>
        <w:t>, Mobius</w:t>
      </w:r>
      <w:r>
        <w:rPr>
          <w:rFonts w:ascii="Arial" w:cs="Arial" w:eastAsia="Arial" w:hAnsi="Arial"/>
          <w:sz w:val="23"/>
          <w:szCs w:val="23"/>
          <w:color w:val="auto"/>
          <w:vertAlign w:val="superscript"/>
        </w:rPr>
        <w:t>®</w:t>
      </w:r>
      <w:r>
        <w:rPr>
          <w:rFonts w:ascii="Arial" w:cs="Arial" w:eastAsia="Arial" w:hAnsi="Arial"/>
          <w:sz w:val="16"/>
          <w:szCs w:val="16"/>
          <w:color w:val="auto"/>
        </w:rPr>
        <w:t>, NeuraGen</w:t>
      </w:r>
      <w:r>
        <w:rPr>
          <w:rFonts w:ascii="Arial" w:cs="Arial" w:eastAsia="Arial" w:hAnsi="Arial"/>
          <w:sz w:val="23"/>
          <w:szCs w:val="23"/>
          <w:color w:val="auto"/>
          <w:vertAlign w:val="superscript"/>
        </w:rPr>
        <w:t>®</w:t>
      </w:r>
      <w:r>
        <w:rPr>
          <w:rFonts w:ascii="Arial" w:cs="Arial" w:eastAsia="Arial" w:hAnsi="Arial"/>
          <w:sz w:val="16"/>
          <w:szCs w:val="16"/>
          <w:color w:val="auto"/>
        </w:rPr>
        <w:t>, NeuraWrap™, Newdeal</w:t>
      </w:r>
      <w:r>
        <w:rPr>
          <w:rFonts w:ascii="Arial" w:cs="Arial" w:eastAsia="Arial" w:hAnsi="Arial"/>
          <w:sz w:val="23"/>
          <w:szCs w:val="23"/>
          <w:color w:val="auto"/>
          <w:vertAlign w:val="superscript"/>
        </w:rPr>
        <w:t>®</w:t>
      </w:r>
      <w:r>
        <w:rPr>
          <w:rFonts w:ascii="Arial" w:cs="Arial" w:eastAsia="Arial" w:hAnsi="Arial"/>
          <w:sz w:val="16"/>
          <w:szCs w:val="16"/>
          <w:color w:val="auto"/>
        </w:rPr>
        <w:t>, OmniSight</w:t>
      </w:r>
      <w:r>
        <w:rPr>
          <w:rFonts w:ascii="Arial" w:cs="Arial" w:eastAsia="Arial" w:hAnsi="Arial"/>
          <w:sz w:val="23"/>
          <w:szCs w:val="23"/>
          <w:color w:val="auto"/>
          <w:vertAlign w:val="superscript"/>
        </w:rPr>
        <w:t>®</w:t>
      </w:r>
      <w:r>
        <w:rPr>
          <w:rFonts w:ascii="Arial" w:cs="Arial" w:eastAsia="Arial" w:hAnsi="Arial"/>
          <w:sz w:val="16"/>
          <w:szCs w:val="16"/>
          <w:color w:val="auto"/>
        </w:rPr>
        <w:t>, OmniTract</w:t>
      </w:r>
      <w:r>
        <w:rPr>
          <w:rFonts w:ascii="Arial" w:cs="Arial" w:eastAsia="Arial" w:hAnsi="Arial"/>
          <w:sz w:val="23"/>
          <w:szCs w:val="23"/>
          <w:color w:val="auto"/>
          <w:vertAlign w:val="superscript"/>
        </w:rPr>
        <w:t>®</w:t>
      </w:r>
      <w:r>
        <w:rPr>
          <w:rFonts w:ascii="Arial" w:cs="Arial" w:eastAsia="Arial" w:hAnsi="Arial"/>
          <w:sz w:val="16"/>
          <w:szCs w:val="16"/>
          <w:color w:val="auto"/>
        </w:rPr>
        <w:t>, OrthoBlast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Qwix</w:t>
      </w:r>
      <w:r>
        <w:rPr>
          <w:rFonts w:ascii="Arial" w:cs="Arial" w:eastAsia="Arial" w:hAnsi="Arial"/>
          <w:sz w:val="23"/>
          <w:szCs w:val="23"/>
          <w:color w:val="auto"/>
          <w:vertAlign w:val="superscript"/>
        </w:rPr>
        <w:t>®</w:t>
      </w:r>
      <w:r>
        <w:rPr>
          <w:rFonts w:ascii="Arial" w:cs="Arial" w:eastAsia="Arial" w:hAnsi="Arial"/>
          <w:sz w:val="16"/>
          <w:szCs w:val="16"/>
          <w:color w:val="auto"/>
        </w:rPr>
        <w:t>, Padgett™, Radionics</w:t>
      </w:r>
      <w:r>
        <w:rPr>
          <w:rFonts w:ascii="Arial" w:cs="Arial" w:eastAsia="Arial" w:hAnsi="Arial"/>
          <w:sz w:val="23"/>
          <w:szCs w:val="23"/>
          <w:color w:val="auto"/>
          <w:vertAlign w:val="superscript"/>
        </w:rPr>
        <w:t>®</w:t>
      </w:r>
      <w:r>
        <w:rPr>
          <w:rFonts w:ascii="Arial" w:cs="Arial" w:eastAsia="Arial" w:hAnsi="Arial"/>
          <w:sz w:val="16"/>
          <w:szCs w:val="16"/>
          <w:color w:val="auto"/>
        </w:rPr>
        <w:t>, Selector</w:t>
      </w:r>
      <w:r>
        <w:rPr>
          <w:rFonts w:ascii="Arial" w:cs="Arial" w:eastAsia="Arial" w:hAnsi="Arial"/>
          <w:sz w:val="23"/>
          <w:szCs w:val="23"/>
          <w:color w:val="auto"/>
          <w:vertAlign w:val="superscript"/>
        </w:rPr>
        <w:t>®</w:t>
      </w:r>
      <w:r>
        <w:rPr>
          <w:rFonts w:ascii="Arial" w:cs="Arial" w:eastAsia="Arial" w:hAnsi="Arial"/>
          <w:sz w:val="16"/>
          <w:szCs w:val="16"/>
          <w:color w:val="auto"/>
        </w:rPr>
        <w:t>, Subtalar MBA</w:t>
      </w:r>
      <w:r>
        <w:rPr>
          <w:rFonts w:ascii="Arial" w:cs="Arial" w:eastAsia="Arial" w:hAnsi="Arial"/>
          <w:sz w:val="23"/>
          <w:szCs w:val="23"/>
          <w:color w:val="auto"/>
          <w:vertAlign w:val="superscript"/>
        </w:rPr>
        <w:t>®</w:t>
      </w:r>
      <w:r>
        <w:rPr>
          <w:rFonts w:ascii="Arial" w:cs="Arial" w:eastAsia="Arial" w:hAnsi="Arial"/>
          <w:sz w:val="16"/>
          <w:szCs w:val="16"/>
          <w:color w:val="auto"/>
        </w:rPr>
        <w:t>, TenoGlide</w:t>
      </w:r>
      <w:r>
        <w:rPr>
          <w:rFonts w:ascii="Arial" w:cs="Arial" w:eastAsia="Arial" w:hAnsi="Arial"/>
          <w:sz w:val="23"/>
          <w:szCs w:val="23"/>
          <w:color w:val="auto"/>
          <w:vertAlign w:val="superscript"/>
        </w:rPr>
        <w:t>®</w:t>
      </w:r>
      <w:r>
        <w:rPr>
          <w:rFonts w:ascii="Arial" w:cs="Arial" w:eastAsia="Arial" w:hAnsi="Arial"/>
          <w:sz w:val="16"/>
          <w:szCs w:val="16"/>
          <w:color w:val="auto"/>
        </w:rPr>
        <w:t>, Tether</w:t>
      </w:r>
      <w:r>
        <w:rPr>
          <w:rFonts w:ascii="Arial" w:cs="Arial" w:eastAsia="Arial" w:hAnsi="Arial"/>
          <w:sz w:val="9"/>
          <w:szCs w:val="9"/>
          <w:color w:val="auto"/>
        </w:rPr>
        <w:t>TM</w:t>
      </w:r>
      <w:r>
        <w:rPr>
          <w:rFonts w:ascii="Arial" w:cs="Arial" w:eastAsia="Arial" w:hAnsi="Arial"/>
          <w:sz w:val="16"/>
          <w:szCs w:val="16"/>
          <w:color w:val="auto"/>
        </w:rPr>
        <w:t>, Trel-X™, Trel-XC™, Tibiaxys™, Uni-Clip</w:t>
      </w:r>
      <w:r>
        <w:rPr>
          <w:rFonts w:ascii="Arial" w:cs="Arial" w:eastAsia="Arial" w:hAnsi="Arial"/>
          <w:sz w:val="23"/>
          <w:szCs w:val="23"/>
          <w:color w:val="auto"/>
          <w:vertAlign w:val="superscript"/>
        </w:rPr>
        <w:t>®</w:t>
      </w:r>
      <w:r>
        <w:rPr>
          <w:rFonts w:ascii="Arial" w:cs="Arial" w:eastAsia="Arial" w:hAnsi="Arial"/>
          <w:sz w:val="16"/>
          <w:szCs w:val="16"/>
          <w:color w:val="auto"/>
        </w:rPr>
        <w:t>, Ventrix™ and XKnife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are some of the material trademarks of Integra LifeSciences Corporation and its subsidiaries. MAYFIELD</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a registered trademark of SM USA, Inc., and is used by Integra under license.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At December 31, 2008, we had approximately 2,800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are subject to a collective bargaining agreement.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Financial information about our geographical areas is set forth under “Item 7. Management’s Discussion and Analysis of Financial Condition and Results of Operations — International Revenues and Operations” and in our financial statements Note 15, Segment and Geographic Information, to our Consolidated Financial Statements.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SOURCES OF RAW MATERIALS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general, raw materials essential to our businesses are readily available from multiple sources. For reasons of quality assurance, sole source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6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bovine spongiform encephalopathy, or from the U.S. We are also qualifying sources of collagen from another country that is considered BSE-free.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12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Certain of our Integra OrthoBiologics demineralized bone matrix products contain human tissue in the form of ground cortical and cancellous bone. We source the bone tissue only from FDA and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 specified bacterial and viral testing before the raw material is distributed, to Integra OrthoBiologics for further processing. We receive with each donor lot a certification of the safety of the raw material from the tissue bank’s Medical Director.</w:t>
      </w:r>
    </w:p>
    <w:p>
      <w:pPr>
        <w:spacing w:after="0" w:line="14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an added assurance of safety, each lot of bone is released into the manufacturing process only after a careful screening of the incoming bone and serology test records by our staff of QA microbiologists. During our manufacturing process, the bone particles are subjected to our proprietary process and terminally sterilized. This type of rigorous processing has been demonstrated through our testing to further enhance the safety and effectiveness of our DBM products. To date, our demineralized bone matrix products have a good safety record and are widely distributed in the United States and in over 40 countries.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Revenues during our second and fourth quarters tend to be stronger than the first and third quarters because many hospitals increase their purchases of our products during the second and fourth quarters, which coincides with the end of their budget cycles.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6"/>
          <w:szCs w:val="16"/>
          <w:u w:val="single" w:color="auto"/>
          <w:color w:val="auto"/>
        </w:rPr>
        <w:t>www.Integra-LS.com</w:t>
      </w:r>
      <w:r>
        <w:rPr>
          <w:rFonts w:ascii="Arial" w:cs="Arial" w:eastAsia="Arial" w:hAnsi="Arial"/>
          <w:sz w:val="16"/>
          <w:szCs w:val="16"/>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Please call the Securities and Exchange Commission at 1-800-SEC-0330 for further information on the operation of the public reference facilities.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161" w:lineRule="exact"/>
        <w:rPr>
          <w:sz w:val="20"/>
          <w:szCs w:val="20"/>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general economic and business conditions, both nationally and in our international markets;</w:t>
      </w:r>
    </w:p>
    <w:p>
      <w:pPr>
        <w:spacing w:after="0" w:line="184"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anticipated trends in our business;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anticipated demand for our products, particularly capital equipment products;</w:t>
      </w:r>
    </w:p>
    <w:p>
      <w:pPr>
        <w:spacing w:after="0" w:line="184"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existing and future regulations affecting our business;</w:t>
      </w:r>
    </w:p>
    <w:p>
      <w:pPr>
        <w:spacing w:after="0" w:line="198"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obtain additional debt and equity financing to fund capital expenditures and working capital requirements and acquisitions;</w:t>
      </w:r>
    </w:p>
    <w:p>
      <w:pPr>
        <w:spacing w:after="0" w:line="129"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these products and our ability to secure regulatory approval for products in development;</w:t>
      </w:r>
    </w:p>
    <w:p>
      <w:pPr>
        <w:spacing w:after="0" w:line="140"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initiatives launched by our competitors;</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protect our intellectual property, including trade secrets;</w:t>
      </w:r>
    </w:p>
    <w:p>
      <w:pPr>
        <w:spacing w:after="0" w:line="184"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complete acquisitions, integrate operations post-acquisition and maintain relationships with customers of acquired entities;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work stoppages at our facilities; and</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risk factors described in the section entitled “Risk Factors” in this report.</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18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20" w:lineRule="exact"/>
        <w:rPr>
          <w:sz w:val="20"/>
          <w:szCs w:val="20"/>
          <w:color w:val="auto"/>
        </w:rPr>
      </w:pPr>
    </w:p>
    <w:p>
      <w:pPr>
        <w:ind w:left="1420" w:right="55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current economic conditions, which could affect the ability of hospitals and other customers to purchase our products;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impact of acquisitions;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impact of our restructuring activities;</w:t>
      </w:r>
    </w:p>
    <w:p>
      <w:pPr>
        <w:spacing w:after="0" w:line="198"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of significant customer orders, which tend to increase in the second and fourth quarters to coincide with the end of budget cycles for many hospitals;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market acceptance of our existing products, as well as products in development;</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of regulatory approvals;</w:t>
      </w:r>
    </w:p>
    <w:p>
      <w:pPr>
        <w:spacing w:after="0" w:line="198"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expenses incurred and business lost in connection with product field corrections or recalls;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the cost or decreases in the supply of raw materials, including energy and steel;</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ability to manufacture our products efficiently;</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of our research and development expenditures; and</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reimbursement for our products by third-party payors such as Medicare, Medicaid and private health insurers.</w:t>
      </w:r>
    </w:p>
    <w:p>
      <w:pPr>
        <w:spacing w:after="0" w:line="2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The industry and market segments in which we operate are highly competitive, and we may be unable to compete effectively with other companies.</w:t>
      </w:r>
    </w:p>
    <w:p>
      <w:pPr>
        <w:spacing w:after="0" w:line="13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3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 large company introduced a duraplasty product in 2006 and others may introduce similar products. The introduction and market acceptance of such products could reduce the sales, growth in sales and profitability of our duraplasty products. Competitors have also been developing products to compete with our extremity reconstruction implants, neuro critical care monitors and ultrasonic tissue ablation devices, among others.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business include Medtronic, Inc., the DePuy division of Johnson &amp; Johnson, Synthes, Inc., Stryker Corporation, Zimmer, NuVasive, Inc., Globus Medical, Inc., Alphatec Spine, Inc. and Orthofix. In surgical instruments, we compete with V. Mueller, a division of Cardinal Healthcare, as well as Aesculap. In addition, we compete with Codman and many smaller instrument companies in the reusable and disposable specialty instruments markets. The competitors in our orthobiologics business include such well-established companies as Medtronic, Inc., Synthes Inc. and Johnson &amp; Johnson and also include several smaller, biologic-focused companies, such as Osteotech and Orthovita.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5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Since the beginning of 2006, we have acquired 12 businesses or product lines at a total cost of approximately $443 million.</w:t>
      </w:r>
    </w:p>
    <w:p>
      <w:pPr>
        <w:spacing w:after="0" w:line="130"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Since we have grown through acquisitions, we had $212.1 million of goodwill and $50.0 million of indefinite-lived intangible assets as of December 31, 2008. Under Statement of Financial Accounting Standards (“SFAS”) No. 142,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Intangible Assets</w:t>
      </w:r>
      <w:r>
        <w:rPr>
          <w:rFonts w:ascii="Arial" w:cs="Arial" w:eastAsia="Arial" w:hAnsi="Arial"/>
          <w:sz w:val="16"/>
          <w:szCs w:val="16"/>
          <w:color w:val="auto"/>
        </w:rPr>
        <w:t>,” we are required to test both goodwill and indefinite-lived intangible assets for impairment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based upon a fair value approach, rather than amortizing them over time. We are also required to test goodwill and indefinite-lived intangible assets for impairment between annual tests if an event occurs or circumstances change that would more likely than not reduce our enterprise fair value below its book value. See “Management’s Discussion and Analysis of Financial Condition and Results of Operations — Critical Accounting Policies and the Use of Estimates — Valuation of Identifiable Intangible Assets, In-Process Research and Development Charges, and Goodwill” of this report.</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December 31, 2008, we had $176.0 million of other intangible assets.</w:t>
      </w:r>
    </w:p>
    <w:p>
      <w:pPr>
        <w:spacing w:after="0" w:line="16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value of biotechnology and medical device businesses is often volatile, and the assumptions underlying our estimates made in connection with our assessments under SFAS No. 142 or 144 may change as a result of that volatility or other factors outside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5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w:t>
      </w:r>
    </w:p>
    <w:p>
      <w:pPr>
        <w:spacing w:after="0" w:line="14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Current economic conditions may adversely affect the ability of hospitals and other customers to access funds to enable them to fund their operating and capital budgets. As a result, hospitals and other customers may reduce budgets or put all or part of their budgets on hold, which could have a negative effect on our sales, particularly the sales of more expensive capital equipment such as our ultrasonic surgical aspirators, neuromonitors and stereotactic products.</w:t>
      </w:r>
    </w:p>
    <w:p>
      <w:pPr>
        <w:spacing w:after="0" w:line="14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The disruption in the global financial markets and the economic downturn may adversely impact the availability and cost of credit.</w:t>
      </w:r>
    </w:p>
    <w:p>
      <w:pPr>
        <w:spacing w:after="0" w:line="130"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Our ability to refinance our indebtedness and to obtain financing for acquisitions or other general corporate and commercial purposes will depend on our operating and financial performance and is also subject to prevailing economic conditions and to financial, business and other factors beyond our control. Recently, global credit markets and the financial services industry have been experiencing a period of unprecedented turmoil characterized by the bankruptcy, failure or sale of various financial institutions, a general tightening of credit, and an unprecedented level of market intervention from the United States and other governments. These events have adversely affected the U.S. and world economy, and may adversely affect the availability and cost of financing. There can be no assurances as to the length or severity of this period of disruption and the related economic downturn.</w:t>
      </w:r>
    </w:p>
    <w:p>
      <w:pPr>
        <w:spacing w:after="0" w:line="15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154"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are implementing additional procedures, controls and tracking and reporting processes, as well as paying additional permit and license fees, where required.</w:t>
      </w:r>
    </w:p>
    <w:p>
      <w:pPr>
        <w:spacing w:after="0" w:line="141"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announced that it is reviewing the 510(k) Premarket Notification process, and there may be requirements for more extensive testing and/or clinical trials required for products cleared to market under the 510(k) process. The FDA may also require the more extensive PMA process for certain products.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could adversely impact our ability to compete against alternative products or technologies, which could affect our sales.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intermediaries require clinical trial data for products cleared through the 510(k) process in order to continue reimbursement coverage. These clinical trials could take years to complete and be expensive and there is no guarantee that the FDA will approve the additional indications for use. If the FDA does not approve the additional indications for use, this could affect our ability to obtain reimbursement for these products and adversely affect our ability to compete against alternative products or technologies, which could affect our sales.</w:t>
      </w:r>
    </w:p>
    <w:p>
      <w:pPr>
        <w:sectPr>
          <w:pgSz w:w="11900" w:h="16838" w:orient="portrait"/>
          <w:cols w:equalWidth="0" w:num="1">
            <w:col w:w="10219"/>
          </w:cols>
          <w:pgMar w:left="240" w:top="419" w:right="1440" w:bottom="595"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95"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6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137"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We are also subject to the regulatory requirements of countries outside the U.S. where we do business. For example, under the European Union Medical Device Directive, all medical devices must meet the Medical Device Directive standards and receive CE Mark Certification prior to marketing in the European Union. CE Mark Certification requires a comprehensive Quality System program, comprehensive technical documentation and data on the product, which a “Notified Body” in Europe reviews. In addition, we must be certified to the ISO 13485:2003 Quality System standards and maintain this certification in order to market our products in the European Union, Canada, Japan, Latin America, Asia-Pacific and most other countries outside the U.S.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 Additionally, the European Union as well as many other countries outside the U.S. have or may be considering implementing new or amended medical device regulations that require extensive documentation, including clinical trial data, as well as may require audits of our manufacturing facilities. There are also associated fees with these new regulations. These regulations are required for all new products and re-registration of our medical devices.</w:t>
      </w:r>
    </w:p>
    <w:p>
      <w:pPr>
        <w:spacing w:after="0" w:line="15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Our products that contain human derived tissue, including those containing de-mineralized bone matrices, are not medical devices in the European Union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Certain of our products contain materials derived from animal sources and may become subject to additional regulation.</w:t>
      </w:r>
    </w:p>
    <w:p>
      <w:pPr>
        <w:spacing w:after="0" w:line="22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U.S. have increased awareness of the issue in North America.</w:t>
      </w:r>
    </w:p>
    <w:p>
      <w:pPr>
        <w:spacing w:after="0" w:line="14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We take great care to provide that our products are safe and free of agents that can cause disease. In particular, we have qualified our source of collagen from a country outside the U.S. that is considered BSE-free. The World Health Organization classifies different types of cattle tissue for relative risk of BSE transmission. Deep flexor tendon is in the lowest-risk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12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Certain countries, such as Japan, China, Taiwan and Argentina, have issued regulations that require our collagen products be processed from bovine tendon sourced from countries where no cases of BSE have occurred, and the European Union has requested that our dural replacement products be sourced from bovine tendon sourced from a country where no cases of BSE have occurred. In addition, Japan has issued new regulations regarding medical devices that contain tissue of animal origin. Among other regulations, Japan requires that the tendon used in the manufacture of medical devices sold in Japan originate in a country that has never had a case of BSE. Currently, we purchase our tendon from the U.S. and New Zealand. We received approval in Japan for the use of New Zealand-sourced tendon in the manufacturing of our products sold in Japan. If we cannot continue to use or qualify a source of tendon from New Zealand or another country that has never had a case of BSE, we will not be permitted to sell our collagen products in Japan.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Certain of our products are derived from human tissue and are subject to additional regulations and requirements.</w:t>
      </w:r>
    </w:p>
    <w:p>
      <w:pPr>
        <w:spacing w:after="0" w:line="19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46"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Some HCT/Ps also meet the definition of a biological product, medical device or drug regulated under the FFDCA.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14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14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the European Union, regulations, if applicable, are different from one EU member state to the next. Due to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European Union member states’ regulations that govern the donation, procurement, testing, coding, traceability, processing, preservation, storage, and distribution of human tissues and cells and cellular or tissue-based products. These European Union member states’ regulations include requirements for registration, listing, labeling, adverse-event reporting, and inspection and enforcement. Some EU member states have their own tissue banking regulations.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143" w:lineRule="exact"/>
        <w:rPr>
          <w:sz w:val="20"/>
          <w:szCs w:val="20"/>
          <w:color w:val="auto"/>
        </w:rPr>
      </w:pPr>
    </w:p>
    <w:p>
      <w:pPr>
        <w:jc w:val="both"/>
        <w:ind w:left="340" w:right="559" w:firstLine="373"/>
        <w:spacing w:after="0" w:line="235" w:lineRule="auto"/>
        <w:rPr>
          <w:sz w:val="20"/>
          <w:szCs w:val="20"/>
          <w:color w:val="auto"/>
        </w:rPr>
      </w:pPr>
      <w:r>
        <w:rPr>
          <w:rFonts w:ascii="Arial" w:cs="Arial" w:eastAsia="Arial" w:hAnsi="Arial"/>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Dermal Regeneration Template.</w:t>
      </w:r>
    </w:p>
    <w:p>
      <w:pPr>
        <w:spacing w:after="0" w:line="16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existing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14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16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and the pressure on third-party payors and providers to reduce healthcare costs. One or more of these factors may vary unpredictably, and such variations could have a material adverse effect on our competitive position. We may not be able to adjust our contemplated plan of development to meet changing market demands.</w:t>
      </w:r>
    </w:p>
    <w:p>
      <w:pPr>
        <w:spacing w:after="0" w:line="137"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8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However, our patents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U.S. or foreign countries. Further, there is a substantial backlog of patent applications at the U.S. Patent and Trademark Office, and the approval or rejection of patent applications usually takes approximately three years.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Our competitive position depends, in part, upon unpatented trade secrets which we may be unable to protect.</w:t>
      </w:r>
    </w:p>
    <w:p>
      <w:pPr>
        <w:spacing w:after="0" w:line="19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14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If we fail to obtain a required license or are unable to design our product so as not to infringe on the proprietary rights of others, we may be unable to sell some of our products, and this potential inability could have a material adverse effect on our revenues and profitability.</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14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To protect or enforce our intellectual property rights, we may have to initiate or defend legal proceedings, such as infringement suits or interference proceedings, against or by third parties. For example, Codman &amp; Shurtleff, Inc., a division of Johnson &amp; Johnson, commenced an action in May 2006 seeking declaratory relief that its DURAFORM</w:t>
      </w:r>
      <w:r>
        <w:rPr>
          <w:rFonts w:ascii="Arial" w:cs="Arial" w:eastAsia="Arial" w:hAnsi="Arial"/>
          <w:sz w:val="14"/>
          <w:szCs w:val="14"/>
          <w:color w:val="auto"/>
        </w:rPr>
        <w:t>®</w:t>
      </w:r>
      <w:r>
        <w:rPr>
          <w:rFonts w:ascii="Arial" w:cs="Arial" w:eastAsia="Arial" w:hAnsi="Arial"/>
          <w:sz w:val="17"/>
          <w:szCs w:val="17"/>
          <w:color w:val="auto"/>
        </w:rPr>
        <w:t xml:space="preserve"> product does not infringe our patent covering our duraplasty products and that our patent is invalid and unenforceable.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time-consuming and could divert management attention and resources away from our business. In addition, in response to our claims against other parties, those parties could assert counterclaims against 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 may be difficult to replace some of our suppliers.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52" w:lineRule="exact"/>
        <w:rPr>
          <w:sz w:val="20"/>
          <w:szCs w:val="20"/>
          <w:color w:val="auto"/>
        </w:rPr>
      </w:pPr>
    </w:p>
    <w:p>
      <w:pPr>
        <w:ind w:left="1420" w:right="559" w:hanging="345"/>
        <w:spacing w:after="0" w:line="226" w:lineRule="auto"/>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collagen-based products, such as the Integra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Dermal Regeneration Template and wound dressing products, the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products, and our Absorbable Collagen Sponges;</w:t>
      </w:r>
    </w:p>
    <w:p>
      <w:pPr>
        <w:spacing w:after="0" w:line="44"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products made from silicone, such as our neurosurgical shunts and drainage systems and hemodynamic shunts; and</w:t>
      </w:r>
    </w:p>
    <w:p>
      <w:pPr>
        <w:spacing w:after="0" w:line="129"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products which use many different electronic parts from numerous suppliers, such as our intracranial monitors and catheters.</w:t>
      </w:r>
    </w:p>
    <w:p>
      <w:pPr>
        <w:spacing w:after="0" w:line="14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143"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We manufacture our products in a limited number of facilities. Damage to our manufacturing, development or research facilities because of fire, natural disaster, power loss, communications failure, unauthorized entry or other events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5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In addition, certain of our surgical instruments have some manufacturing processes performed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152"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We are planning on a phased deployment of a global enterprise business system in all facilities. This system, the hosting and maintenance of which we outsource, will replace the legacy enterprise resource planning applications currently in place in the facilities. The new system has already been deployed in some facilities.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15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13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generate significant revenues outside the U.S.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15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Since we have operations based outside the U.S. and we generate revenues and incur operating expenses in multiple foreign currencies including euros, British pounds, Swiss francs, Canadian dollars, Mexican pesos, Japanese yen, Australian dollars and New Zealand dollars, we experience currency exchange risk with respect to those foreign currency-denominated revenues and expenses.</w:t>
      </w:r>
    </w:p>
    <w:p>
      <w:pPr>
        <w:spacing w:after="0" w:line="16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international operations subject us to laws regarding sanctioned countries, entities and persons, customs, import-export, laws regarding transactions in foreign countries and the U.S. Foreign Corrupt Practices Act.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U.S.</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125" w:lineRule="exact"/>
        <w:rPr>
          <w:sz w:val="20"/>
          <w:szCs w:val="20"/>
          <w:color w:val="auto"/>
        </w:rPr>
      </w:pPr>
    </w:p>
    <w:p>
      <w:pPr>
        <w:jc w:val="both"/>
        <w:ind w:left="1420" w:right="559" w:hanging="345"/>
        <w:spacing w:after="0" w:line="312" w:lineRule="auto"/>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119" w:lineRule="exact"/>
        <w:rPr>
          <w:rFonts w:ascii="Arial" w:cs="Arial" w:eastAsia="Arial" w:hAnsi="Arial"/>
          <w:sz w:val="16"/>
          <w:szCs w:val="16"/>
          <w:b w:val="1"/>
          <w:bCs w:val="1"/>
          <w:color w:val="auto"/>
        </w:rPr>
      </w:pPr>
    </w:p>
    <w:p>
      <w:pPr>
        <w:ind w:left="1420" w:right="559" w:hanging="345"/>
        <w:spacing w:after="0" w:line="277"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Medicare, Medicaid and private healthcare insurer cutbacks could create downward price pressure on our products;</w:t>
      </w:r>
    </w:p>
    <w:p>
      <w:pPr>
        <w:spacing w:after="0" w:line="129" w:lineRule="exact"/>
        <w:rPr>
          <w:rFonts w:ascii="Arial" w:cs="Arial" w:eastAsia="Arial" w:hAnsi="Arial"/>
          <w:sz w:val="18"/>
          <w:szCs w:val="18"/>
          <w:b w:val="1"/>
          <w:bCs w:val="1"/>
          <w:color w:val="auto"/>
        </w:rPr>
      </w:pPr>
    </w:p>
    <w:p>
      <w:pPr>
        <w:jc w:val="both"/>
        <w:ind w:left="1420" w:right="559" w:hanging="345"/>
        <w:spacing w:after="0" w:line="259"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146"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potential legislative proposals have been considered that would result in major reforms in the U.S. healthcare system that could have an adverse effect on our business;</w:t>
      </w:r>
    </w:p>
    <w:p>
      <w:pPr>
        <w:spacing w:after="0" w:line="143"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U.S. who prefer to limit the number of suppliers from whom they purchase medical products, and these entities may decide to stop purchasing our products or demand discounts on our prices;</w:t>
      </w:r>
    </w:p>
    <w:p>
      <w:pPr>
        <w:spacing w:after="0" w:line="140"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40"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198"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40" w:lineRule="exact"/>
        <w:rPr>
          <w:rFonts w:ascii="Arial" w:cs="Arial" w:eastAsia="Arial" w:hAnsi="Arial"/>
          <w:sz w:val="18"/>
          <w:szCs w:val="18"/>
          <w:b w:val="1"/>
          <w:bCs w:val="1"/>
          <w:color w:val="auto"/>
        </w:rPr>
      </w:pPr>
    </w:p>
    <w:p>
      <w:pPr>
        <w:jc w:val="both"/>
        <w:ind w:left="1420" w:right="559" w:hanging="345"/>
        <w:spacing w:after="0" w:line="264"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140" w:lineRule="exact"/>
        <w:rPr>
          <w:rFonts w:ascii="Arial" w:cs="Arial" w:eastAsia="Arial" w:hAnsi="Arial"/>
          <w:sz w:val="18"/>
          <w:szCs w:val="18"/>
          <w:b w:val="1"/>
          <w:bCs w:val="1"/>
          <w:color w:val="auto"/>
        </w:rPr>
      </w:pPr>
    </w:p>
    <w:p>
      <w:pPr>
        <w:ind w:left="1420" w:right="559" w:hanging="345"/>
        <w:spacing w:after="0" w:line="277"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Oversight of the medical device industry might affect the manner in which we may sell medical devices.</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and state law equivalents to these federal laws that are meant to protect against fraud and abuse.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152" w:lineRule="exact"/>
        <w:rPr>
          <w:sz w:val="20"/>
          <w:szCs w:val="20"/>
          <w:color w:val="auto"/>
        </w:rPr>
      </w:pPr>
    </w:p>
    <w:p>
      <w:pPr>
        <w:ind w:left="1420" w:right="559" w:hanging="345"/>
        <w:spacing w:after="0" w:line="308" w:lineRule="auto"/>
        <w:tabs>
          <w:tab w:leader="none" w:pos="14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government officials charged with responsibility for enforcing those laws will not assert that our sales and marketing practices or customer discount arrangements are in violation of those laws or regulations; or</w:t>
      </w:r>
    </w:p>
    <w:p>
      <w:pPr>
        <w:spacing w:after="0" w:line="106" w:lineRule="exact"/>
        <w:rPr>
          <w:rFonts w:ascii="Arial" w:cs="Arial" w:eastAsia="Arial" w:hAnsi="Arial"/>
          <w:sz w:val="17"/>
          <w:szCs w:val="17"/>
          <w:b w:val="1"/>
          <w:bCs w:val="1"/>
          <w:color w:val="auto"/>
        </w:rPr>
      </w:pPr>
    </w:p>
    <w:p>
      <w:pPr>
        <w:ind w:left="1420" w:right="559" w:hanging="345"/>
        <w:spacing w:after="0" w:line="277" w:lineRule="auto"/>
        <w:tabs>
          <w:tab w:leader="none" w:pos="14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government regulators or courts will interpret those laws or regulations in a manner consistent with our interpretation.</w:t>
      </w:r>
    </w:p>
    <w:p>
      <w:pPr>
        <w:sectPr>
          <w:pgSz w:w="11900" w:h="16838" w:orient="portrait"/>
          <w:cols w:equalWidth="0" w:num="1">
            <w:col w:w="10219"/>
          </w:cols>
          <w:pgMar w:left="240" w:top="419" w:right="1440" w:bottom="487"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87"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the sales and marketing practices of our industry have been the subject of increased scrutiny from federal and state government agencies, and we believe that this trend will continue. For example, proposed federal legislation and recent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We have in place policies to govern how we may retain healthcare professionals as consultants that reflect the current climate on this issue and provide training on these policies. Finally,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4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Our private-label business depends significantly on key relationships with third parties, which we could be unable to establish and maintain.</w:t>
      </w:r>
    </w:p>
    <w:p>
      <w:pPr>
        <w:spacing w:after="0" w:line="13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Our private-label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The third parties with whom we have entered into agreements might terminate these agreements for a variety of reasons, including developing other sources for the products that we supply. Termination of any of our alliances would require us to develop other means to distribute the affected products and could adversely affect our expectations for the growth of private-label products.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are subject to requirements relating to hazardous materials which may impose significant compliance or other costs on us.</w:t>
      </w:r>
    </w:p>
    <w:p>
      <w:pPr>
        <w:spacing w:after="0" w:line="233"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 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loss of key personnel could harm our business.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our success depends on the contributions of a number of our key personnel, including Stuart M. Essig, our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President and Chief Executive Officer. If we lose the services of key personnel, those losses could materially harm our business.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key person life insurance on Mr. Essig and two other members of management.</w:t>
      </w:r>
    </w:p>
    <w:p>
      <w:pPr>
        <w:spacing w:after="0" w:line="17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We have had material weaknesses in our internal control over financial reporting and cannot assure you that additional material weaknesses will not be identified in the future.</w:t>
      </w:r>
    </w:p>
    <w:p>
      <w:pPr>
        <w:spacing w:after="0" w:line="13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2007, management identified material weaknesses in our internal controls over financial reporting related to (1) the complement of its personnel; (2) accounts reconciliation; (3) intercompany transactions; (4) income tax accounts; and (5) the configuration, segregation of duties and access to key financial reporting applications. Remediation of these weaknesses has been completed as of December 31, 2008. We will continue to take further steps in an attempt to strengthen our control processes and procedures.</w:t>
      </w:r>
    </w:p>
    <w:p>
      <w:pPr>
        <w:spacing w:after="0" w:line="161"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While we aim to work diligently to ensure a robust accounting system that is devoid of material weaknesses, given the growth of our business through acquisitions and the complexity of the accounting rules, we may, in the future, identify additional material weaknesses in our disclosure controls and procedures and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certain covenants related to our outstanding revolving credit facility,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or certain covenants related to our outstanding revolving credit facility, and cause investors to lose confidence in our reported financial information, leading to a decline in our stock price. See “Part I. Item 4 Controls and Procedures” for a further discussion of our assessment of our internal controls over financial reporting.</w:t>
      </w:r>
    </w:p>
    <w:p>
      <w:pPr>
        <w:spacing w:after="0" w:line="147"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Access to the capital markets may be more expensive or subject to delays until such time as we qualify to file short-form registration statements.</w:t>
      </w:r>
    </w:p>
    <w:p>
      <w:pPr>
        <w:spacing w:after="0" w:line="13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Currently we are ineligible to use a “short-form” registration statement, which would allow us to incorporate by reference future reports on Form 10-K, Form 10-Q and other SEC reports into our registration statements, until we have filed all of our periodic reports with the SEC in a timely manner for a period of twelve consecutive months. Additionally, we currently do not qualify as a “well-known seasoned issuer” which previously enabled us to, among other things, file shelf registration statements and have them declared effectively immediately by the SEC without risk of SEC review. As a result, any attempt by us to access the capital markets while we are unable to use a short-form registration statement could be more expensive or subject to delays.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principal executive offices are located in Plainsboro, New Jersey. Principal manufacturing and research facilities are located in New Jersey, Massachusetts, Ohio, California, Pennsylvania, Puerto Rico, United Kingdom, Ireland, France and Mexico. Our instrument procurement operations are located in Germany. Our primary distribution centers are located in Nevada, New York, Ohio, Pennsylvania and Belgium. In addition, we lease several smaller facilities to support additional administrative, assembly, and distribution operations. Third parties own and operate the facilities in Nevada and Belgium. We lease all of our facilities other than certain facilities in Ohio, and our facilities in Pennsylvania, United Kingdom, and Biot, France, which we own.</w:t>
      </w:r>
    </w:p>
    <w:p>
      <w:pPr>
        <w:spacing w:after="0" w:line="16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us. The most significant of those are described below.</w:t>
      </w:r>
    </w:p>
    <w:p>
      <w:pPr>
        <w:spacing w:after="0" w:line="143"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7"/>
          <w:szCs w:val="17"/>
          <w:color w:val="auto"/>
        </w:rPr>
        <w:t>In May 2006, Codman &amp; Shurtleff, Inc., a division of Johnson &amp; Johnson, commenced an action in the U.S. District Court for the District of New Jersey for declaratory judgment against us with respect to our U.S. Patent No. 5,997,895 (the “‘895 Patent”). This patent covers dural repair technology related to our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duraplasty products.</w:t>
      </w:r>
    </w:p>
    <w:p>
      <w:pPr>
        <w:spacing w:after="0" w:line="4" w:lineRule="exact"/>
        <w:rPr>
          <w:sz w:val="20"/>
          <w:szCs w:val="20"/>
          <w:color w:val="auto"/>
        </w:rPr>
      </w:pPr>
    </w:p>
    <w:p>
      <w:pPr>
        <w:jc w:val="both"/>
        <w:ind w:left="340" w:right="559" w:firstLine="373"/>
        <w:spacing w:after="0" w:line="200" w:lineRule="auto"/>
        <w:rPr>
          <w:sz w:val="20"/>
          <w:szCs w:val="20"/>
          <w:color w:val="auto"/>
        </w:rPr>
      </w:pPr>
      <w:r>
        <w:rPr>
          <w:rFonts w:ascii="Arial" w:cs="Arial" w:eastAsia="Arial" w:hAnsi="Arial"/>
          <w:sz w:val="18"/>
          <w:szCs w:val="18"/>
          <w:color w:val="auto"/>
        </w:rPr>
        <w:t>The action seeks declaratory relief that Codman’s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does not infringe our patent and that our patent is invalid. Codman does not seek either damages from us or injunctive relief to prevent us from selling the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Dural Graft Matrix. We have filed a counterclaim against Codman, alleging that Codman’s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infringes the ‘895 Patent, seeking injunctive relief preventing the sale and use of DURAFORM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and seeking damages, including treble damages, for past infringement.</w:t>
      </w:r>
    </w:p>
    <w:p>
      <w:pPr>
        <w:spacing w:after="0" w:line="164"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 matters were submitted to a vote of security holders during the fourth quarter of the fiscal year covered by this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PURCHASES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2008</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2007</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49.89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42.76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51.46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44.99</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39.50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40.15</w:t>
            </w:r>
          </w:p>
        </w:tc>
      </w:tr>
    </w:tbl>
    <w:p>
      <w:pPr>
        <w:spacing w:after="0" w:line="16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Senior Secured Revolving Credit Facility.”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3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number of stockholders of record as of February 25, 2009 was approximately 920, which includes stockholders whose shares were held in nominee name.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of Unregistered Securities</w:t>
      </w:r>
    </w:p>
    <w:p>
      <w:pPr>
        <w:spacing w:after="0" w:line="202"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Company committed 310,000 unregistered shares of the Company’s common stock (of which 135,000 were issued on December 22, 2008, with the remainder issued in January 2009), valued at $10.7 million, as part of the price for the acquisition of Omni-Tract. The shares of common stock issued were offered and issued pursuant to a private placement in reliance upon the exemption from registration pursuant to Rule 506 under the Securities Act. Each person to whom shares were issued (each, an “Investor”), is an “accredited investor” as defined in Rule 501(a) and each Investor has represented to the Company that such Investor is acquiring the securities for investment purposes for such Investor’s own account and not with a view toward distribution of the securities. The Company advised each Investor that the securities issued to them have not been registered under the Securities Act and may not be sold unless they are registered under the Securities Act or sold pursuant to a valid exemption from registration under the Securities Act. The certificates representing the shares of common stock issued to the Investors contain a legend that such shares of common stock have not been registered under the Securities Act and state the restrictions on transfer and resale as described above. Additionally, the Company did not engage in any general solicitation or advertisement in connection with the issuance of the above described shares of common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On October 30, 2007, our Board of Directors authorized us to repurchase shares of our common stock for an aggregate purchase price not to exceed $75.0 million through December 31, 2008. We purchased 500,000 shares of our common stock under this repurchase program during the three months ended December 31, 2007, See Note 7, Treasury Stock.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2008. As of December 31, 2008, there remained $75.0 million available for share repurchases under this authorization.</w:t>
      </w:r>
    </w:p>
    <w:p>
      <w:pPr>
        <w:spacing w:after="0" w:line="16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summarizes our repurchases of our common stock during the quarter ended December 31, 2008 under the repurchase program authorized on October 30,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Total Number</w:t>
            </w:r>
          </w:p>
        </w:tc>
        <w:tc>
          <w:tcPr>
            <w:tcW w:w="12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12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4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Part of</w:t>
            </w: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of Shares</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Paid</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4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Program</w:t>
            </w:r>
          </w:p>
        </w:tc>
        <w:tc>
          <w:tcPr>
            <w:tcW w:w="80" w:type="dxa"/>
            <w:vAlign w:val="bottom"/>
            <w:gridSpan w:val="2"/>
          </w:tcPr>
          <w:p>
            <w:pPr>
              <w:spacing w:after="0"/>
              <w:rPr>
                <w:sz w:val="20"/>
                <w:szCs w:val="20"/>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October 1, 2008 – October 31, 2008</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75,000,000</w:t>
            </w: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November 1, 2008 – November 30, 2008</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75,000,000</w:t>
            </w: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December 1, 2008 – December 31, 2008</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75,000,000</w:t>
            </w:r>
          </w:p>
        </w:tc>
        <w:tc>
          <w:tcPr>
            <w:tcW w:w="6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555"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5"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2005</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2"/>
              </w:rPr>
              <w:t>(In thousands, except per share data)</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revenues,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654,604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550,459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419,297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277,935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229,825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607,193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483,171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360,553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221,830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205,046</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58,744</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56,105</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income (expense), net(2)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2,971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60,062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48,308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(Benefit from) provision for income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(3,927)</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26,591</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18,901</w:t>
            </w:r>
          </w:p>
        </w:tc>
        <w:tc>
          <w:tcPr>
            <w:tcW w:w="24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17,907</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0.97</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28,703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29,578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31,102</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8"/>
                <w:szCs w:val="18"/>
                <w:color w:val="auto"/>
              </w:rPr>
            </w:pPr>
          </w:p>
        </w:tc>
      </w:tr>
      <w:tr>
        <w:trPr>
          <w:trHeight w:val="210"/>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Financial Position: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Cash,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183,546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57,339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22,697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46,889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69,855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96,495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126,127</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1,034,431</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818,012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613,618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448,432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456,713</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borrowings under senior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facility(4)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Long-term debt(4)</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330,000</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118,378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118,900</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Retained earnings/(accumulated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132,219</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98,175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66,336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36,929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350,206</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260,429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296,162</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289,818</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307,823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063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680" w:right="559" w:hanging="348"/>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2004, we recorded $23.9 million in share-based compensation charges incurred in connection with the extension of the employment agreement of our President and Chief Executive Officer. In 2008, we recorded an $18.0 million share-based compensation charge incurred in connection with the extension of the employment agreement of our President and Chief Executive Officer.</w:t>
      </w:r>
    </w:p>
    <w:p>
      <w:pPr>
        <w:spacing w:after="0" w:line="38" w:lineRule="exact"/>
        <w:rPr>
          <w:rFonts w:ascii="Arial" w:cs="Arial" w:eastAsia="Arial" w:hAnsi="Arial"/>
          <w:sz w:val="18"/>
          <w:szCs w:val="18"/>
          <w:color w:val="auto"/>
        </w:rPr>
      </w:pPr>
    </w:p>
    <w:p>
      <w:pPr>
        <w:jc w:val="both"/>
        <w:ind w:left="680" w:right="559"/>
        <w:spacing w:after="0" w:line="264" w:lineRule="auto"/>
        <w:rPr>
          <w:rFonts w:ascii="Arial" w:cs="Arial" w:eastAsia="Arial" w:hAnsi="Arial"/>
          <w:sz w:val="18"/>
          <w:szCs w:val="18"/>
          <w:color w:val="auto"/>
        </w:rPr>
      </w:pPr>
      <w:r>
        <w:rPr>
          <w:rFonts w:ascii="Arial" w:cs="Arial" w:eastAsia="Arial" w:hAnsi="Arial"/>
          <w:sz w:val="18"/>
          <w:szCs w:val="18"/>
          <w:color w:val="auto"/>
        </w:rPr>
        <w:t>In 2008, we recorded an in-process research and development charge of $25.2 million in connection with the Theken acquisition. In 2007, 2006 and 2005, we recorded similar charges of $4.6 million for the IsoTis acquisition, $5.9 million for the KMI acquisition and $0.5 million for the Eunoe, Inc. acquisition, respectively.</w:t>
      </w:r>
    </w:p>
    <w:p>
      <w:pPr>
        <w:spacing w:after="0" w:line="32" w:lineRule="exact"/>
        <w:rPr>
          <w:rFonts w:ascii="Arial" w:cs="Arial" w:eastAsia="Arial" w:hAnsi="Arial"/>
          <w:sz w:val="18"/>
          <w:szCs w:val="18"/>
          <w:color w:val="auto"/>
        </w:rPr>
      </w:pPr>
    </w:p>
    <w:p>
      <w:pPr>
        <w:jc w:val="both"/>
        <w:ind w:left="680" w:right="559" w:hanging="348"/>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2004, we recorded a $1.4 million gain in other income related to an unrealized gain on a foreign currency collar which was used to reduce our exposure to fluctuations in the exchange rate between the euro and the U.S. dollar as a result of our commitment to acquire Newdeal Technologies SAS for 38.5 million euros. The collar contract expired on January 3, 2005, concurrent with our acquisition of Newdeal Technologies.</w:t>
      </w:r>
    </w:p>
    <w:p>
      <w:pPr>
        <w:spacing w:after="0" w:line="38" w:lineRule="exact"/>
        <w:rPr>
          <w:rFonts w:ascii="Arial" w:cs="Arial" w:eastAsia="Arial" w:hAnsi="Arial"/>
          <w:sz w:val="18"/>
          <w:szCs w:val="18"/>
          <w:color w:val="auto"/>
        </w:rPr>
      </w:pPr>
    </w:p>
    <w:p>
      <w:pPr>
        <w:ind w:left="680" w:hanging="34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2006, all marketable securities were liquidated.</w:t>
      </w:r>
    </w:p>
    <w:p>
      <w:pPr>
        <w:spacing w:after="0" w:line="76" w:lineRule="exact"/>
        <w:rPr>
          <w:rFonts w:ascii="Arial" w:cs="Arial" w:eastAsia="Arial" w:hAnsi="Arial"/>
          <w:sz w:val="18"/>
          <w:szCs w:val="18"/>
          <w:color w:val="auto"/>
        </w:rPr>
      </w:pPr>
    </w:p>
    <w:p>
      <w:pPr>
        <w:jc w:val="both"/>
        <w:ind w:left="680" w:right="559" w:hanging="348"/>
        <w:spacing w:after="0" w:line="293"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2003, we issued $120.0 million of 2.5% contingent convertible subordinated notes due 2008. The net proceeds generated by the notes, after expenses, were $115.9 million. In 2006, we exchanged $119.5 million of these notes for the equivalent amount of new notes. Because the closing price of our stock at the issuance date was higher than the market price trigger of the new notes, the new notes were classified as a current liability. In March 2008, these notes matured and we repaid the principal amount in cash and issued approximately 768,000 shares of our common stock. Additionally in 2008, we classified $160.0 million of our senior credit facility borrowings as long-term debt based on our current intent and ability.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2007, we issued $165 million of 2.75% senior convertible notes due 2010 and $165 million of 2.375% senior convertible notes due 2012.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w:t>
      </w:r>
    </w:p>
    <w:p>
      <w:pPr>
        <w:spacing w:after="0" w:line="16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In 2008, we were required to make interest payments on our $120 million contingent convertible subordinated notes (the “2008 Notes”) at an annual rate of 2.5% each September 15 and March 15. We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our common stock on the previous trading day was more than $37.56 per share, based on an initial conversion price of $34.15 per share. All of the 2008 Notes were converted to common stock or cash. In March 2008, we borrowed $120 million under our senior secured revolving credit facility to repay the 2008 Notes upon conversion or maturity. As a result of the conversions, we issued 768,221 shares of our common stock. There were no financial covenants associated with the 2008 Notes.</w:t>
      </w:r>
    </w:p>
    <w:p>
      <w:pPr>
        <w:spacing w:after="0" w:line="14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At December 31, 2008, we have $260 million outstanding on our senior credit facility of which we borrowed $120 million in March 2008 for the repayment of our 2008 Notes, $80 million in July 2008 for the Theken acquisition and $60 million in October 2008 for general corporate purposes.</w:t>
      </w:r>
    </w:p>
    <w:p>
      <w:pPr>
        <w:spacing w:after="0" w:line="137"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6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We present revenues in three market categories: neurosciences, orthopedics and medical instruments. Our neurosurgical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orthopedics products include specialty metal implants for surgery of the extremities and spine, orthobiologics products for repair and grafting of bone, dermal regeneration products and tissue engineered wound dressings and nerve and tendon repair products. Our medical instruments products include a wide range of specialty and general surgical and dental instruments and surgical lighting for sale to hospitals, outpatient surgery centers, and physician, veterinarian and dental practices.</w:t>
      </w:r>
    </w:p>
    <w:p>
      <w:pPr>
        <w:spacing w:after="0" w:line="126"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manufacture many of our products in plants located in the U.S., Puerto Rico, France, Germany, Ireland, the United Kingdom and Mexico. We also source most of our handheld surgical instruments through specialized third-party vendors.</w:t>
      </w:r>
    </w:p>
    <w:p>
      <w:pPr>
        <w:spacing w:after="0" w:line="12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the U.S., we have three sales channels. The largest, Integra NeuroSciences, sells products through directly employed sales representatives. Within our Integra Orthopedics sales channel, there are three sales organizations: Integra Extremity Reconstruction, which sells through a large direct sales organization; Integra OrthoBiologics and Integra Spine, which sell through specialty distributors focused on their respective surgical specialties. The Integra Medical Instruments market sales channel sells through two main sales organizations: Integra Surgical, which sells both directly and through distributors and Miltex, which sells through distributors and wholesalers.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also market certain products through strategic partners or original equipment manufacturer customers.</w:t>
      </w:r>
    </w:p>
    <w:p>
      <w:pPr>
        <w:spacing w:after="0" w:line="19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3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operating cash flows (which we aim to increase through improved working capital management), and earnings per diluted share of common stock.</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98" w:lineRule="exact"/>
        <w:rPr>
          <w:sz w:val="20"/>
          <w:szCs w:val="20"/>
          <w:color w:val="auto"/>
        </w:rPr>
      </w:pPr>
    </w:p>
    <w:p>
      <w:pPr>
        <w:jc w:val="both"/>
        <w:ind w:left="1040" w:right="559" w:hanging="343"/>
        <w:spacing w:after="0" w:line="290" w:lineRule="auto"/>
        <w:tabs>
          <w:tab w:leader="none" w:pos="10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Developing, manufacturing and selling specialty regenerative technology products</w:t>
      </w:r>
      <w:r>
        <w:rPr>
          <w:rFonts w:ascii="Arial" w:cs="Arial" w:eastAsia="Arial" w:hAnsi="Arial"/>
          <w:sz w:val="16"/>
          <w:szCs w:val="16"/>
          <w:color w:val="auto"/>
        </w:rPr>
        <w:t>. We have a broad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for developing products that regenerate or repair soft tissue and bone. We believe that we have a particular advantage in developing, manufacturing and selling tissue repair products derived from bovine collagen. These products comprised 22%, 24%, and 26% of revenues in the years ended December 31, 2008, 2007 and 2006, respectively. Products that contain materials derived from animal sources, including food, pharmaceuticals and medical devices, have been subject to scrutiny from the media and regulatory authorities.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125" w:lineRule="exact"/>
        <w:rPr>
          <w:rFonts w:ascii="Arial" w:cs="Arial" w:eastAsia="Arial" w:hAnsi="Arial"/>
          <w:sz w:val="16"/>
          <w:szCs w:val="16"/>
          <w:b w:val="1"/>
          <w:bCs w:val="1"/>
          <w:color w:val="auto"/>
        </w:rPr>
      </w:pPr>
    </w:p>
    <w:p>
      <w:pPr>
        <w:jc w:val="both"/>
        <w:ind w:left="1040" w:right="559" w:hanging="343"/>
        <w:spacing w:after="0" w:line="312" w:lineRule="auto"/>
        <w:tabs>
          <w:tab w:leader="none" w:pos="10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Developing metal implants for bone and joint repair, fixation and fusion</w:t>
      </w:r>
      <w:r>
        <w:rPr>
          <w:rFonts w:ascii="Arial" w:cs="Arial" w:eastAsia="Arial" w:hAnsi="Arial"/>
          <w:sz w:val="16"/>
          <w:szCs w:val="16"/>
          <w:color w:val="auto"/>
        </w:rPr>
        <w:t>. Through acquisitions, particularly those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Theken in 2008 and Newdeal Technologies SAS in 2005, we have acquired significant expertise in developing metal implants for use in bone and joint repair, fixation and fusion and in successfully bringing those products to market.</w:t>
      </w:r>
    </w:p>
    <w:p>
      <w:pPr>
        <w:spacing w:after="0" w:line="106" w:lineRule="exact"/>
        <w:rPr>
          <w:rFonts w:ascii="Arial" w:cs="Arial" w:eastAsia="Arial" w:hAnsi="Arial"/>
          <w:sz w:val="16"/>
          <w:szCs w:val="16"/>
          <w:b w:val="1"/>
          <w:bCs w:val="1"/>
          <w:color w:val="auto"/>
        </w:rPr>
      </w:pPr>
    </w:p>
    <w:p>
      <w:pPr>
        <w:jc w:val="both"/>
        <w:ind w:left="1040" w:right="559" w:hanging="343"/>
        <w:spacing w:after="0" w:line="297" w:lineRule="auto"/>
        <w:tabs>
          <w:tab w:leader="none" w:pos="1040" w:val="left"/>
        </w:tabs>
        <w:numPr>
          <w:ilvl w:val="0"/>
          <w:numId w:val="9"/>
        </w:numPr>
        <w:rPr>
          <w:rFonts w:ascii="Arial" w:cs="Arial" w:eastAsia="Arial" w:hAnsi="Arial"/>
          <w:sz w:val="16"/>
          <w:szCs w:val="16"/>
          <w:b w:val="1"/>
          <w:bCs w:val="1"/>
          <w:color w:val="auto"/>
        </w:rPr>
      </w:pPr>
      <w:r>
        <w:rPr>
          <w:rFonts w:ascii="Arial" w:cs="Arial" w:eastAsia="Arial" w:hAnsi="Arial"/>
          <w:sz w:val="16"/>
          <w:szCs w:val="16"/>
          <w:i w:val="1"/>
          <w:iCs w:val="1"/>
          <w:color w:val="auto"/>
        </w:rPr>
        <w:t>Acquiring and integrating new product lines and complementary businesses</w:t>
      </w:r>
      <w:r>
        <w:rPr>
          <w:rFonts w:ascii="Arial" w:cs="Arial" w:eastAsia="Arial" w:hAnsi="Arial"/>
          <w:sz w:val="16"/>
          <w:szCs w:val="16"/>
          <w:color w:val="auto"/>
        </w:rPr>
        <w:t>. Since 1999, we have acquired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more than 30 product lines or businesses through a disciplined acquisition program that focuses on acquiring companies or product lines at reasonable valuations which complement our existing product lines or can be used to leverage our broad technology platform in tissue regeneration and metal implants. We also employ a seasoned team of managers and executives who are quite adept at successfully integrating the acquired product lines and businesses.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Our strategy for growing our business includes the acquisition of complementary product lines and companies. Our recent acquisitions of businesses, assets and product lines may make our financial results for the year ended December 31, 2008 not directly comparable to those of the corresponding prior year periods. See Note 3 to the financial statements for a further discussion. Additionally, our implementation of Statement of Financial Accounting Standards No. 141(R) on January 1, 2009 significantly changes the accounting for business combinations by requiring that we expense most transaction and restructuring costs as they are incurred, whereas we previously capitalized such costs if certain criteria were met, and capitalize the fair value of acquired research and development assets separately from goodwill, whereas we previously determined the acquisition-date fair value and then immediately charged the value to expense.</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From January 2006 through December 2008, we have acquired the following businesses, assets and product lines:</w:t>
      </w:r>
    </w:p>
    <w:p>
      <w:pPr>
        <w:spacing w:after="0" w:line="2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7"/>
          <w:szCs w:val="17"/>
          <w:color w:val="auto"/>
        </w:rPr>
        <w:t>In December 2008, we acquired Minnesota Scientific, Inc., doing business as Omni-Tract Surgical (“Omni-Tract”), for $6.4 million in cash paid at closing, 310,000 unregistered shares of our common stock valued at $10.7 million (of which 135,000 shares were issued at closing, with the remainder issued in January 2009),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We will integrate Omni-Tract’s product lines into our combined offering of JARIT</w:t>
      </w:r>
      <w:r>
        <w:rPr>
          <w:rFonts w:ascii="Arial" w:cs="Arial" w:eastAsia="Arial" w:hAnsi="Arial"/>
          <w:sz w:val="25"/>
          <w:szCs w:val="25"/>
          <w:color w:val="auto"/>
          <w:vertAlign w:val="superscript"/>
        </w:rPr>
        <w:t>®</w:t>
      </w:r>
      <w:r>
        <w:rPr>
          <w:rFonts w:ascii="Arial" w:cs="Arial" w:eastAsia="Arial" w:hAnsi="Arial"/>
          <w:sz w:val="17"/>
          <w:szCs w:val="17"/>
          <w:color w:val="auto"/>
        </w:rPr>
        <w:t>, Padgett™, R&amp;B Redmond™, and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October 2008, we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the Company now has a direct selling presence in Australia and New Zealand.</w:t>
      </w:r>
    </w:p>
    <w:p>
      <w:pPr>
        <w:spacing w:after="0" w:line="16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August 2008, we acquired Theken Spine, LLC, Theken Disc, LLC and Therics, LLC (collectively, “Theken”) for $75.0 million in cash, subject to certain adjustments, acquisition expenses of $2.4 million, working capital adjustments of $3.9 million, and up to $125.0 million in future payments based on the revenue performance of the business in the two years after closing. Theken, based in Akron, Ohio, designs, develops and manufactures spinal fixation products, synthetic bone substitute products and spinal arthroplasty products. With Theken, we acquired a unique and comprehensive portfolio of spinal implant products and a robust technology pipeline and demonstrated product development capacity, an established network of spinal hardware distributors with established access to the orthopedic spine market, and a strong management team with extensive experience in the orthopedic spine market. Theken does not currently sell its products outside of the U.S. Accordingly, we expect that the business will benefit from Integra’s large international presence. The Theken products are now being marketed under the name Integra Spine™.</w:t>
      </w:r>
    </w:p>
    <w:p>
      <w:pPr>
        <w:spacing w:after="0" w:line="137"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December 2007, we acquired all of the outstanding stock of the Precise Dental family of companies (“Precise”) for $10.5 million in cash, subject to certain adjustments and acquisition expenses of $0.6 million. The Precise Dental family of companies develops, manufactures, procures, markets and sells endodontic materials and dental accessories, including the manufacture of absorbable paper points, gutta percha and dental mirrors. Together these companies had procurement and distribution operations in Canoga Park, California and manufacturing operations at multiple locations in Mexico. In 2008, we integrated the acquired Canoga Park procurement and distribution functions into our York, Pennsylvania dental operations. We continue to manage the manufacturing operations in Mexico.</w:t>
      </w:r>
    </w:p>
    <w:p>
      <w:pPr>
        <w:spacing w:after="0" w:line="137" w:lineRule="exact"/>
        <w:rPr>
          <w:sz w:val="20"/>
          <w:szCs w:val="20"/>
          <w:color w:val="auto"/>
        </w:rPr>
      </w:pPr>
    </w:p>
    <w:p>
      <w:pPr>
        <w:jc w:val="both"/>
        <w:ind w:left="340" w:right="559" w:firstLine="373"/>
        <w:spacing w:after="0" w:line="275" w:lineRule="auto"/>
        <w:rPr>
          <w:sz w:val="20"/>
          <w:szCs w:val="20"/>
          <w:color w:val="auto"/>
        </w:rPr>
      </w:pPr>
      <w:r>
        <w:rPr>
          <w:rFonts w:ascii="Arial" w:cs="Arial" w:eastAsia="Arial" w:hAnsi="Arial"/>
          <w:sz w:val="16"/>
          <w:szCs w:val="16"/>
          <w:color w:val="auto"/>
        </w:rPr>
        <w:t>In October 2007, we acquired all of the outstanding stock of IsoTis, Inc. and its subsidiaries (“IsoTis”), a well-respected leader in regenerative medicine, for $64.0 million in cash, subject to certain adjustments and acquisition expenses of $4.7 million. IsoTis, based in Irvine, California, brought to Integra a comprehensive family of orthobiologic products and an established network of distributors focusing on orthopedic surgeons. IsoTis develops, manufacturers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 The Accell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line of products represents the next generation in bone graft substitution. By integrating the IsoTis products with Integra’s own osteoconductive scaffold product line and integrating the Integra spine specialist sales team into the IsoTis distributor network, we created a single unified selling organization, now known as Integra OrthoBiologics. The combined activity strengthens our position as a global leader in orthobiologics.</w:t>
      </w:r>
    </w:p>
    <w:p>
      <w:pPr>
        <w:spacing w:after="0" w:line="15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May 2007, we acquired certain assets of the pain management business of Physician Industries, Inc. (“Physician Industries”) for approximately $4.0 million in cash, subject to certain adjustments and acquisition expenses of $0.1 million.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has been combined with our similar Spinal Specialties product line and the products are sold under the name Integra Pain Management.</w:t>
      </w:r>
    </w:p>
    <w:p>
      <w:pPr>
        <w:spacing w:after="0" w:line="14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May 2007, we acquired the shares of LXU Healthcare, Inc. (“LXU”) for $30.0 million in cash paid at closing and $0.5 million of acquisition-related expenses. LXU, based in West Boylston, Massachusetts, was comprised of three distinct businesses:</w:t>
      </w:r>
    </w:p>
    <w:p>
      <w:pPr>
        <w:spacing w:after="0" w:line="141" w:lineRule="exact"/>
        <w:rPr>
          <w:sz w:val="20"/>
          <w:szCs w:val="20"/>
          <w:color w:val="auto"/>
        </w:rPr>
      </w:pPr>
    </w:p>
    <w:p>
      <w:pPr>
        <w:ind w:left="1040" w:right="559" w:hanging="343"/>
        <w:spacing w:after="0" w:line="306" w:lineRule="auto"/>
        <w:tabs>
          <w:tab w:leader="none" w:pos="1040"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Luxtec </w:t>
      </w:r>
      <w:r>
        <w:rPr>
          <w:rFonts w:ascii="Arial" w:cs="Arial" w:eastAsia="Arial" w:hAnsi="Arial"/>
          <w:sz w:val="17"/>
          <w:szCs w:val="17"/>
          <w:color w:val="auto"/>
        </w:rPr>
        <w:t>— The market-leading manufacturer of fiber optic headlight systems for the medical industry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The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products are manufactured in a 31,000 square foot leased facility in West Boylston.</w:t>
      </w:r>
    </w:p>
    <w:p>
      <w:pPr>
        <w:spacing w:after="0" w:line="5" w:lineRule="exact"/>
        <w:rPr>
          <w:rFonts w:ascii="Arial" w:cs="Arial" w:eastAsia="Arial" w:hAnsi="Arial"/>
          <w:sz w:val="17"/>
          <w:szCs w:val="17"/>
          <w:b w:val="1"/>
          <w:bCs w:val="1"/>
          <w:color w:val="auto"/>
        </w:rPr>
      </w:pPr>
    </w:p>
    <w:p>
      <w:pPr>
        <w:jc w:val="both"/>
        <w:ind w:left="1040" w:right="559" w:hanging="343"/>
        <w:spacing w:after="0" w:line="312" w:lineRule="auto"/>
        <w:tabs>
          <w:tab w:leader="none" w:pos="1040" w:val="left"/>
        </w:tabs>
        <w:numPr>
          <w:ilvl w:val="0"/>
          <w:numId w:val="1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LXU Medical </w:t>
      </w:r>
      <w:r>
        <w:rPr>
          <w:rFonts w:ascii="Arial" w:cs="Arial" w:eastAsia="Arial" w:hAnsi="Arial"/>
          <w:sz w:val="16"/>
          <w:szCs w:val="16"/>
          <w:color w:val="auto"/>
        </w:rPr>
        <w:t>— A leading specialty surgical products distributor with a sales force calling on surgeons and key</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decision makers, covering 18,000 operating rooms in the southeastern, midwestern and mid-Atlantic regions of the U.S. LXU Medical is the exclusive distributor of the Luxtec fiber optic headlight systems in these territories.</w:t>
      </w:r>
    </w:p>
    <w:p>
      <w:pPr>
        <w:spacing w:after="0" w:line="106" w:lineRule="exact"/>
        <w:rPr>
          <w:rFonts w:ascii="Arial" w:cs="Arial" w:eastAsia="Arial" w:hAnsi="Arial"/>
          <w:sz w:val="16"/>
          <w:szCs w:val="16"/>
          <w:b w:val="1"/>
          <w:bCs w:val="1"/>
          <w:color w:val="auto"/>
        </w:rPr>
      </w:pPr>
    </w:p>
    <w:p>
      <w:pPr>
        <w:ind w:left="1040" w:hanging="343"/>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Bimeco </w:t>
      </w:r>
      <w:r>
        <w:rPr>
          <w:rFonts w:ascii="Arial" w:cs="Arial" w:eastAsia="Arial" w:hAnsi="Arial"/>
          <w:sz w:val="18"/>
          <w:szCs w:val="18"/>
          <w:color w:val="auto"/>
        </w:rPr>
        <w:t>— A critical care products distributor with direct sales coverage in the southeastern U.S.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We have integrated the LXU Medical sales force and distributor network with the Integra Medical Instruments sales and distribution organization. As was the intention at the time of the acquisition, we subsequently wound down the Bimeco business and discontinued many of the LXU Medical distributed product lines, which were not aligned with our core strategy.</w:t>
      </w:r>
    </w:p>
    <w:p>
      <w:pPr>
        <w:spacing w:after="0" w:line="106" w:lineRule="exact"/>
        <w:rPr>
          <w:sz w:val="20"/>
          <w:szCs w:val="20"/>
          <w:color w:val="auto"/>
        </w:rPr>
      </w:pPr>
    </w:p>
    <w:p>
      <w:pPr>
        <w:jc w:val="both"/>
        <w:ind w:left="340" w:right="559" w:firstLine="373"/>
        <w:spacing w:after="0" w:line="197" w:lineRule="auto"/>
        <w:rPr>
          <w:sz w:val="20"/>
          <w:szCs w:val="20"/>
          <w:color w:val="auto"/>
        </w:rPr>
      </w:pPr>
      <w:r>
        <w:rPr>
          <w:rFonts w:ascii="Arial" w:cs="Arial" w:eastAsia="Arial" w:hAnsi="Arial"/>
          <w:sz w:val="18"/>
          <w:szCs w:val="18"/>
          <w:color w:val="auto"/>
        </w:rPr>
        <w:t>In January 2007 we acquired the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line from Welch Allyn in an asset purchase for $2.2 million in cash paid at closing and approximately $35,000 of acquisition-related expenses.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lighted mouth mirror used in dental procedures.</w:t>
      </w:r>
    </w:p>
    <w:p>
      <w:pPr>
        <w:spacing w:after="0" w:line="163"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 July 2006 we acquired all of the outstanding shares of Kinetikos Medical, Inc. (“KMI”) for $39.5 million in cash paid at closing and $2.2 million in adjustments and transaction-related costs, subject to certain adjustments, and additional contingent future payments totaling up to $20 million based on the post-acquisition performance of the KMI business for the two year period ended June 30, 2008. We did not pay out any contingent consideration.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KMI was a strategic fit for our growing extremity business and strengthened our presence in the orthopedic hand market. We integrated the KMI product line into our U.S. Extremity Reconstruction sales force and sell KMI product internationally through our well-established orthopedic products distribution infrastructure in Europe.</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July 2006, we acquired a direct sales force in Canada through the acquisition of our longstanding distributor, Canada Microsurgical Ltd. (“Canada Microsurgical”). Canada Microsurgical has ten sales professionals who cover all of the provinces in Canada. The sales and distribution operations have enhanced our expanding Canadian business. We paid $5.8 million (6.4 million Canadian dollars) for Canada Microsurgical at closing, and $0.3 million in adjustments and transaction-related costs. In addition, we contracted to pay additional contingent future payments up to an additional $1.9 million (2.1 million Canadian dollars) over the three years following the date of acquisition, depending on the performance of the business. Pursuant to our agreement, we paid $1.4 million for 2007 and 2008.</w:t>
      </w:r>
    </w:p>
    <w:p>
      <w:pPr>
        <w:spacing w:after="0" w:line="149"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7"/>
          <w:szCs w:val="17"/>
          <w:color w:val="auto"/>
        </w:rPr>
        <w:t>In May 2006 we acquired all of the outstanding capital stock of Miltex Holdings, Inc. (“Miltex”) for $102.7 million in cash paid at closing, subject to certain adjustments, and $0.6 million of transaction-related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25"/>
          <w:szCs w:val="25"/>
          <w:color w:val="auto"/>
          <w:vertAlign w:val="superscript"/>
        </w:rPr>
        <w:t>®</w:t>
      </w:r>
      <w:r>
        <w:rPr>
          <w:rFonts w:ascii="Arial" w:cs="Arial" w:eastAsia="Arial" w:hAnsi="Arial"/>
          <w:sz w:val="17"/>
          <w:szCs w:val="17"/>
          <w:color w:val="auto"/>
        </w:rPr>
        <w:t>, Meisterhand</w:t>
      </w:r>
      <w:r>
        <w:rPr>
          <w:rFonts w:ascii="Arial" w:cs="Arial" w:eastAsia="Arial" w:hAnsi="Arial"/>
          <w:sz w:val="25"/>
          <w:szCs w:val="25"/>
          <w:color w:val="auto"/>
          <w:vertAlign w:val="superscript"/>
        </w:rPr>
        <w:t>®</w:t>
      </w:r>
      <w:r>
        <w:rPr>
          <w:rFonts w:ascii="Arial" w:cs="Arial" w:eastAsia="Arial" w:hAnsi="Arial"/>
          <w:sz w:val="17"/>
          <w:szCs w:val="17"/>
          <w:color w:val="auto"/>
        </w:rPr>
        <w:t>, Vantage</w:t>
      </w:r>
      <w:r>
        <w:rPr>
          <w:rFonts w:ascii="Arial" w:cs="Arial" w:eastAsia="Arial" w:hAnsi="Arial"/>
          <w:sz w:val="25"/>
          <w:szCs w:val="25"/>
          <w:color w:val="auto"/>
          <w:vertAlign w:val="superscript"/>
        </w:rPr>
        <w:t>®</w:t>
      </w:r>
      <w:r>
        <w:rPr>
          <w:rFonts w:ascii="Arial" w:cs="Arial" w:eastAsia="Arial" w:hAnsi="Arial"/>
          <w:sz w:val="17"/>
          <w:szCs w:val="17"/>
          <w:color w:val="auto"/>
        </w:rPr>
        <w:t>, Moyco</w:t>
      </w:r>
      <w:r>
        <w:rPr>
          <w:rFonts w:ascii="Arial" w:cs="Arial" w:eastAsia="Arial" w:hAnsi="Arial"/>
          <w:sz w:val="15"/>
          <w:szCs w:val="15"/>
          <w:color w:val="auto"/>
        </w:rPr>
        <w:t>™</w:t>
      </w:r>
      <w:r>
        <w:rPr>
          <w:rFonts w:ascii="Arial" w:cs="Arial" w:eastAsia="Arial" w:hAnsi="Arial"/>
          <w:sz w:val="17"/>
          <w:szCs w:val="17"/>
          <w:color w:val="auto"/>
        </w:rPr>
        <w:t>, Union Borach</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Thompson™ trademarks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 Miltex also provides a broader platform to grow our business as it participates in the dental and veterinary markets.</w:t>
      </w:r>
    </w:p>
    <w:p>
      <w:pPr>
        <w:spacing w:after="0" w:line="164"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7"/>
          <w:szCs w:val="17"/>
          <w:color w:val="auto"/>
        </w:rPr>
        <w:t>In March 2006 we acquired the assets of the Radionics Division of Tyco Healthcare Group, L.P. for approximately $74.5 million in cash, subject to certain adjustments, including a $2.1 million reduction received in 2007, and $3.2 million of acquisition-related expenses. Radionics, based in Burlington, Massachusetts, is a leader in the design, manufacture and sale of advanced minimally invasive medical instruments in the fields of neurosurgery and radiation therapy. Radionics’ products include the CUSA Excel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ultrasonic surgical aspiration system, the CRW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stereotactic system, the XKnife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stereotactic radiosurgery system, and the OmniSight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EXcel image guided surgery system. This acquisition increased our global neurosurgery product offering, positioned us to offer new stereotactic surgery products, and secured our entry into the radiosurgery/radiotherapy and image-guided surgery device business.</w:t>
      </w:r>
    </w:p>
    <w:p>
      <w:pPr>
        <w:spacing w:after="0" w:line="173"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RESTRUCTURING, INTEGRATION, AND MANUFACTURING AND DISTRIBUTION TRANSFER AND EXPANSION ACTIVITIES</w:t>
      </w:r>
    </w:p>
    <w:p>
      <w:pPr>
        <w:spacing w:after="0" w:line="12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Because of our ongoing acquisition strategy and significant growth in recent years, we have undertaken many cost-saving initiatives to consolidate manufacturing and distribution facilities and activities, eliminate duplicative positions, and realign various sales and marketing activities, and to expand and upgrade production capacity for our collagen-based products.</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2" w:lineRule="auto"/>
        <w:rPr>
          <w:sz w:val="20"/>
          <w:szCs w:val="20"/>
          <w:color w:val="auto"/>
        </w:rPr>
      </w:pPr>
      <w:r>
        <w:rPr>
          <w:rFonts w:ascii="Arial" w:cs="Arial" w:eastAsia="Arial" w:hAnsi="Arial"/>
          <w:sz w:val="17"/>
          <w:szCs w:val="17"/>
          <w:color w:val="auto"/>
        </w:rPr>
        <w:t>During 2007, we expanded our collagen manufacturing capacity in our Puerto Rico plant and, in 2008 we transferred certain manufacturing processes of some of our collagen-based product lines from our Plainsboro plant to the Puerto Rico plant. In connection with the acquisition of IsoTis, we closed the IsoTis facilities in Lausanne, Switzerland and Bilthoven, Netherlands, eliminated various sales, marketing and administrative positions in Europe and reduced various duplicative positions in Irvine, California. In connection with the acquisition of Precise Dental, we closed its facility in Canoga Park, California and integrated Precise’s procurement and distribution operations into our York, Pennsylvania dental operations. In 2007 we also closed the Alabama distribution facility acquired in the LXU Healthcare acquisition.</w:t>
      </w:r>
    </w:p>
    <w:p>
      <w:pPr>
        <w:spacing w:after="0" w:line="151" w:lineRule="exact"/>
        <w:rPr>
          <w:sz w:val="20"/>
          <w:szCs w:val="20"/>
          <w:color w:val="auto"/>
        </w:rPr>
      </w:pPr>
    </w:p>
    <w:p>
      <w:pPr>
        <w:jc w:val="both"/>
        <w:ind w:left="340" w:right="1760" w:firstLine="373"/>
        <w:spacing w:after="0" w:line="279" w:lineRule="auto"/>
        <w:rPr>
          <w:sz w:val="20"/>
          <w:szCs w:val="20"/>
          <w:color w:val="auto"/>
        </w:rPr>
      </w:pPr>
      <w:r>
        <w:rPr>
          <w:rFonts w:ascii="Arial" w:cs="Arial" w:eastAsia="Arial" w:hAnsi="Arial"/>
          <w:sz w:val="17"/>
          <w:szCs w:val="17"/>
          <w:color w:val="auto"/>
        </w:rPr>
        <w:t>In 2008, we transferred the assembly of our Spinal Specialties brand of customized pain management kits from our San Diego, California manufacturing facility to our pain management kit assembly facility in Salt Lake City, Utah that was included in the assets acquired from Physician Industries, Inc. in May 2007. Additionally, in January 2008, we completed the integration of the LXU Healthcare acquisition and closed its administrative facility in Tucson, Arizona.</w:t>
      </w:r>
    </w:p>
    <w:p>
      <w:pPr>
        <w:spacing w:after="0" w:line="131"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 connection with these restructuring activities, we recorded $0.5 million and $1.0 million in 2008 and 2006, respectively, for the estimated costs of employee termination benefits to be provided to the affected employees and related facility exit costs. In 2007 we reversed $0.5 million of previously recorded employee termination costs because our initial estimates exceeded actual costs.</w:t>
      </w:r>
    </w:p>
    <w:p>
      <w:pPr>
        <w:spacing w:after="0" w:line="146"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While we expect a positive impact from ongoing restructuring, integration and manufacturing transfer and expansion activities, such results remain uncertain.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Net income in 2008 was $34.9 million, or $1.22 per diluted share, as compared to net income of $33.5 million, or $1.13 per diluted share, in 2007 and net income of $29.4 million, or $0.97 per diluted share, in 2006.</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Special Charges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before taxes for 2008, 2007 and 2006 include the following special charges: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25,240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charge from renewal of Chief Executive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Officer’s employment agreement and other related charges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Inventory fair market value purchase accounting adjustments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4,238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of inventory and other assets related to discontinued or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withdrawn product lines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Incremental professional and bank fees related to delayed filing of the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2007 Annual Report on Form 10-K</w:t>
            </w: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Facility consolidation, manufacturing and distribution transfer, and System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integration costs</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acquisition-related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Charges related to litigation matters or disputes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Charges recorded in connection with terminating defined benefit plans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convertible debt exchange offer</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Charges associated with termination of interest rate swap</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54,701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vMerge w:val="restart"/>
          </w:tcPr>
          <w:p>
            <w:pPr>
              <w:ind w:left="456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Of these amounts, $8.8 million, $8.7 million, and $5.9 million were charged to cost of product revenues for the years ended December 31, 2008, 2007, and 2006, respectively, $25.2 million, $4.6 million, and $7.5 million were charged to research and development expense for the same periods, and $20.7 million, $1.7 million, and $1.1 million were charged to selling, general and administrative expenses for the same periods. The remaining amounts were primarily charged to benefit from income taxes, amortization expense, interest expense and other expense.</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established by management, and against other companies in our industry. We provide this information to investors so they can analyze our operating results in the same way that management does and to use this information in their assessment of our core business and their valuation of Integra.</w:t>
      </w:r>
    </w:p>
    <w:p>
      <w:pPr>
        <w:spacing w:after="0" w:line="15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Special charges are typically defined as charges for which the amounts and/or timing of such expenses may vary significantly from period-to-period, depending upon our acquisition, integration, and restructuring activities, or for which the amounts are not expected to recur at the same magnitude as we further expand our finance department and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Total Revenues and Gross Margin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4"/>
                <w:szCs w:val="24"/>
                <w:color w:val="auto"/>
              </w:rPr>
            </w:pPr>
          </w:p>
        </w:tc>
      </w:tr>
      <w:tr>
        <w:trPr>
          <w:trHeight w:val="228"/>
        </w:trPr>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Integra NeuroSciences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256,869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242,631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200,808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Integra Orthopedics</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217,953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143,917</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110,209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179,782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163,911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108,280</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654,604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550,459</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419,297</w:t>
            </w:r>
          </w:p>
        </w:tc>
        <w:tc>
          <w:tcPr>
            <w:tcW w:w="16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168,314</w:t>
            </w:r>
          </w:p>
        </w:tc>
      </w:tr>
      <w:tr>
        <w:trPr>
          <w:trHeight w:val="20"/>
        </w:trPr>
        <w:tc>
          <w:tcPr>
            <w:tcW w:w="5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550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401,778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335,785</w:t>
            </w:r>
          </w:p>
        </w:tc>
        <w:tc>
          <w:tcPr>
            <w:tcW w:w="44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250,983</w:t>
            </w: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revenues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75"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7"/>
          <w:szCs w:val="17"/>
          <w:color w:val="auto"/>
        </w:rPr>
        <w:t>In 2008, total revenues increased $104.1 million, or 19%, over 2007 to $654.6 million. Sales of products acquired since the beginning of 2007 comprised approximately $86.2 million of this increase, and changes in foreign currency exchange rates had a $5.6 million favorable effect on 2008 revenues. Sales of our extremity reconstruction implants, Integra™ dermal repair products and Integra Mozaik™ osteoconductive scaffold for spinal fusion contributed significantly to revenue growth in 2008 and increased in excess of 20% over 2007. This growth resulted primarily from the continued expansion in our direct sales force. Modest increases in our intracranial monitoring systems,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dural repair products, MAYFIELD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cranial stabilization systems, Jarit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 of handheld surgical instruments, and Radionics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image-guided surgery and stereotactic radio surgery system primarily drove the remainder of the growth in revenues in 2008.</w:t>
      </w:r>
    </w:p>
    <w:p>
      <w:pPr>
        <w:spacing w:after="0" w:line="164" w:lineRule="exact"/>
        <w:rPr>
          <w:sz w:val="20"/>
          <w:szCs w:val="20"/>
          <w:color w:val="auto"/>
        </w:rPr>
      </w:pPr>
    </w:p>
    <w:p>
      <w:pPr>
        <w:jc w:val="both"/>
        <w:ind w:left="340" w:right="559" w:firstLine="373"/>
        <w:spacing w:after="0" w:line="236" w:lineRule="auto"/>
        <w:rPr>
          <w:sz w:val="20"/>
          <w:szCs w:val="20"/>
          <w:color w:val="auto"/>
        </w:rPr>
      </w:pPr>
      <w:r>
        <w:rPr>
          <w:rFonts w:ascii="Arial" w:cs="Arial" w:eastAsia="Arial" w:hAnsi="Arial"/>
          <w:sz w:val="17"/>
          <w:szCs w:val="17"/>
          <w:color w:val="auto"/>
        </w:rPr>
        <w:t>In 2007, total revenues increased $131.2 million, or 31%, over 2006 to $550.5 million. Sales of products acquired since the beginning of 2006 constituted approximately $90.9 million of this increase, and changes in foreign currency exchange rates had a $7.4 million favorable effect on 2007 revenues. Sales of our extremity reconstruction implants, MAYFIELD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cranial stabilization systems, Integra Mozaik™ osteoconductive scaffold for spinal fusion, and private label products contributed significantly to revenue growth in 2007 and all increased in excess of 20% over 2006. Modest increases in our intracranial monitoring systems,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dural repair products, Integra™ dermal repair products, and the Jarit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 of handheld surgical instruments primarily drove the remainder of our growth in revenues in 2007.</w:t>
      </w:r>
    </w:p>
    <w:p>
      <w:pPr>
        <w:spacing w:after="0" w:line="16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2006, total revenues increased $141.4 million, or 51%, over 2005 to $419.3 million. Sales of products acquired since the beginning of 2005 constituted approximately $104.1 million of this increase, and changes in foreign currency exchange rates had a $0.6 million favorable effect on 2006 revenues. Sales of our extremity reconstruction implants, Integra™ dermal repair products, and private label products contributed significantly to revenue growth in 2007, and all increased in excess of 30% over 2005. Modest increases in our cranial access and external drainage systems and the Jarit line of handheld surgical instruments primarily drove the remainder of our growth in revenues in 2006.</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154"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We have generated our revenue growth primarily through acquisitions, new product launches, market share gains achieved through increased direct sales and marketing efforts worldwide and annual price increases. 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U.S. and leveraging the distribution channels in our Integra Spine, Integra NeuroSciences, and Integra OrthoBiologics sales organizations to broaden each organization’s access to spine surgeons. We believe that the biggest opportunities for revenue growth exist in the extremity reconstruction and spine markets.</w:t>
      </w:r>
    </w:p>
    <w:p>
      <w:pPr>
        <w:spacing w:after="0" w:line="127"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We expect that the following factors will temper sales growth in the short term: reduced spending by hospitals on capital equipment, the occurrence of fewer elective surgical procedures in the current global recessionary economic environment, the recent strengthening of the U.S. dollar against the foreign currencies in which certain of our revenues are denominated, and our recent elimination of many of the product lines that we distributed for third parties. However, we do expect these factors to produce a benefit in our gross margin as a percentage of revenue because most of our capital equipment products and products distributed for third parties tend to generate lower gross margins as compared to our other products and, over time, because the U.S. dollar cost of products that we manufacture outside the U.S. or procure in foreign currencies will also be reduced as the U.S. dollar strengthens against those foreign currencies.</w:t>
      </w:r>
    </w:p>
    <w:p>
      <w:pPr>
        <w:spacing w:after="0" w:line="13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7"/>
          <w:szCs w:val="17"/>
          <w:color w:val="auto"/>
        </w:rPr>
        <w:t>While most of our products are not used in elective surgical procedures, approximately 10% of our revenues in 2008 consisted of sales of capital equipment. Given the current economic conditions, hospital spending on capital equipment is widely expected to decrease in 2009 and potentially beyond. With our large installed base of capital equipment, such as Camino</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intracranial pressure monitors, CUSA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ultrasonic surgical systems, and Radionics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image-guided surgery and stereotactic radio surgery systems, we expect to continue to generate revenue growth from the related disposable products. In addition, we plan to focus on generating more revenues from service and repair agreements on the installed base of capital equipment, as hospitals reduce spending on new capital equipment. We are also exploring other revenue generating alternatives with respect to our capital equipment, such as leasing programs.</w:t>
      </w:r>
    </w:p>
    <w:p>
      <w:pPr>
        <w:spacing w:after="0" w:line="16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Because our business is focused on developing, manufacturing and marketing products developed internally or acquired, we have eliminated distributed product lines that represent approximately 54% of the original revenues of the LXU Healthcare business that we acquired in May 2007. One of our main objectives is to increase the gross margin as a percentage of our revenues. Because we did not own the rights to the products that the LXU Healthcare business distributed for third parties, the gross margins on those products were generally lower than those earned on products that we develop internally or acquire.</w:t>
      </w:r>
    </w:p>
    <w:p>
      <w:pPr>
        <w:spacing w:after="0" w:line="11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margin as a percentage of revenues was 61% in 2008, 61% in 2007, and 60% in 2006. Cost of product revenues in 2008, 2007 and 2006, respectively, included $6.7 million, $4.2 million, and $4.6 million in fair value inventory purchase accounting adjustments recorded in connection with acquisitions. The following charges negatively affected our gross margin: in 2008, $1.2 million associated with discontinued or withdrawn product lines; and, in 2007, $2.8 million associated with discontinued or withdrawn product lines and $0.8 million technology-related intangible asset impairments. In 2008, 2007, and 2006, respectively, cost of product revenues included $4.8 million, $4.2 million, and $2.8 million of intangible asset amortization for technology-based intangible assets.</w:t>
      </w:r>
    </w:p>
    <w:p>
      <w:pPr>
        <w:spacing w:after="0" w:line="14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2009, we expect our consolidated gross margin to increase because sales of our higher gross margin implant products, particularly those from the recently acquired Theken business, are expected to continue to increase as a proportion of total revenues. Additionally, we expect that our gross margin as a percentage of sales will improve over time if the U.S. dollar continues to strengthen against the euro and British pound, as such a strengthening would lower the U.S. dollar cost of products we manufacture at our European plants and the large proportion of the handheld surgical instruments that we procure in euros. Although we continuously identify and implement programs to reduce costs at our manufacturing plants and to manage our inventory more efficiently, gross margin improvements in our business are expected to continued to result primarily from changes in sales mix to a larger proportion of sales of our higher gross margin implant products.</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43%</w:t>
            </w:r>
          </w:p>
        </w:tc>
        <w:tc>
          <w:tcPr>
            <w:tcW w:w="6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6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RESEARCH AND DEVELOPMENT. Research and development expenses increased to $60.5 million in 2008, compared to $30.7 million in 2007. Research and development expenses in 2008, 2007 and 2006, respectively, included $25.2 million, $4.6 million, and $5.9 million of in-process research and development charge related to the Theken, IsoTis, and KMI acquisitions, respectively. To date, we have successfully launched one-half of the products underlying the in-process research and development charge from the IsoTis acquisition, while others are still in development. We have terminated the projects underlying the in-process research and development charge from the KMI acquisition. Additionally, in 2006 we recognized a $1.6 million impairment of inventory and fixed assets associated with a discontinued project for the development of an ultrasonic aspirator system. We discontinued this project in June 2006 following our review of our existing technology and the ultrasonic aspirator technology acquired in the Radionics acquisition. We determined that there was no future, alternative use for the inventory or fixed assets in any other development project.</w:t>
      </w:r>
    </w:p>
    <w:p>
      <w:pPr>
        <w:spacing w:after="0" w:line="137"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6"/>
          <w:szCs w:val="16"/>
          <w:color w:val="auto"/>
        </w:rPr>
        <w:t>Excluding acquisition-related and other special charges, we target future spending on research and development to be between 5% and 6% of total revenues. Most of this planned spending for 2009 is concentrated on product development efforts for our spine, neurosurgery and extremity reconstruction product lines, for which we have more than 50 active development projects planned. Additionally, we are continuing the multi-center clinical trial being conducted under an FDA IDE, initiated in 2006 to support FDA approval of the DuraGen Plus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Adhesion Barrier Matrix product in the U.S. and the clinical trial initiated in 2008 to support FDA approval of expanded claims for our Integra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Dermal Regeneration Template product.</w:t>
      </w:r>
    </w:p>
    <w:p>
      <w:pPr>
        <w:spacing w:after="0" w:line="1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In 2008, research and development expenses as a percentage of revenue increased three percentage points to 9%. The $29.8 million increase to $60.5 million resulted largely from the $25.2 million (approximately 4% of revenue) in-process research and development charge recorded in connection with the Theken acquisition. The remaining increase is primarily related to ongoing expenses from the recently acquired Theken businesses, and from owning the IsoTis business for a full year in 2008, and from increased spending on our DuraGen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Adhesion Barrier Matrix clinical trial.</w:t>
      </w:r>
    </w:p>
    <w:p>
      <w:pPr>
        <w:spacing w:after="0" w:line="13"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$25.2 million in-process research and development charge recorded in connection with the Theken acquisition represents the estimated fair value of acquired development projects that had not yet reached technological feasibility and had no alternative future use. The fair value of this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 net cash</w:t>
            </w: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Discount rate including</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7"/>
              </w:rPr>
              <w:t>Acquired In-Process</w:t>
            </w: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In-flows expected</w:t>
            </w:r>
          </w:p>
        </w:tc>
        <w:tc>
          <w:tcPr>
            <w:tcW w:w="2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factor to account for</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Research and</w:t>
            </w:r>
          </w:p>
        </w:tc>
      </w:tr>
      <w:tr>
        <w:trPr>
          <w:trHeight w:val="234"/>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 begin</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uncertainty of success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Development</w:t>
            </w:r>
          </w:p>
        </w:tc>
        <w:tc>
          <w:tcPr>
            <w:tcW w:w="80" w:type="dxa"/>
            <w:vAlign w:val="bottom"/>
          </w:tcPr>
          <w:p>
            <w:pPr>
              <w:spacing w:after="0"/>
              <w:rPr>
                <w:sz w:val="20"/>
                <w:szCs w:val="20"/>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eDisc artificial lumbar disc</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2013</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 million</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eDisc artificial cervical disc</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2016</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7.2 million</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Spinal fixation implants</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2009</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 million</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All other</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2009</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0.3 million</w:t>
            </w:r>
          </w:p>
        </w:tc>
      </w:tr>
    </w:tbl>
    <w:p>
      <w:pPr>
        <w:spacing w:after="0" w:line="14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eDisc is a unique elastomer disc is intended to restore disc height while maintaining motion over the long term. An electrical version of the eDisc will add the functionality of force sensing in the implant to improve patient recovery by providing alerts postoperatively to the patient via a pager. The spinal fixation implants are structural fixation devices to immobilize the spine in order to promote fusion. Fusion has been shown to reduce pain due to degenerative disc disease and other conditions of the spine. The products are made of either implant grade titanium or implant grade polyetherethereketone and are designed for ease of use to reduce operating room time through fewer parts and fewer steps. The function of the implants is to stabilize the spine to a degree and time period necessary for the growth of bone to occur and provide biologic stability for the long term. There are thirteen different implant systems currently in various stages of development.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continuously monitor our research and development projects. We believe that the assumptions used in the valuation of these acquired development projects represent a reasonably reliable estimate of the future benefits attributable to the acquired in-process research and development. No assurance can be given that actual results will not deviate from those assumptions in future periods.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Research and development expenses in each of 2007 and 2006 remained consistent at 6% of revenues.</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SELLING, GENERAL AND ADMINISTRATIVE. Excluding special charges, we target future selling, general and administrative expenses at between 39% and 41% of revenues. In 2008, selling, general and administrative expenses as a percentage of revenue increased two percentage points to 43%. The $55.8 million increase in 2008 to $281.0 million included an $18.0 million (approximately 3% of revenue) non-cash, stock-based compensation charge recorded in connection with the renewal of our chief executive officer’s employment agreement. Additional increases in 2008 resulted from a significant expansion of our corporate staff, particularly in our finance department, to address multiple material weaknesses in our internal controls over financial reporting, $11.3 million of ongoing operating expenses from the recently acquired Theken businesses, from owning the businesses acquired in 2007 for a full year in 2008, increased expenses associated with headcount expansion in our European headquarters in Lyon, France and from a higher sales commission structure applicable to the Integra Spine distribution channel that was acquired through the Theken acquisition. In the fourth quarter of 2008, we reduced approximately $4.6 million of cash bonuses that had been accrued through the first three quarters of the year because we decided not to pay cash bonuses for 2008 to most of our employees. We had previously accrued these bonuses because, based on the financial results for the first three quarters of the year, it was probable at that time that such bonuses would be earned and paid. Based on our reduced revenue forecast and particularly the lack of capital product orders, the disruption in the credit markets and the uncertainty of its duration, we currently do not anticipate accruing or paying cash bonuses for most of our employees in 2009.</w:t>
      </w:r>
    </w:p>
    <w:p>
      <w:pPr>
        <w:spacing w:after="0" w:line="12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2007, the three percentage point increase in selling, general and administrative expenses as a percentage of revenues to 41% resulted primarily from substantial increases in the size of our selling organizations, particularly for spine and extremity reconstruction, higher expenses for corporate staff, consulting, and professional fees arising from the delayed completion of our financial reporting process, and higher costs in connection with our recent investments in our infrastructure, including the continued implementation of an enterprise business system. The increase in selling, general and administrative expenses in 2007 included $12.1 million of expenses from businesses acquired in 2007 and increases resulting from reporting a full year of expenses for businesses that were acquired in 2006.</w:t>
      </w:r>
    </w:p>
    <w:p>
      <w:pPr>
        <w:spacing w:after="0" w:line="15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For 2008, 2007 and 2006, respectively, we reported $31.7 million (inclusive of a stock-compensation charge and related expenses of $18.4 million relating to grants made in connection with the renewal of our CEO’s employment agreement), $14.3 million and $13.1 million of stock-based compensation charges in selling, general and administrative expenses.</w:t>
      </w:r>
    </w:p>
    <w:p>
      <w:pPr>
        <w:spacing w:after="0" w:line="10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For 2009, we expect that the increase from a full year of expenses related to the recent expansion of our corporate staff will grow at a slower rate than revenues. Additionally, we plan to decrease expenses from reduced participation in certain trade shows and mass print advertising campaigns and focus more on direct marketing. We expect, however, that additional selling expenses related to the higher sales commission structure of the Integra Spine sales organization and further expansion of the Integra Extremity Reconstruction and Integra Spine sales organizations will largely offset these decreased expenses.</w:t>
      </w:r>
    </w:p>
    <w:p>
      <w:pPr>
        <w:spacing w:after="0" w:line="11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Additionally, the implementation of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(“Statement 141(R)”) on January 1, 2009 could result in an increase or decrease in future selling, general and administrative and other operating expenses, depending upon the extent of our acquisition-related activities going forward. Statement 141(R) changes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would have been met at the acquisition date.</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INTANGIBLE ASSET AMORTIZATION. In 2008, amortization expense (excluding amounts reported in cost of product revenues for technology-based intangible assets) increased to $12.9 million because of amortization on intangible assets acquired through our business acquisitions. In 2007, amortization expense (excluding amounts reported in cost of product revenues) increased to $12.6 million because of amortization on intangible assets acquired through our business acquisitions and $0.9 million of impairment charges recorded against certain tradename intangible assets.</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Including the impact of intangible assets acquired in 2008, we expect total annual amortization expense (including amounts reported in cost of product revenues) to be approximately $19.0 million in 2009, $16.6 million in 2010, $16.4 million in 2011, $16.1 million in 2012, $13.4 million in 2013 and $94.5 million thereafter.</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We recorded interest income on our invested cash and marketable debt securities of $2.1 million, $3.6 million, and $2.2 million in 2008, 2007, and 2006, respectively. Interest income decreased in 2008 because of lower yields on invested cash and cash equivalents.</w:t>
      </w:r>
    </w:p>
    <w:p>
      <w:pPr>
        <w:spacing w:after="0" w:line="15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Interest expense primarily relates to the $165 million of outstanding convertible notes due June 2010, $165 million of outstanding convertible notes due June 2012, $120 million of convertible notes that matured or were converted in March 2008, a related interest rate swap agreement, which was terminated in September 2006, and interest and fees relating to our $300 million senior secured credit facility. In 2008, 2007, and 2006, we recorded interest expense to be paid in cash of $9.1 million, $7.7 million, and $3.0 million, respectively, in connection with our convertible notes, and interest expense to be paid in cash of $5.5 million, $3.7 million, and $4.0 million, respectively, in connection with the credit facility.</w:t>
      </w:r>
    </w:p>
    <w:p>
      <w:pPr>
        <w:spacing w:after="0" w:line="13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increase in interest expense in 2008 is related to a full year of interest expense associated with the $330 million of senior convertible notes that we issued in June 2007 and increased borrowings under our credit facility, which were offset by a decrease in interest expense associated with the $120 million of convertible notes that matured or were converted in March 2008. In 2008, we made borrowings of $260 million under our credit facility primarily to pay down the $120 million of convertible notes that matured or were converted in March and April 2008, to finance acquisitions and for general corporate purposes.</w:t>
      </w:r>
    </w:p>
    <w:p>
      <w:pPr>
        <w:spacing w:after="0" w:line="11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increase in interest expense for 2007 is related to the interest expense associated with the $330 million of senior convertible notes we issued in June 2007, which was offset by a decrease in interest expense associated with lower borrowings under our credit facility, which was paid down in full in June 2007.</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Interest expense for 2006 included a $1.2 million write-off of unamortized debt issuance costs related to the old convertible notes discussed below and interest associated with increased borrowings under our credit facility. In 2006, we made additional net borrowings of $100 million under our credit facility.</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September and October 2006, we exchanged $119.5 million (out of a total of $120.0 million) of our old 2.5% contingent convertible subordinated notes that matured in March 2008 for the equivalent amount of new notes. See Note 5 to the financial statements for a further discussion. In connection with the exchange of these convertible notes, we recorded a $1.2 million write-off of the unamortized debt issuance costs and $0.3 million of fees associated with the old contingent convertible notes that were exchanged.</w:t>
      </w:r>
    </w:p>
    <w:p>
      <w:pPr>
        <w:spacing w:after="0" w:line="14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We recorded a $0.4 million liability related to the estimated fair value of the additional interest (“contingent interest”) on these convertible notes that matured in March 2008 at the time the notes were issued in 2003. At each balance sheet date, we marked the contingent interest obligation to its estimated fair value, which was the same under the old and new notes, with changes in the fair value recorded to interest expense. In 2007 and 2006, we recorded $0.7 million and $0.4 million, respectively, of interest expense associated with changes in the estimated fair value of the contingent interest obligation. In 2008, we did not record any interest expense associated the contingent interest obligation, because at December 31, 2007 we had marked it to a fair value of $1.8 million, which was the amount of additional interest we paid in March 2008 upon maturity of the notes.</w:t>
      </w:r>
    </w:p>
    <w:p>
      <w:pPr>
        <w:spacing w:after="0" w:line="14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Our reported interest expense for the years ended December 31, 2008, 2007, and 2006 included $2.4 million, $1.8 million, and $0.6 million, respectively, of non-cash amortization of debt issuance costs.</w:t>
      </w:r>
    </w:p>
    <w:p>
      <w:pPr>
        <w:spacing w:after="0" w:line="130"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 xml:space="preserve">In August 2003, we entered into an interest rate swap agreement with a $50.0 million notional amount to hedge the risk of changes in fair value attributable to interest rate risk with respect to a portion of our fixed-rate convertible notes that matured in March 2008. The interest rate swap agreement was scheduled to terminate in March 2008, subject to early termination upon the occurrence of certain events, including redemption or conversion of the convertible notes. In September 2006, we terminated this interest rate swap agreement in connection with the exchange of our convertible notes. The interest rate swap agreement qualified as a fair value hedge under SFAS No. 133, as amended </w:t>
      </w:r>
      <w:r>
        <w:rPr>
          <w:rFonts w:ascii="Arial" w:cs="Arial" w:eastAsia="Arial" w:hAnsi="Arial"/>
          <w:sz w:val="18"/>
          <w:szCs w:val="18"/>
          <w:i w:val="1"/>
          <w:iCs w:val="1"/>
          <w:color w:val="auto"/>
        </w:rPr>
        <w:t>“Accounting for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The net amount to be paid or received under the interest rate swap agreement was recorded as a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paid the counterparty approximately $2.2 million in connection with the termination of the swap, consisting of a $0.6 million payment of accrued interest and a $1.6 million payment representing the fair market value of the interest rate swap on the termination date, which we had already accrued. Historically, the net difference between changes in the fair value of the interest rate swap and the contingent convertible notes represented the ineffective portion of the hedging relationship, and this amount was recorded in other income/(expense), net. In 2006, we recorded a $0.1 million benefit from the ineffective portion of the hedging relationship.</w:t>
      </w:r>
    </w:p>
    <w:p>
      <w:pPr>
        <w:spacing w:after="0" w:line="16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The implementation of FASB Staff Position No. APB 14-1, </w:t>
      </w:r>
      <w:r>
        <w:rPr>
          <w:rFonts w:ascii="Arial" w:cs="Arial" w:eastAsia="Arial" w:hAnsi="Arial"/>
          <w:sz w:val="17"/>
          <w:szCs w:val="17"/>
          <w:i w:val="1"/>
          <w:iCs w:val="1"/>
          <w:color w:val="auto"/>
        </w:rPr>
        <w:t>Accounting for Convertible Debt Instruments that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Settled in Cash Upon Conversion </w:t>
      </w:r>
      <w:r>
        <w:rPr>
          <w:rFonts w:ascii="Arial" w:cs="Arial" w:eastAsia="Arial" w:hAnsi="Arial"/>
          <w:sz w:val="17"/>
          <w:szCs w:val="17"/>
          <w:color w:val="auto"/>
        </w:rPr>
        <w:t>(“FSP APB 14-1”) on January 1, 2009 will increase the amount of interest expense we report.</w:t>
      </w:r>
      <w:r>
        <w:rPr>
          <w:rFonts w:ascii="Arial" w:cs="Arial" w:eastAsia="Arial" w:hAnsi="Arial"/>
          <w:sz w:val="17"/>
          <w:szCs w:val="17"/>
          <w:i w:val="1"/>
          <w:iCs w:val="1"/>
          <w:color w:val="auto"/>
        </w:rPr>
        <w:t xml:space="preserve"> </w:t>
      </w:r>
      <w:r>
        <w:rPr>
          <w:rFonts w:ascii="Arial" w:cs="Arial" w:eastAsia="Arial" w:hAnsi="Arial"/>
          <w:sz w:val="17"/>
          <w:szCs w:val="17"/>
          <w:color w:val="auto"/>
        </w:rPr>
        <w:t>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applies to all of the convertible notes that we have had outstanding. Upon adoption in our 2009 financial statements, FSP APB 14-1 requires retrospective application back to 2007. Accordingly, we expect that the implementation of FSP APB 14-1 will increase our currently reported interest expense for 2007 and 2008 by $13.4 million and $12.5 million, respectively, and by $11.5 million for 2009, $8.7 million for 2010, $6.7 million for 2011, and $2.9 million for 2012. Early adoption of FSP APB 14-1 is not permitted.</w:t>
      </w:r>
    </w:p>
    <w:p>
      <w:pPr>
        <w:spacing w:after="0" w:line="14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net other income (expense) decreased in 2008 by ($3.9) million of expense to ($0.9) million of net expense. This change includes a decrease in foreign exchange net gains of $2.6 million and asset disposals of $0.5 million. Our net other income (expense) increased in 2007 by $5.0 million to $3.0 million of income. In 2006, we recognized $1.4 million in other expense related to the interest rate swap termination (see Note 6, Derivative Instruments, for a further discussion) and $1.1 million in losses on the sale of assets. In 2007, we recognized $2.2 million in income related to currency transaction and translation gains at foreign affiliates.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Our effective income tax rate was (12.7)%, 44.3% and 39.1% of income before income taxes in 2008, 2007 and 2006, respectively. The decrease in 2008 resulted primarily from a tax benefit of $10.0 million associated with the restructuring of our German operations, as well as, the additional deferral in 2008 of income earned in low tax jurisdictions. The 2007 and 2006 effective income tax rates, respectively, include a $4.6 million and $2.1 million charge for the write-off of in-process research and development related to acquisitions, which are non-deductible for tax purposes.</w:t>
      </w:r>
    </w:p>
    <w:p>
      <w:pPr>
        <w:spacing w:after="0" w:line="13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2009 to increase as compared to 2008 and to be between 30% and 35%.</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net decrease in our tax asset valuation allowance was $2.8 million in 2008. Our tax asset valuation allowance increased by $42.1 million in 2007 and decreased $3.5 million in 2006.</w:t>
      </w:r>
    </w:p>
    <w:p>
      <w:pPr>
        <w:spacing w:after="0" w:line="14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 valuation allowance of $40.8 million is recorded against the remaining $114.4 million of net deferred tax assets recorded at December 31, 2008.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At December 31, 2008 we had net operating loss carryforwards of $21.2 million for federal income tax purposes, $152.8 million for foreign income tax purposes and $62.0 million for state income tax purposes to offset future taxable income. The federal net operating loss carryforwards expire through 2027, $98.4 million of the foreign net operating loss carryforwards expire through 2018 with the remaining $54.4 million having an indefinite carry forward period. The state net operating loss carry forwards expire through 2028.</w:t>
      </w:r>
    </w:p>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At December 31, 2008, certain of our subsidiaries had unused net operating loss carryforwards and tax credit carryforwards arising from periods prior to our ownership which expire through 2027. The Internal Revenue Code limits the timing and manner in which we may use any acquired net operating losses or tax credits.</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We do not provide income taxes on undistributed earnings of non-U.S. subsidiaries because such earnings are expected to be permanently reinvested. Undistributed earnings of foreign subsidiaries totaled $72.7 million, $40.1 million, and $21.9 million at December 31, 2008, 2007, and 2006, respectively.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REVENUES AND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Revenues by major geographic area are summarized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Asia</w:t>
            </w:r>
          </w:p>
        </w:tc>
        <w:tc>
          <w:tcPr>
            <w:tcW w:w="14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Pacific</w:t>
            </w:r>
          </w:p>
        </w:tc>
        <w:tc>
          <w:tcPr>
            <w:tcW w:w="14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Foreign</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jc w:val="right"/>
              <w:ind w:right="2590"/>
              <w:spacing w:after="0"/>
              <w:rPr>
                <w:sz w:val="20"/>
                <w:szCs w:val="20"/>
                <w:color w:val="auto"/>
              </w:rPr>
            </w:pPr>
            <w:r>
              <w:rPr>
                <w:rFonts w:ascii="Arial" w:cs="Arial" w:eastAsia="Arial" w:hAnsi="Arial"/>
                <w:sz w:val="18"/>
                <w:szCs w:val="18"/>
                <w:color w:val="auto"/>
                <w:w w:val="84"/>
              </w:rPr>
              <w:t>2008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494,459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98,848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32,788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654,604</w:t>
            </w:r>
          </w:p>
        </w:tc>
        <w:tc>
          <w:tcPr>
            <w:tcW w:w="0" w:type="dxa"/>
            <w:vAlign w:val="bottom"/>
          </w:tcPr>
          <w:p>
            <w:pPr>
              <w:spacing w:after="0"/>
              <w:rPr>
                <w:sz w:val="1"/>
                <w:szCs w:val="1"/>
                <w:color w:val="auto"/>
              </w:rPr>
            </w:pPr>
          </w:p>
        </w:tc>
      </w:tr>
      <w:tr>
        <w:trPr>
          <w:trHeight w:val="216"/>
        </w:trPr>
        <w:tc>
          <w:tcPr>
            <w:tcW w:w="3040" w:type="dxa"/>
            <w:vAlign w:val="bottom"/>
          </w:tcPr>
          <w:p>
            <w:pPr>
              <w:jc w:val="right"/>
              <w:ind w:right="2590"/>
              <w:spacing w:after="0"/>
              <w:rPr>
                <w:sz w:val="20"/>
                <w:szCs w:val="20"/>
                <w:color w:val="auto"/>
              </w:rPr>
            </w:pPr>
            <w:r>
              <w:rPr>
                <w:rFonts w:ascii="Arial" w:cs="Arial" w:eastAsia="Arial" w:hAnsi="Arial"/>
                <w:sz w:val="18"/>
                <w:szCs w:val="18"/>
                <w:color w:val="auto"/>
                <w:w w:val="84"/>
              </w:rPr>
              <w:t>2007</w:t>
            </w:r>
          </w:p>
        </w:tc>
        <w:tc>
          <w:tcPr>
            <w:tcW w:w="2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417,035</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85,764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21,399</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26,261</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550,459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jc w:val="right"/>
              <w:ind w:right="2590"/>
              <w:spacing w:after="0"/>
              <w:rPr>
                <w:sz w:val="20"/>
                <w:szCs w:val="20"/>
                <w:color w:val="auto"/>
              </w:rPr>
            </w:pPr>
            <w:r>
              <w:rPr>
                <w:rFonts w:ascii="Arial" w:cs="Arial" w:eastAsia="Arial" w:hAnsi="Arial"/>
                <w:sz w:val="18"/>
                <w:szCs w:val="18"/>
                <w:color w:val="auto"/>
                <w:w w:val="84"/>
              </w:rPr>
              <w:t>2006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317,503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419,297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2008, revenues from customers outside the U.S. totaled $160.1 million or 24% of consolidated revenues, of which approximately 62% were sales to European customers. Revenues from customers outside the U.S. included $116.7 million of revenues generated in foreign currencies.</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2007, revenues from customers outside the U.S. totaled $133.4 million or 24% of consolidated revenues, of which approximately 64% were sales to European customers. Revenues from customers outside the U.S. included $94.5 million of revenues generated in foreign currencies.</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2006, revenues from customers outside the U.S. totaled $101.8 million or 24% of consolidated revenues, of which approximately 76% were sales to European customers. Revenues from customers outside the U.S. included $57.6 million of revenues generated in foreign currencies.</w:t>
      </w:r>
    </w:p>
    <w:p>
      <w:pPr>
        <w:spacing w:after="0" w:line="14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With our global reach, we generate revenues and incur operating expenses in multiple foreign currencies, including euros, British pounds, Swiss francs, Canadian dollars, Mexican pesos, Japanese yen and Australian dollars. Accordingly, we will experience currency exchange risk with respect to those foreign currency denominated revenues and operating expenses.</w:t>
      </w:r>
    </w:p>
    <w:p>
      <w:pPr>
        <w:spacing w:after="0" w:line="10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currently do not hedge our exposure to operating foreign currency risk. Accordingly, either a strengthening or a weakening of the dollar against individual foreign currencies could reduce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Additionally, 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6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could combine to affect our sales into markets outside the U.S.</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6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183.5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Short term borrowings and long-term debt</w:t>
            </w:r>
          </w:p>
        </w:tc>
        <w:tc>
          <w:tcPr>
            <w:tcW w:w="20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(590.0)</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position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(406.5)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(392.7)</w:t>
            </w:r>
          </w:p>
        </w:tc>
      </w:tr>
    </w:tbl>
    <w:p>
      <w:pPr>
        <w:spacing w:after="0" w:line="17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We believe that our liquidity remains strong. We believe that our existing cash, future cash expected to be generated from operations, and our remaining $40.0 million of borrowing capacity under our senior secured revolving credit facility, if needed, will satisfy our foreseeable working capital and capital expenditure requirements for at least the next twelve months. The decrease in our net cash position at December 31, 2008 primarily results from the $86.9 million in cash that we paid for acquisitions in 2008 that exceeded the $72.6 million of cash generated from operations. The largest of these acquisitions, Theken, which was acquired for $75.0 million in cash paid at closing in July 2008, was financed through additional borrowings under our revolving credit facility. We do not expect to invest as much cash for acquisitions in 2009 as we did in 2008, unless we are able to obtain alternate sources of financing to fund such future acquisitions at the same levels we did in 2008.</w:t>
      </w:r>
    </w:p>
    <w:p>
      <w:pPr>
        <w:spacing w:after="0" w:line="12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non-U.S. subsidiaries hold cash and cash equivalents that are available for use by all of our operations around the world. However, if these funds were repatriated to the U.S. or used for U.S. operations, the amounts could be subject to U.S. tax for the incremental amount in excess of the foreign tax paid.</w:t>
      </w:r>
    </w:p>
    <w:p>
      <w:pPr>
        <w:spacing w:after="0" w:line="14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currently do not have any investments in marketable securities with purchased maturities greater than three months. Our current investment strategy seeks to preserve capital and maintain an adequate level of liquidity at all times.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We generated positive operating cash flows of $72.6 million, $47.0 million, and $71.7 million in 2008, 2007, and 2006, respectively. Operating cash flows increased in 2008 primarily from higher net income, as adjusted for the $25.2 million in-process research and development charge from the Theken acquisition, for which the related cash paid is reported as an investing activity, and the $18.0 million non-cash, stock-based compensation charge recorded in connection with the renewal of our chief executive officer’s employment agreement. Operating cash flows in 2007 were lower primarily as a result of higher cash payments for income taxes in 2007 following the utilization of substantially all of our net operating loss carryforwards in 2006 and higher levels of working capital in 2007, particularly from substantial investments in inventory. In 2008, 2007, and 2006, changes in working capital items reduced operating cash flows by $26.4 million, $22.5 million, and $1.2 million, respectively. In 2008, operating cash flows included non-cash charges of $25.2 million and $32.6 million relating to in-process research and development and stock-based compensation, respectively. Additionally, the reduction of inventory provided $10.8 million of net cash flows while the payment of income taxes used $41.2 million and the reduction of other operating liabilities, including those acquired through acquisitions, used $17.3 million. In 2007, we invested significantly in inventory because of the commencement of our manufacturing plant in Ireland and to support greater extremity reconstruction and surgical instrument sales. In 2008, we took actions to reduce our inventories to levels more consistent with prior trends and we are continuing these efforts in 2009.</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Our principal uses of funds for the year ended December 31, 2008 were $119.6 million in repayment on our 2</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contingent convertible notes that matured in March 2008, $86.9 million for acquisition consideration, and $13.4 million in capital expenditures. In addition to the $72.6 million in operating cash flows we generated in 2008, we borrowed $260.0 million under our revolving credit facility, and we received $11.5 million from the issuance of common stock through the exercise of stock options during the period. The borrowings under our revolving credit facility were used to repay the contingent convertible notes that matured in March 2008, to finance acquisitions and for general corporate purposes.</w:t>
      </w:r>
    </w:p>
    <w:p>
      <w:pPr>
        <w:spacing w:after="0" w:line="15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principal uses of funds for the year ended December 31, 2007 were $100.0 million in net repayments on our credit facility, $100.8 million for acquisition consideration, $106.5 million paid for the purchase of 2.2 million shares for our common stock, and $22.6 million in capital expenditures. In addition to the $47.0 million in operating cash flows that we generated in 2007, we received $295.1 million in net cash proceeds from the issuance of senior convertible notes, which is net of the purchase of call options and sale of warrants, and $18.8 million from the issuance of common stock through the exercise of stock options during the period.</w:t>
      </w:r>
    </w:p>
    <w:p>
      <w:pPr>
        <w:spacing w:after="0" w:line="15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2006, we used $228.7 million for acquisition consideration, $70 million for the purchase of 1.8 million shares for our common stock and $11.5 million in capital expenditures. We received $109.9 million in cash from sales and maturities of available for sale securities, net of purchases. In addition to the $71.7 million in operating cash flows that we generated in 2006, we received $15.9 million from the issuance of common stock through the exercise of stock options during the period and $98.5 million from net borrowings under our credit facility.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2008 and 2007, working capital was $322.6 million and $148.3 million,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We pay interest each June 1 and December 1 on our $165 million senior convertible notes due June 2010 (“2010 Notes”) at an annual rate of 2.75% and on our $165 million senior convertible notes due June 2012 (“2012 Notes” and, collectively with the “2010 Notes”, the “Notes”) at an annual rate of 2.375%. In 2008, we paid an aggregate amount of $0.1 million to holders of the Notes as liquidated damages for failure to maintain the effectiveness of the registration statements that permit resales of the common stock issuable upon conversion of the Notes, which failure was caused by our inability to timely file our Annual Report on Form 10-K for the year ended December 31, 2007. Payments of the liquidated damages amount were made at the same time that ordinary interest payments were made to the holders of the Notes.</w:t>
      </w:r>
    </w:p>
    <w:p>
      <w:pPr>
        <w:spacing w:after="0" w:line="15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2008, none of these conditions existed and, as a result, the $330 million aggregate balance of the 2010 Notes and the 2012 Notes is classified as long-term.</w:t>
      </w:r>
    </w:p>
    <w:p>
      <w:pPr>
        <w:spacing w:after="0" w:line="13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rank equal in right of payment to the 2012 Notes. The Notes are Integra’s direct senior unsecured obligations and rank equal in right of payment to all of our existing and future unsecured and unsubordinated indebtedness.</w:t>
      </w:r>
    </w:p>
    <w:p>
      <w:pPr>
        <w:spacing w:after="0" w:line="14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On March 19, 2008 and April 9, 2008, we received notices of default from the trustee related to the failure to timely provide the trustee with a copy of our Annual Report on Form 10-K for the year ended December 31, 2007. The default under the indentures was cured by May 18, 2008 (60 days from the date of the earlier notice of default) without penalty.</w:t>
      </w:r>
    </w:p>
    <w:p>
      <w:pPr>
        <w:spacing w:after="0" w:line="13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27"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may from time to time seek to retire or purchase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Neither the 2010 Notes nor the 2012 Notes are rated by any credit rating agency.</w:t>
      </w:r>
    </w:p>
    <w:p>
      <w:pPr>
        <w:spacing w:after="0" w:line="18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We paid interest on our $120 million contingent convertible subordinated notes that matured in March 2008 (“2008 Notes”) at an annual rate of 2</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Upon maturity of the 2008 Notes, we also paid $1.8 million of contingent interest because our common stock price was greater than $37.56 at thirty days prior to their maturity. Because the market price of our common stock was greater than $37.56 per share, holders of the 2008 Notes were able to convert the notes prior to maturity. In March 2008, we repaid the 2008 Notes upon conversion or maturity by issuing approximately 768,000 shares of our common stock and paying $119.6 million in cash. There were no financial covenants associated with the 2008 Notes.</w:t>
      </w:r>
    </w:p>
    <w:p>
      <w:pPr>
        <w:spacing w:after="0" w:line="15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conjunction with the 2008 Notes, we had previously recognized a deferred tax liability related to the conversion feature of the debt. Due to the repayment of the 2008 Notes, we reversed the remaining balance of the deferred tax liability which resulted in the recognition of a $2.4 million valuation allowance on a deferred tax asset, a $4.8 million increase to current income taxes payable and $11.5 million of additional paid-in capital.</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2006, we exchanged $119.5 million principal amount of new notes with a “net share settlement” mechanism for $119.5 million of our then outstanding 2008 Notes. The terms of the new notes were substantially similar to those of the old notes, except that the new notes had a net share settlement feature and included “takeover protection,” whereby we would pay a premium to holders who had converted their notes upon the occurrence of designated events, including a change in control. The net share settlement feature of the new notes required that, upon conversion of the new notes, we would pay holders in cash for up to the principal amount of the converted new notes, with any amount in excess of the cash amount settled, at our election, in cash or shares of our common stock.</w:t>
      </w:r>
    </w:p>
    <w:p>
      <w:pPr>
        <w:spacing w:after="0" w:line="14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Holders who exchanged their old notes in the exchange offer received an exchange fee of $2.50 per $1,000 principal amount of their old notes. We paid approximately $299,000 of exchange fees to tendering holders of the existing notes plus expenses totaling approximately $332,000 in connection with the offer.</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September 2006, we terminated our interest rate swap agreement with a $50 million notional amount to hedge the risk of changes in fair value attributable to interest rate risk with respect to a portion of the March 2008 Notes. See “Results of Operations — Non-Operating Income and Expenses.”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Secured Revolving Credit Facility</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In December 2005, we established a $200 million, five-year, senior secured revolving credit facility, which runs through December 2011. We amended the credit facility in February 2007 to increase the size of the credit facility to $300 million, which can be increased to $400 million should additional financing be required in the future. We plan to utilize the credit facility for working capital, capital expenditures, share repurchases, acquisitions, debt repayments and other general corporate purposes. In 2008, we borrowed an aggregate of $260.0 million against this facility, including $120.0 million borrowed in March 2008 to finance the $119.4 million pay down of our 2008 Notes upon their conversion or maturity, $80.0 million borrowed in July 2008 to fund the acquisition of Theken and for other general corporate purposes, and $60.0 million borrowed in October 2008 for general corporate purposes. As a result, we have $260.0 million of outstanding borrowings under our credit facility as of December 31, 2008.</w:t>
      </w:r>
    </w:p>
    <w:p>
      <w:pPr>
        <w:spacing w:after="0" w:line="17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borrowed $98.5 million in 2006 for acquisition-related purposes and paid down the entire outstanding balance in June 2007 with a portion of the proceeds from the issuance of our $330 million of senior convertible notes.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indebtedness under the credit facility is guaranteed by all but one of our domestic subsidiaries. Our obligations under the credit facility and the guarantees of the guarantors are secured by a first-priority security interest in all present and future capital stock of (or other ownership or profit interest in) each guarantor and substantially all of ours and the guarantors’ other assets, other than real estate, intellectual property and capital stock of foreign subsidiaries.</w:t>
      </w:r>
    </w:p>
    <w:p>
      <w:pPr>
        <w:spacing w:after="0" w:line="14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Borrowings under the credit facility bear interest, at our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w:t>
      </w:r>
    </w:p>
    <w:p>
      <w:pPr>
        <w:spacing w:after="0" w:line="1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will also pay an annual commitment fee (ranging from 0.10% to 0.20%) on the daily amount by which the commitments under the credit facility exceed the outstanding loans and letters of credit under the credit facility.</w:t>
      </w:r>
    </w:p>
    <w:p>
      <w:pPr>
        <w:spacing w:after="0" w:line="13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our and our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We were in compliance with all covenants at each balance sheet date.</w:t>
      </w:r>
    </w:p>
    <w:p>
      <w:pPr>
        <w:spacing w:after="0" w:line="15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March and April 2008 we received waivers from the lenders under our credit facility related to the late completion of our audited financial statements for the year ended December 31, 2007. We included such financial statements in our Annual Report on Form 10-K filed on May 16, 2008. We also received an extension of the delivery date under the credit facility of our financial statements for the quarter ended March 31, 2008. We included such financial statements in our Quarterly Report on Form 10-Q filed on June 4, 2008. In addition, we obtained a waiver regarding a representation and warranty in the credit agreement relating to material weaknesses in our internal controls through November 15, 2008. We have since remediated the material weaknesses in our internal controls. Accordingly, we are now able to make additional borrowings under the revolving credit facility.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Plans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October 2007, our Board of Directors adopted a program that authorized us to repurchase shares of our common stock for an aggregate purchase price not to exceed $75.0 million through December 31, 2008. 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 We did not repurchase any shares of our common stock in 2008 under either of these programs.</w:t>
      </w:r>
    </w:p>
    <w:p>
      <w:pPr>
        <w:spacing w:after="0" w:line="16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During 2007 and 2006, we repurchased 2.2 million and 1.8 million shares, respectively, of our common stock under authorized share repurchase programs. We hold repurchased shares as treasury shares and may use them for general corporate purposes, including acquisitions and for issuance upon exercise of outstanding stock options and stock awards.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revolving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2008, we were obligated to pay the following amounts under various agreements: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28"/>
        </w:trPr>
        <w:tc>
          <w:tcPr>
            <w:tcW w:w="3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(In millions)</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8"/>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 Long 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Revolving Credit Facility (1)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Employment Agreements (2)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Minimum Royalty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r>
      <w:tr>
        <w:trPr>
          <w:trHeight w:val="20"/>
        </w:trPr>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659.1</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59"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makes regular borrowing and payments each month against the credit facility and considers $100 million of the outstanding amounts to be short-term in nature based on its current intent and ability. If additional borrowings are made in connection with, for instance, future acquisitions, this could impact the timing of when the Company intends to repay amounts under this credit facility which runs through December 2011.</w:t>
      </w:r>
    </w:p>
    <w:p>
      <w:pPr>
        <w:spacing w:after="0" w:line="38" w:lineRule="exact"/>
        <w:rPr>
          <w:rFonts w:ascii="Arial" w:cs="Arial" w:eastAsia="Arial" w:hAnsi="Arial"/>
          <w:sz w:val="18"/>
          <w:szCs w:val="18"/>
          <w:color w:val="auto"/>
        </w:rPr>
      </w:pPr>
    </w:p>
    <w:p>
      <w:pPr>
        <w:ind w:left="680" w:right="559" w:hanging="348"/>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executive compensation or compensation resulting from a change in control relating to our executive officers.</w:t>
      </w:r>
    </w:p>
    <w:p>
      <w:pPr>
        <w:spacing w:after="0" w:line="13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 The purchase agreements could require payments up to a total of approximately $128 million in 2009 and 2010, the actual amounts to depend primarily on the revenues attributable to the Theken Spine, LLC acquisition.</w:t>
      </w:r>
    </w:p>
    <w:p>
      <w:pPr>
        <w:spacing w:after="0" w:line="11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$11.6 million. This liability for unrecognized tax benefits has been excluded because we cannot make a reliable estimate of the period in which the unrecognized tax benefits will be realized.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projected cash flows and discount rates used to value intangible assets and in-process research and development charges and test goodwill and intangible assets for impairment, computation of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are different from our estimates and the related provisions for sales returns and allowances, we may change the sales returns and allowances provision in the future through an increase or decrease in revenues.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record valuation reserves against all or a portion of the value of the related products to adjust their carrying value to estimated net realizable value. If future demand or market conditions are different from our projections, or if we are unable to rework excess or obsolete quantities into other products, we may change the recorded amount of inventory valuation reserves through a charge or reduction in cost of product revenues in the period the revision is made.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Identifiable Intangible Assets, In-Process Research and Development Charges, and Goodwill</w:t>
      </w:r>
    </w:p>
    <w:p>
      <w:pPr>
        <w:spacing w:after="0" w:line="198"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We allocate the purchase price of acquired businesses and product lines between tangible and intangible assets, goodwill and in-process research and development charges, as applicable. In-process research and development is defined as the value assigned to those acquired technologies or projects for which the related products have not received regulatory approval and have no alternative future use. Determining the portion of the purchase price allocated to in-process research and development and other intangible assets requires us to make significant estimates. We allocate the purchase price to in-process research and development and other identifiable intangible assets by estimating the future cash flows of each project, technology, customer relationship, trade name, or other applicable asset and discounting those net cash flows back to their present values. The discount rate used is determined at the time of acquisition in accordance with accepted valuation methods. For in-process research and development, these methodologies include consideration of the risk of the project not achieving commercial feasibility.</w:t>
      </w:r>
    </w:p>
    <w:p>
      <w:pPr>
        <w:spacing w:after="0" w:line="126"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 xml:space="preserve">We review goodwill and identifiable intangible assets with indefinite lives for impairment annually and whenever events or changes indicate that the carrying value of an asset may not be recoverable in accordance with the Financial Accounting Standards Board, or FASB, Statement of Financial Accounting Standards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These events or circumstances could include a significant change in the business climate, legal factors, operating performance indicators, competition, or sale or disposition of significant assets or products. Application of these impairment tests requires 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15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Changes in the projected cash flows and discount rate estimates and assumptions underlying the valuation of identifiable intangible assets, in-process research and development, and goodwill could materially affect the determination of fair value at acquisition or during subsequent periods when tested for impairment.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their basis for income tax purposes and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9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We are subject to claims and lawsuits in the ordinary course of our business, including claims by employees or former employees, with respect to our products and involving commercial disputes. We accrue for loss contingencies in accordance with SFAS 5; that is,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as permitted by EITF Topic D-77.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9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In May 2008, the FASB issued Staff Position No. APB 14-1, </w:t>
      </w:r>
      <w:r>
        <w:rPr>
          <w:rFonts w:ascii="Arial" w:cs="Arial" w:eastAsia="Arial" w:hAnsi="Arial"/>
          <w:sz w:val="17"/>
          <w:szCs w:val="17"/>
          <w:i w:val="1"/>
          <w:iCs w:val="1"/>
          <w:color w:val="auto"/>
        </w:rPr>
        <w:t>Accounting for Convertible Debt Instruments that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Settled in Cash Upon Conversion </w:t>
      </w:r>
      <w:r>
        <w:rPr>
          <w:rFonts w:ascii="Arial" w:cs="Arial" w:eastAsia="Arial" w:hAnsi="Arial"/>
          <w:sz w:val="17"/>
          <w:szCs w:val="17"/>
          <w:color w:val="auto"/>
        </w:rPr>
        <w:t>(“FSP APB 14-1”). FSP APB 14-1 requires that the liability and equity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applies to all of the convertible notes that we have had outstanding. Accordingly, the implementation of FSP APB 14-1 on January 1, 2009 will increase the amount of interest expense we report. Upon adoption in our 2009 financial statements, FSP APB 14-1 requires retrospective application back to 2007. Accordingly, we expect that the implementation of FSP APB 14-1 will increase our currently reported interest expense for 2007 and 2008 by $13.4 million and $12.5 million, respectively, and by $11.5 million for 2009, $8.7 million for 2010, $6.7 million for 2011, and $2.9 million for 2012. Early adoption of FSP APB 14-1 is not permitted.</w:t>
      </w:r>
    </w:p>
    <w:p>
      <w:pPr>
        <w:spacing w:after="0" w:line="142"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 xml:space="preserve">In March 2008, the FASB issued Statement No. 161, </w:t>
      </w:r>
      <w:r>
        <w:rPr>
          <w:rFonts w:ascii="Arial" w:cs="Arial" w:eastAsia="Arial" w:hAnsi="Arial"/>
          <w:sz w:val="17"/>
          <w:szCs w:val="17"/>
          <w:i w:val="1"/>
          <w:iCs w:val="1"/>
          <w:color w:val="auto"/>
        </w:rPr>
        <w:t>Disclosures about Derivative Instruments and Hedging Activities</w:t>
      </w:r>
      <w:r>
        <w:rPr>
          <w:rFonts w:ascii="Arial" w:cs="Arial" w:eastAsia="Arial" w:hAnsi="Arial"/>
          <w:sz w:val="17"/>
          <w:szCs w:val="17"/>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13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 xml:space="preserve">In December 2007, the FASB issued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(“Statement 141(R)”), a replacement of FASB Statement No. 141. Statement 141(R) is effective for fiscal years beginning on or after December 15, 2008 and applies to all business combinations. Statement 141(R) changes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Associated with Exit or Disposal Activities</w:t>
      </w:r>
      <w:r>
        <w:rPr>
          <w:rFonts w:ascii="Arial" w:cs="Arial" w:eastAsia="Arial" w:hAnsi="Arial"/>
          <w:sz w:val="16"/>
          <w:szCs w:val="16"/>
          <w:color w:val="auto"/>
        </w:rPr>
        <w:t>, would have been met at the acquisition date. Additionally, Statement 141(R)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on January 1, 2009 could result in an increase or decrease in future selling, general and administrative and other operating expenses, depending upon the extent of our acquisition related activities going forward.</w:t>
      </w:r>
    </w:p>
    <w:p>
      <w:pPr>
        <w:spacing w:after="0" w:line="14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 xml:space="preserve">In April 2008, the FASB issued FASB Staff Position (“FSP”) FAS 142-3, </w:t>
      </w:r>
      <w:r>
        <w:rPr>
          <w:rFonts w:ascii="Arial" w:cs="Arial" w:eastAsia="Arial" w:hAnsi="Arial"/>
          <w:sz w:val="16"/>
          <w:szCs w:val="16"/>
          <w:i w:val="1"/>
          <w:iCs w:val="1"/>
          <w:color w:val="auto"/>
        </w:rPr>
        <w:t>Determination of the Useful Life of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This FSP amends the factors that should be considered in developing renewal or extension assumptions used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useful life of a recognized intangible asset under Statement of Financial Accounting Standards No.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(“SFAS 142”). The intent of this FSP is to improve the consistency between the useful life of a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 under SFAS 142 and the period of expected cash flows used to measure the fair value of the asset under Statement 141(R), and other generally accepted accounting principles. This FSP is effective for fiscal years beginning after December 15, 2008. Early adoption is prohibited. We are required to adopt this FSP for the fiscal year beginning January 1, 2009. Management does not anticipate that the adoption of this FSP will have a material impact on our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May 2008, the FASB issued Statement of Financial Accounting Standards No. 162, </w:t>
      </w:r>
      <w:r>
        <w:rPr>
          <w:rFonts w:ascii="Arial" w:cs="Arial" w:eastAsia="Arial" w:hAnsi="Arial"/>
          <w:sz w:val="17"/>
          <w:szCs w:val="17"/>
          <w:i w:val="1"/>
          <w:iCs w:val="1"/>
          <w:color w:val="auto"/>
        </w:rPr>
        <w:t>The Hierarchy of Generally Accepted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Principles </w:t>
      </w:r>
      <w:r>
        <w:rPr>
          <w:rFonts w:ascii="Arial" w:cs="Arial" w:eastAsia="Arial" w:hAnsi="Arial"/>
          <w:sz w:val="17"/>
          <w:szCs w:val="17"/>
          <w:color w:val="auto"/>
        </w:rPr>
        <w:t>(“SFAS 162”). SFAS 162 identifies the sources of accounting principles and the framework for selecting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our financial statements.</w:t>
      </w:r>
    </w:p>
    <w:p>
      <w:pPr>
        <w:spacing w:after="0" w:line="15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In June 2008, the FASB issued Staff Position EITF 03-6-1, </w:t>
      </w:r>
      <w:r>
        <w:rPr>
          <w:rFonts w:ascii="Arial" w:cs="Arial" w:eastAsia="Arial" w:hAnsi="Arial"/>
          <w:sz w:val="18"/>
          <w:szCs w:val="18"/>
          <w:i w:val="1"/>
          <w:iCs w:val="1"/>
          <w:color w:val="auto"/>
        </w:rPr>
        <w:t>Determining Whether Instruments Granted in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Transactions Are Participating Securities </w:t>
      </w:r>
      <w:r>
        <w:rPr>
          <w:rFonts w:ascii="Arial" w:cs="Arial" w:eastAsia="Arial" w:hAnsi="Arial"/>
          <w:sz w:val="18"/>
          <w:szCs w:val="18"/>
          <w:color w:val="auto"/>
        </w:rPr>
        <w:t>(“FSP EITF 03-6-1”), which is effective January 1, 2009. FSP EITF 03-6-1</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that share-based payment awards that entitle holders to receive non-forfeitable dividends before they vest will be considered participating securities and included in the basic earnings per share calculation. Management is assessing the impact of adoption of FSP EITF 03-6-1 on our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8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With our global reach, we generate revenues and incur operating expenses in multiple foreign currencies, including euros, British pounds, Swiss francs, Canadian dollars, Mexican pesos, Japanese yen, and Australian dollars. Accordingly, we will experience currency exchange risk with respect to those foreign currency denominated revenues and operating expenses.</w:t>
      </w:r>
    </w:p>
    <w:p>
      <w:pPr>
        <w:spacing w:after="0" w:line="10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We currently do not hedge our exposure to operating foreign currency risk. Accordingly, a weakening of the dollar against any of these foreign currencies could reduce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i w:val="1"/>
          <w:iCs w:val="1"/>
          <w:color w:val="auto"/>
        </w:rPr>
        <w:t xml:space="preserve">Marketable Debt Securities. </w:t>
      </w:r>
      <w:r>
        <w:rPr>
          <w:rFonts w:ascii="Arial" w:cs="Arial" w:eastAsia="Arial" w:hAnsi="Arial"/>
          <w:sz w:val="16"/>
          <w:szCs w:val="16"/>
          <w:color w:val="auto"/>
        </w:rPr>
        <w:t>We are exposed to the risk of interest rate fluctuations on the fair value and interest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earned on our cash and cash equivalents. A hypothetical 100 basis point movement in interest rates applicable to our cash and cash equivalents outstanding at December 31, 2008 would increase or decrease interest income by approximately $1.8 million on an annual basis. We are subject to foreign currency exchange risk with respect to cash balances maintained in foreign currencies.</w:t>
      </w:r>
    </w:p>
    <w:p>
      <w:pPr>
        <w:spacing w:after="0" w:line="11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Senior Secured Credit Facility. </w:t>
      </w:r>
      <w:r>
        <w:rPr>
          <w:rFonts w:ascii="Arial" w:cs="Arial" w:eastAsia="Arial" w:hAnsi="Arial"/>
          <w:sz w:val="18"/>
          <w:szCs w:val="18"/>
          <w:color w:val="auto"/>
        </w:rPr>
        <w:t>We are exposed to the risk of interest rate fluctuations on the interest paid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senior secured credit facility. Based on our outstanding borrowings as of December 31, 2008, a hypothetical 100 basis point movement in interest rates applicable to this credit facility would increase or decrease interest expense by approximately $2.6 million on an annual basis. The primary reference rate under this credit facility is the London Interbank Offered Rate (“LIBOR”) for the applicable duration.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reports thereon of PricewaterhouseCoopers LLP, are presented following Item 15 of this report.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16, Selected Quarterly Information — Unaudited, to the Consolidated Financial Statements.</w:t>
      </w:r>
    </w:p>
    <w:p>
      <w:pPr>
        <w:spacing w:after="0" w:line="139"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2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2008. Based upon this evaluation, our principal executive officer and principal financial officer concluded that our disclosure controls and procedures were effective as of December 31, 2008 to provide such reasonable assurance.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5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To evaluate the effectiveness of our internal control over financial reporting, management used the criteria described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(“COSO”). Based upon this evaluation, management concluded that our internal control over financial reporting was effective as of December 31, 2008.</w:t>
      </w:r>
    </w:p>
    <w:p>
      <w:pPr>
        <w:spacing w:after="0" w:line="16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conducting our evaluation of the effectiveness of our internal control over financial reporting, we have excluded Theken Spine, LLC, Theken Disc, LLC and Therics, LLC (collectively, “Theken”) and Minnesota Scientific, Inc., from our assessment of internal control over financial reporting as of December 31, 2008 because they were acquired by the Company in purchase business combinations during 2008. Theken and Minnesota Scientific, Inc., are wholly owned entities of the Company whose total assets and total revenues represent approximately 6.7% and 3.0%, and 1.7% and 0.1%, respectively, of the related consolidated financial statement amounts as of and for the year ended December 31, 2008.</w:t>
      </w:r>
    </w:p>
    <w:p>
      <w:pPr>
        <w:spacing w:after="0" w:line="138"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2008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A material weakness in internal control over financial reporting is a deficiency, or a combination of deficiencies, such that there is a reasonable possibility that a material misstatement of the company’s annual or interim financial statements will not be prevented or detected on a timely basis. In connection with management’s assessment of our internal control over financial reporting, we had identified the following material weaknesses in our internal control over financial reporting as of September 30, 2008. For the reasons set forth below, these material weaknesses have been remediated as of December 31, 2008.</w:t>
      </w:r>
    </w:p>
    <w:p>
      <w:pPr>
        <w:spacing w:after="0" w:line="11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strengthened our control processes and procedures with the objective of remediating the material weaknesses as soon as practicable. The steps we took in general with respect to each enumerated material weakness are set forth below.</w:t>
      </w:r>
    </w:p>
    <w:p>
      <w:pPr>
        <w:spacing w:after="0" w:line="10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i w:val="1"/>
          <w:iCs w:val="1"/>
          <w:color w:val="auto"/>
        </w:rPr>
        <w:t xml:space="preserve">Remediation — In General. </w:t>
      </w:r>
      <w:r>
        <w:rPr>
          <w:rFonts w:ascii="Arial" w:cs="Arial" w:eastAsia="Arial" w:hAnsi="Arial"/>
          <w:sz w:val="18"/>
          <w:szCs w:val="18"/>
          <w:color w:val="auto"/>
        </w:rPr>
        <w:t>We established a dedicated team, including both employees and consultants,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compliance program. This team is responsible for identifying and testing all of the Company’s “key controls,” assigning a “process owner” to each key control, determining which ones are deficient in either design or application, and monitoring remediation progress via an online assessment tool. The team has reviewed its progress with management regularly. This team has also raised awareness and accountability for internal controls compliance throughout all departments and levels in the organization. These efforts substantially remediated the internal controls deficiencies that aggregated into our material weaknesses. Specifically:</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Personnel and management.</w:t>
      </w:r>
    </w:p>
    <w:p>
      <w:pPr>
        <w:spacing w:after="0" w:line="185"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u w:val="single" w:color="auto"/>
          <w:color w:val="auto"/>
        </w:rPr>
        <w:t>Previously reported material weakness:</w:t>
      </w:r>
      <w:r>
        <w:rPr>
          <w:rFonts w:ascii="Arial" w:cs="Arial" w:eastAsia="Arial" w:hAnsi="Arial"/>
          <w:sz w:val="16"/>
          <w:szCs w:val="16"/>
          <w:color w:val="auto"/>
        </w:rPr>
        <w:t xml:space="preserve"> The Company did not maintain a sufficient complement of personnel with the appropriate skills, training and experience to identify and address the application of generally accepted accounting principles and effective controls with respect to locations undergoing change or experiencing staff turnover. Specifically, the Company did not maintain a sufficient complement of personnel to completely and accurately record and review the inventory, accrued liabilities, intercompany accounts, accounts receivable and income tax accounts as of and for the year ended December 31, 2007 and interim periods through September 30, 2008. Further, effective communication was not designed and in place for sharing of information within and between our finance department and other operating departments. This control deficiency contributed to the following control deficiencies which are individually considered to be material weaknesses.</w:t>
      </w:r>
    </w:p>
    <w:p>
      <w:pPr>
        <w:spacing w:after="0" w:line="12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u w:val="single" w:color="auto"/>
          <w:color w:val="auto"/>
        </w:rPr>
        <w:t>Remediation efforts:</w:t>
      </w:r>
      <w:r>
        <w:rPr>
          <w:rFonts w:ascii="Arial" w:cs="Arial" w:eastAsia="Arial" w:hAnsi="Arial"/>
          <w:sz w:val="17"/>
          <w:szCs w:val="17"/>
          <w:color w:val="auto"/>
        </w:rPr>
        <w:t xml:space="preserve"> In the last year, we substantially increased our accounting, financial planning, information technology, business process management and tax departments, adding more than 25 employees in the United States and Europe, and significantly reduced staff turnover. We also reorganized our financial functions in Europe. We assigned an experienced executive to manage and develop the European finance organization, and we significantly increased the number and experience of the accountants overseeing our Tullamore, Ireland manufacturing operation. As these new employees gained experience with our systems, processes, accounts, and substantive business, we improved system utilization, streamlined business processes, and improved our ability to maintain and review inventory, accrued liabilities, intercompany accounts, accounts receivable and income tax accounts. We also improved the communication between our finance department and other operating departments, as well as within the finance department. These improvements also contributed toward the remediation of our other control deficiencies.</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Financial statement accounts reconciliation.</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u w:val="single" w:color="auto"/>
          <w:color w:val="auto"/>
        </w:rPr>
        <w:t>Previously reported material weakness:</w:t>
      </w:r>
      <w:r>
        <w:rPr>
          <w:rFonts w:ascii="Arial" w:cs="Arial" w:eastAsia="Arial" w:hAnsi="Arial"/>
          <w:sz w:val="16"/>
          <w:szCs w:val="16"/>
          <w:color w:val="auto"/>
        </w:rPr>
        <w:t xml:space="preserve"> The Company did not maintain effective controls over certain financial statement accounts reconciliation. Specifically, accounts reconciliation involving inventory, accrued liabilities, intercompany accounts, accounts receivable and income taxes were not designed for proper preparation and timely review and reconciling items were not timely resolved and adjusted. This control deficiency resulted in audit adjustments to the aforementioned accounts and disclosures in the Company’s consolidated financial statements as of and for the year ended December 31, 2007.</w:t>
      </w:r>
    </w:p>
    <w:p>
      <w:pPr>
        <w:spacing w:after="0" w:line="11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u w:val="single" w:color="auto"/>
          <w:color w:val="auto"/>
        </w:rPr>
        <w:t>Remediation efforts:</w:t>
      </w:r>
      <w:r>
        <w:rPr>
          <w:rFonts w:ascii="Arial" w:cs="Arial" w:eastAsia="Arial" w:hAnsi="Arial"/>
          <w:sz w:val="17"/>
          <w:szCs w:val="17"/>
          <w:color w:val="auto"/>
        </w:rPr>
        <w:t xml:space="preserve"> Our material weakness in the analysis, reconciliation, and review of accounts was exacerbated by the aggregate effect of deficiencies in various key controls throughout the organization that have an impact on the enumerated accounts (inventory, accrued liabilities, intercompany, accounts receivable, and income taxes). We have remediated many, but not all, of these underlying control deficiencies through a combination of better training, more experienced employees, better processes, the implementation of additional software and systems, and a company-wide initiative to improve the quality of systems data. We have also adopted formal policies requiring the reconciliation of key accounts and have substantially increased the quality and review of account reconciliations.</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Intercompany accounting.</w:t>
      </w:r>
    </w:p>
    <w:p>
      <w:pPr>
        <w:spacing w:after="0" w:line="18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u w:val="single" w:color="auto"/>
          <w:color w:val="auto"/>
        </w:rPr>
        <w:t>Previously reported material weakness:</w:t>
      </w:r>
      <w:r>
        <w:rPr>
          <w:rFonts w:ascii="Arial" w:cs="Arial" w:eastAsia="Arial" w:hAnsi="Arial"/>
          <w:sz w:val="17"/>
          <w:szCs w:val="17"/>
          <w:color w:val="auto"/>
        </w:rPr>
        <w:t xml:space="preserve"> The Company did not maintain effective controls over the recording and elimination of intercompany transactions. Specifically, controls were not appropriately designed for completeness and accuracy of intercompany accounts and to reconcile and review intercompany transactions between the Company’s subsidiaries on a timely basis. This control deficiency resulted in improper intercompany profit eliminations and audit adjustments to intercompany sales and cost of goods sold for the year ended December 31, 2007.</w:t>
      </w:r>
    </w:p>
    <w:p>
      <w:pPr>
        <w:sectPr>
          <w:pgSz w:w="11900" w:h="16838" w:orient="portrait"/>
          <w:cols w:equalWidth="0" w:num="1">
            <w:col w:w="10219"/>
          </w:cols>
          <w:pgMar w:left="240" w:top="419" w:right="1440" w:bottom="1135"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5"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u w:val="single" w:color="auto"/>
          <w:color w:val="auto"/>
        </w:rPr>
        <w:t>Remediation efforts:</w:t>
      </w:r>
      <w:r>
        <w:rPr>
          <w:rFonts w:ascii="Arial" w:cs="Arial" w:eastAsia="Arial" w:hAnsi="Arial"/>
          <w:sz w:val="18"/>
          <w:szCs w:val="18"/>
          <w:color w:val="auto"/>
        </w:rPr>
        <w:t xml:space="preserve"> We have made substantial improvements in both the process for reconciling intercompany accounts and in the disposition of items identified through these reconciliations. We implemented better procedures for ensuring consistency of transactions and data between our subsidiaries, system configuration changes made to support proper accounting for intercompany sales transactions, and improved documentation of intercompany loans and settlements initiated by the treasury group.</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tax.</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u w:val="single" w:color="auto"/>
          <w:color w:val="auto"/>
        </w:rPr>
        <w:t>Previously reported material weakness:</w:t>
      </w:r>
      <w:r>
        <w:rPr>
          <w:rFonts w:ascii="Arial" w:cs="Arial" w:eastAsia="Arial" w:hAnsi="Arial"/>
          <w:sz w:val="18"/>
          <w:szCs w:val="18"/>
          <w:color w:val="auto"/>
        </w:rPr>
        <w:t xml:space="preserve"> The Company did not maintain effective controls over the completeness and accuracy of its income tax provision. Specifically, controls were not appropriately designed to ensure its income tax provision and related income taxes payable and deferred income tax assets and liabilities were properly calculated. This control deficiency resulted in audit adjustments to the aforementioned accounts and disclosures in the Company’s consolidated financial statements as of and for the year ended December 31, 2007.</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u w:val="single" w:color="auto"/>
          <w:color w:val="auto"/>
        </w:rPr>
        <w:t>Remediation efforts:</w:t>
      </w:r>
      <w:r>
        <w:rPr>
          <w:rFonts w:ascii="Arial" w:cs="Arial" w:eastAsia="Arial" w:hAnsi="Arial"/>
          <w:sz w:val="17"/>
          <w:szCs w:val="17"/>
          <w:color w:val="auto"/>
        </w:rPr>
        <w:t xml:space="preserve"> We have increased our staff and engaged an outside firm to assist with the preparation of our tax returns and quarterly tax provision. We have improved the process itself through better forecasting, faster completion of pre-tax financial results (which allows for more time to complete and review the tax provision), more accurate transfer pricing analyses, and more and better supervision of the tax provision process, including additional review of accounting for current and deferred income tax accounts. We continue to recruit for experienced tax accounting professionals.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Implementation, configuration, access and usage of financial reporting systems.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u w:val="single" w:color="auto"/>
          <w:color w:val="auto"/>
        </w:rPr>
        <w:t>Previously reported material weakness:</w:t>
      </w:r>
      <w:r>
        <w:rPr>
          <w:rFonts w:ascii="Arial" w:cs="Arial" w:eastAsia="Arial" w:hAnsi="Arial"/>
          <w:sz w:val="18"/>
          <w:szCs w:val="18"/>
          <w:color w:val="auto"/>
        </w:rPr>
        <w:t xml:space="preserve"> The Company did not maintain effective controls over the system configuration, segregation of duties and access to key financial reporting systems, particularly with respect to locations undergoing systems implementations. Specifically, key financial reporting systems were not appropriately configured to ensure that certain transactions were properly processed, to segregate duties amongst personnel and to ensure that unauthorized individuals did not have access to add, change or delete key financial data. Further, the Company lacked adequate internal access security policies and procedures.</w:t>
      </w:r>
    </w:p>
    <w:p>
      <w:pPr>
        <w:spacing w:after="0" w:line="153"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u w:val="single" w:color="auto"/>
          <w:color w:val="auto"/>
        </w:rPr>
        <w:t>Remediation efforts:</w:t>
      </w:r>
      <w:r>
        <w:rPr>
          <w:rFonts w:ascii="Arial" w:cs="Arial" w:eastAsia="Arial" w:hAnsi="Arial"/>
          <w:sz w:val="18"/>
          <w:szCs w:val="18"/>
          <w:color w:val="auto"/>
        </w:rPr>
        <w:t xml:space="preserve"> We have implemented software that enables us to monitor and assess both access to systems and segregation of duties within and between business processes. As a result we have revised business processes and individual responsibilities to resolve those conflicts, and have implemented software that will prevent such conflicts in the future. We have increased the size of our business process management and information technology departments, which have improved the quality of system data, trained and provided additional support to users, and have made significant changes in the configuration of systems that have already been implemented in order to more efficiently use our financial systems and to improve financial reporting and controls. Finally, we have changed our procedures around the implementation of systems in new locations and for new business processes.</w:t>
      </w:r>
    </w:p>
    <w:p>
      <w:pPr>
        <w:spacing w:after="0" w:line="16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Remediation of the weaknesses described above have been completed and, therefore, these material weaknesses did not exist as of December 31, 2008.</w:t>
      </w:r>
    </w:p>
    <w:p>
      <w:pPr>
        <w:spacing w:after="0" w:line="13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12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believe that the foregoing actions have improved and will continue to improve our internal control over financial reporting, as well as our disclosure controls and procedures.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We have completed the implementation of the changes, as described above in our internal control over financial reporting (as defined in Rule 13a-15(f) under the Exchange Act) during the quarter ended December 31, 2008 (and prior periods) that have materially affected, or were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INCORPORATION BY REFERENCE</w:t>
      </w:r>
    </w:p>
    <w:p>
      <w:pPr>
        <w:spacing w:after="0" w:line="189"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20, 2009,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900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40" w:type="dxa"/>
            <w:vAlign w:val="bottom"/>
            <w:gridSpan w:val="5"/>
          </w:tcPr>
          <w:p>
            <w:pPr>
              <w:ind w:left="80"/>
              <w:spacing w:after="0"/>
              <w:rPr>
                <w:sz w:val="20"/>
                <w:szCs w:val="20"/>
                <w:color w:val="auto"/>
              </w:rPr>
            </w:pPr>
            <w:r>
              <w:rPr>
                <w:rFonts w:ascii="Arial" w:cs="Arial" w:eastAsia="Arial" w:hAnsi="Arial"/>
                <w:sz w:val="18"/>
                <w:szCs w:val="18"/>
                <w:b w:val="1"/>
                <w:bCs w:val="1"/>
                <w:color w:val="auto"/>
              </w:rPr>
              <w:t>PART IV</w:t>
            </w:r>
          </w:p>
        </w:tc>
        <w:tc>
          <w:tcPr>
            <w:tcW w:w="580" w:type="dxa"/>
            <w:vAlign w:val="bottom"/>
          </w:tcPr>
          <w:p>
            <w:pPr>
              <w:spacing w:after="0"/>
              <w:rPr>
                <w:sz w:val="24"/>
                <w:szCs w:val="24"/>
                <w:color w:val="auto"/>
              </w:rPr>
            </w:pPr>
          </w:p>
        </w:tc>
      </w:tr>
      <w:tr>
        <w:trPr>
          <w:trHeight w:val="405"/>
        </w:trPr>
        <w:tc>
          <w:tcPr>
            <w:tcW w:w="9000" w:type="dxa"/>
            <w:vAlign w:val="bottom"/>
            <w:gridSpan w:val="10"/>
          </w:tcPr>
          <w:p>
            <w:pPr>
              <w:ind w:left="3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580" w:type="dxa"/>
            <w:vAlign w:val="bottom"/>
          </w:tcPr>
          <w:p>
            <w:pPr>
              <w:spacing w:after="0"/>
              <w:rPr>
                <w:sz w:val="24"/>
                <w:szCs w:val="24"/>
                <w:color w:val="auto"/>
              </w:rPr>
            </w:pPr>
          </w:p>
        </w:tc>
      </w:tr>
      <w:tr>
        <w:trPr>
          <w:trHeight w:val="392"/>
        </w:trPr>
        <w:tc>
          <w:tcPr>
            <w:tcW w:w="9000" w:type="dxa"/>
            <w:vAlign w:val="bottom"/>
            <w:gridSpan w:val="10"/>
          </w:tcPr>
          <w:p>
            <w:pPr>
              <w:ind w:left="340"/>
              <w:spacing w:after="0"/>
              <w:rPr>
                <w:sz w:val="20"/>
                <w:szCs w:val="20"/>
                <w:color w:val="auto"/>
              </w:rPr>
            </w:pPr>
            <w:r>
              <w:rPr>
                <w:rFonts w:ascii="Arial" w:cs="Arial" w:eastAsia="Arial" w:hAnsi="Arial"/>
                <w:sz w:val="18"/>
                <w:szCs w:val="18"/>
                <w:color w:val="auto"/>
              </w:rPr>
              <w:t>(a) Documents filed as a part of this report.</w:t>
            </w:r>
          </w:p>
        </w:tc>
        <w:tc>
          <w:tcPr>
            <w:tcW w:w="580" w:type="dxa"/>
            <w:vAlign w:val="bottom"/>
          </w:tcPr>
          <w:p>
            <w:pPr>
              <w:spacing w:after="0"/>
              <w:rPr>
                <w:sz w:val="24"/>
                <w:szCs w:val="24"/>
                <w:color w:val="auto"/>
              </w:rPr>
            </w:pPr>
          </w:p>
        </w:tc>
      </w:tr>
      <w:tr>
        <w:trPr>
          <w:trHeight w:val="392"/>
        </w:trPr>
        <w:tc>
          <w:tcPr>
            <w:tcW w:w="9000" w:type="dxa"/>
            <w:vAlign w:val="bottom"/>
            <w:gridSpan w:val="10"/>
          </w:tcPr>
          <w:p>
            <w:pPr>
              <w:ind w:left="340"/>
              <w:spacing w:after="0"/>
              <w:rPr>
                <w:sz w:val="20"/>
                <w:szCs w:val="20"/>
                <w:color w:val="auto"/>
              </w:rPr>
            </w:pPr>
            <w:r>
              <w:rPr>
                <w:rFonts w:ascii="Arial" w:cs="Arial" w:eastAsia="Arial" w:hAnsi="Arial"/>
                <w:sz w:val="18"/>
                <w:szCs w:val="18"/>
                <w:b w:val="1"/>
                <w:bCs w:val="1"/>
                <w:i w:val="1"/>
                <w:iCs w:val="1"/>
                <w:color w:val="auto"/>
              </w:rPr>
              <w:t>1. Financial Statements.</w:t>
            </w:r>
          </w:p>
        </w:tc>
        <w:tc>
          <w:tcPr>
            <w:tcW w:w="580" w:type="dxa"/>
            <w:vAlign w:val="bottom"/>
          </w:tcPr>
          <w:p>
            <w:pPr>
              <w:spacing w:after="0"/>
              <w:rPr>
                <w:sz w:val="24"/>
                <w:szCs w:val="24"/>
                <w:color w:val="auto"/>
              </w:rPr>
            </w:pPr>
          </w:p>
        </w:tc>
      </w:tr>
      <w:tr>
        <w:trPr>
          <w:trHeight w:val="405"/>
        </w:trPr>
        <w:tc>
          <w:tcPr>
            <w:tcW w:w="9000" w:type="dxa"/>
            <w:vAlign w:val="bottom"/>
            <w:gridSpan w:val="10"/>
          </w:tcPr>
          <w:p>
            <w:pPr>
              <w:ind w:left="340"/>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58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Report of Independent Registered Public Accounting Firm</w:t>
              </w:r>
            </w:hyperlink>
          </w:p>
        </w:tc>
        <w:tc>
          <w:tcPr>
            <w:tcW w:w="44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12"/>
        </w:trPr>
        <w:tc>
          <w:tcPr>
            <w:tcW w:w="3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years ended December 31, 2008, 2007 and 2006</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12"/>
        </w:trPr>
        <w:tc>
          <w:tcPr>
            <w:tcW w:w="340" w:type="dxa"/>
            <w:vAlign w:val="bottom"/>
          </w:tcPr>
          <w:p>
            <w:pPr>
              <w:spacing w:after="0"/>
              <w:rPr>
                <w:sz w:val="24"/>
                <w:szCs w:val="24"/>
                <w:color w:val="auto"/>
              </w:rPr>
            </w:pPr>
          </w:p>
        </w:tc>
        <w:tc>
          <w:tcPr>
            <w:tcW w:w="6840" w:type="dxa"/>
            <w:vAlign w:val="bottom"/>
            <w:tcBorders>
              <w:top w:val="single" w:sz="8" w:color="0000EE"/>
            </w:tcBorders>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2008 and 2007</w:t>
              </w:r>
            </w:hyperlink>
          </w:p>
        </w:tc>
        <w:tc>
          <w:tcPr>
            <w:tcW w:w="182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2008, 2007 and 2006</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34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84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Changes in Stockholders’ Equity for the years ended December 31, 2008, 2007 and 2006</w:t>
              </w:r>
            </w:hyperlink>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412"/>
        </w:trPr>
        <w:tc>
          <w:tcPr>
            <w:tcW w:w="3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453"/>
        </w:trPr>
        <w:tc>
          <w:tcPr>
            <w:tcW w:w="3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i w:val="1"/>
                <w:iCs w:val="1"/>
                <w:color w:val="auto"/>
              </w:rPr>
              <w:t>2. Financial Statement Schedules.</w:t>
            </w:r>
          </w:p>
        </w:tc>
        <w:tc>
          <w:tcPr>
            <w:tcW w:w="552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Financial Statement Schedule</w:t>
              </w:r>
            </w:hyperlink>
          </w:p>
        </w:tc>
        <w:tc>
          <w:tcPr>
            <w:tcW w:w="652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F-38</w:t>
            </w:r>
          </w:p>
        </w:tc>
      </w:tr>
    </w:tbl>
    <w:p>
      <w:pPr>
        <w:spacing w:after="0" w:line="188"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 Exhibits required to be filed by Item 601 of Regulation S-K.</w:t>
      </w:r>
    </w:p>
    <w:p>
      <w:pPr>
        <w:spacing w:after="0" w:line="23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3.1(a)</w:t>
            </w: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Amended and Restated Certificate of Incorporation of the Company (Incorporated by reference to</w:t>
            </w:r>
          </w:p>
        </w:tc>
      </w:tr>
      <w:tr>
        <w:trPr>
          <w:trHeight w:val="230"/>
        </w:trPr>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Exhibit 3.1(a) to the Company’s Annual Report on Form 10-K for the year ended December 31, 2005)</w:t>
            </w:r>
          </w:p>
        </w:tc>
      </w:tr>
      <w:tr>
        <w:trPr>
          <w:trHeight w:val="202"/>
        </w:trPr>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3.1(b)</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7"/>
              </w:rPr>
              <w:t>Certificate of Amendment to Amended and Restated Certificate of Incorporation dated May 22, 1998</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5"/>
              </w:rPr>
              <w:t>(Incorporated by reference to Exhibit 3.1(b) to the Company’s Annual Report on Form 10-K for the year</w:t>
            </w:r>
          </w:p>
        </w:tc>
      </w:tr>
      <w:tr>
        <w:trPr>
          <w:trHeight w:val="230"/>
        </w:trPr>
        <w:tc>
          <w:tcPr>
            <w:tcW w:w="120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ended December 31, 1998)</w:t>
            </w:r>
          </w:p>
        </w:tc>
      </w:tr>
      <w:tr>
        <w:trPr>
          <w:trHeight w:val="202"/>
        </w:trPr>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3.1(c)</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Certificate of Amendment to Amended and Restated Certificate of Incorporation dated May 17, 1999</w:t>
            </w:r>
          </w:p>
        </w:tc>
      </w:tr>
      <w:tr>
        <w:trPr>
          <w:trHeight w:val="216"/>
        </w:trPr>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(Incorporated by reference to Exhibit 3.1(c) to the Company’s Annual Report on Form 10-K for the year</w:t>
            </w:r>
          </w:p>
        </w:tc>
      </w:tr>
      <w:tr>
        <w:trPr>
          <w:trHeight w:val="230"/>
        </w:trPr>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ended December 31, 2004)</w:t>
            </w:r>
          </w:p>
        </w:tc>
      </w:tr>
      <w:tr>
        <w:trPr>
          <w:trHeight w:val="202"/>
        </w:trPr>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3.2</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0"/>
              </w:rPr>
              <w:t>Amended and Restated By-laws of the Company (Incorporated by reference to Exhibit 3.1 to the Company’s</w:t>
            </w:r>
          </w:p>
        </w:tc>
      </w:tr>
      <w:tr>
        <w:trPr>
          <w:trHeight w:val="230"/>
        </w:trPr>
        <w:tc>
          <w:tcPr>
            <w:tcW w:w="120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Current Report on Form 8-K filed on November 3, 2006)</w:t>
            </w:r>
          </w:p>
        </w:tc>
      </w:tr>
      <w:tr>
        <w:trPr>
          <w:trHeight w:val="202"/>
        </w:trPr>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4.1</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Indenture, dated as of March 31, 2003, between the Company and Wells Fargo Bank Minnesota, National</w:t>
            </w:r>
          </w:p>
        </w:tc>
      </w:tr>
      <w:tr>
        <w:trPr>
          <w:trHeight w:val="216"/>
        </w:trPr>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Association (Incorporated by reference to Exhibit 4.1 to the Company’s Quarterly Report on Form 10-Q for</w:t>
            </w:r>
          </w:p>
        </w:tc>
      </w:tr>
      <w:tr>
        <w:trPr>
          <w:trHeight w:val="230"/>
        </w:trPr>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quarter ended March 31, 2003)</w:t>
            </w:r>
          </w:p>
        </w:tc>
      </w:tr>
      <w:tr>
        <w:trPr>
          <w:trHeight w:val="202"/>
        </w:trPr>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4.2</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1"/>
              </w:rPr>
              <w:t>Registration Rights Agreement, dated as of March 31, 2003, between the Company and Credit Suisse First</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9"/>
              </w:rPr>
              <w:t>Boston, LLC, Banc of America Securities LLC and U.S. Bancorp Piper Jaffray Inc. (Incorporated by</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2"/>
              </w:rPr>
              <w:t>reference to Exhibit 4.3 to the Company’s Registration Statement on Form S-3 filed on June 30, 2003 (File</w:t>
            </w:r>
          </w:p>
        </w:tc>
      </w:tr>
      <w:tr>
        <w:trPr>
          <w:trHeight w:val="230"/>
        </w:trPr>
        <w:tc>
          <w:tcPr>
            <w:tcW w:w="120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No. 333-106625))</w:t>
            </w:r>
          </w:p>
        </w:tc>
      </w:tr>
      <w:tr>
        <w:trPr>
          <w:trHeight w:val="202"/>
        </w:trPr>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4.3(a)</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Credit Agreement, dated as of December 22, 2005, among Integra LifeSciences Holdings Corporation, the</w:t>
            </w:r>
          </w:p>
        </w:tc>
      </w:tr>
      <w:tr>
        <w:trPr>
          <w:trHeight w:val="216"/>
        </w:trPr>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w:t>
            </w:r>
          </w:p>
        </w:tc>
      </w:tr>
      <w:tr>
        <w:trPr>
          <w:trHeight w:val="216"/>
        </w:trPr>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Citibank FSB and SunTrust Bank, as Co-Syndication Agents, and Royal Bank of Canada and Wachovia</w:t>
            </w:r>
          </w:p>
        </w:tc>
      </w:tr>
      <w:tr>
        <w:trPr>
          <w:trHeight w:val="216"/>
        </w:trPr>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Bank, National Association, as Co-Documentation Agents (Incorporated by reference to Exhibit 10.1 to the</w:t>
            </w:r>
          </w:p>
        </w:tc>
      </w:tr>
      <w:tr>
        <w:trPr>
          <w:trHeight w:val="230"/>
        </w:trPr>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Company’s Current Report on Form 8-K filed on December 29, 2005)</w:t>
            </w:r>
          </w:p>
        </w:tc>
      </w:tr>
      <w:tr>
        <w:trPr>
          <w:trHeight w:val="202"/>
        </w:trPr>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4.3(b)</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3"/>
              </w:rPr>
              <w:t>First Amendment, dated as of February 15, 2006, among Integra LifeSciences Holdings Corporation, the</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4"/>
              </w:rPr>
              <w:t>Citibank FSB and SunTrust Bank, as Co-Syndication Agents, and Royal Bank of Canada and Wachovia</w:t>
            </w:r>
          </w:p>
        </w:tc>
      </w:tr>
      <w:tr>
        <w:trPr>
          <w:trHeight w:val="216"/>
        </w:trPr>
        <w:tc>
          <w:tcPr>
            <w:tcW w:w="1200" w:type="dxa"/>
            <w:vAlign w:val="bottom"/>
          </w:tcPr>
          <w:p>
            <w:pPr>
              <w:spacing w:after="0"/>
              <w:rPr>
                <w:sz w:val="18"/>
                <w:szCs w:val="18"/>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w w:val="94"/>
              </w:rPr>
              <w:t>Bank, National Association, as Co-Documentation Agents (Incorporated by reference to Exhibit 4.3(b) to</w:t>
            </w:r>
          </w:p>
        </w:tc>
      </w:tr>
      <w:tr>
        <w:trPr>
          <w:trHeight w:val="230"/>
        </w:trPr>
        <w:tc>
          <w:tcPr>
            <w:tcW w:w="120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the Company’s Annual Report on Form 10-K for the year ended December 31, 2005)</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4.3(c)</w:t>
            </w: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Second Amendment, dated as of February 23, 2007, among Integra LifeSciences Holdings Corporation, the</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lenders party thereto, Bank of America, N.A., as Administrative Agent, Swing Line Lender and L/C Issuer,</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Citibank FSB and SunTrust Bank, as Co-Syndication Agents, and Royal Bank of Canada and Wachovia</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Bank, National Association, as Co-Documentation Agents (Incorporated by reference to Exhibit 4.1 to the</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February 27, 2007)</w:t>
            </w:r>
          </w:p>
        </w:tc>
      </w:tr>
      <w:tr>
        <w:trPr>
          <w:trHeight w:val="202"/>
        </w:trPr>
        <w:tc>
          <w:tcPr>
            <w:tcW w:w="13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4.3(d)</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7"/>
              </w:rPr>
              <w:t>Third Amendment, dated as of June 4, 2007, among Integra LifeSciences Holdings Corporation, the</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2"/>
              </w:rPr>
              <w:t>lenders party thereto, Bank of America, N.A., as Administrative Agent, Swing Line Lender and L/C Issuer,</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2"/>
              </w:rPr>
              <w:t>Citibank, N.A., successor by merger to Citibank, FSB, as Syndication Agent and JPMorgan Chase Bank,</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1"/>
              </w:rPr>
              <w:t>N.A., Deutsche Bank Trust Company Americas and Royal Bank of Canada, as Co-Documentation Agents</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4.1 to the Company’s Current Report on Form 8-K filed on June 6,</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2007)</w:t>
            </w:r>
          </w:p>
        </w:tc>
      </w:tr>
      <w:tr>
        <w:trPr>
          <w:trHeight w:val="202"/>
        </w:trPr>
        <w:tc>
          <w:tcPr>
            <w:tcW w:w="13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4.3(e)</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Fourth Amendment, dated as of September 5, 2007, among Integra LifeSciences Holdings Corporation, the</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lenders party thereto, Bank of America, N.A., as Administrative Agent, Swing Line Lender and L/C Issuer,</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Citibank, N.A., successor by merger to Citibank FSB, as Syndication Agent and JPMorgan Chase Bank,</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N.A., Deutsche Bank Trust Company Americas and Royal Bank of Canada, as Co-Documentation Agents</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6, 2007)</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4.4</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3"/>
              </w:rPr>
              <w:t>Security Agreement, dated as of December 22, 2005, among Integra LifeSciences Holdings Corporation</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1"/>
              </w:rPr>
              <w:t>and the additional grantors party thereto in favor of Bank of America, N.A., as administrative and collateral</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5"/>
              </w:rPr>
              <w:t>agent (Incorporated by reference to Exhibit 4.4 to the Company’s Annual Report on Form 10-K for the</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year ended December 31, 2005)</w:t>
            </w:r>
          </w:p>
        </w:tc>
      </w:tr>
      <w:tr>
        <w:trPr>
          <w:trHeight w:val="202"/>
        </w:trPr>
        <w:tc>
          <w:tcPr>
            <w:tcW w:w="130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4.5</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Pledge Agreement, dated as of December 22, 2005, among Integra LifeSciences Holdings Corporation and</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the additional grantors party thereto in favor of Bank of America, N.A., as administrative and collateral</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agent (Incorporated by reference to Exhibit 4.5 to the Company’s Annual Report on Form 10-K for the</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 December 31, 2005)</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4.6</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1"/>
              </w:rPr>
              <w:t>Subsidiary Guaranty Agreement, dated as of December 22, 2005, among the guarantors party thereto and</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5"/>
              </w:rPr>
              <w:t>individually as a “Guarantor”), in favor of Bank of America, N.A., as administrative and collateral agent</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6"/>
              </w:rPr>
              <w:t>(Incorporated by reference to Exhibit 4.6 to the Company’s Annual Report on Form 10-K for the year</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ended December 31, 2005)</w:t>
            </w:r>
          </w:p>
        </w:tc>
      </w:tr>
      <w:tr>
        <w:trPr>
          <w:trHeight w:val="202"/>
        </w:trPr>
        <w:tc>
          <w:tcPr>
            <w:tcW w:w="130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4.7</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Indenture, dated as of September 29, 2006, between the Company and Wells Fargo Bank, N.A.</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October 5, 2006)</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4.8</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2"/>
              </w:rPr>
              <w:t>Indenture, dated June 11, 2007, among Integra LifeSciences Holdings Corporation, Integra LifeSciences</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8"/>
              </w:rPr>
              <w:t>Corporation and Wells Fargo Bank, N.A., as trustee (Incorporated by reference to Exhibit 4.1 to the</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130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4.9</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Form of 2.75% Senior Convertible Note due 2010 (included in Exhibit 4.8) (Incorporated by reference to</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Exhibit 4.2 to the Company’s Current Report on Form 8-K filed on June 12, 2007)</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4.10</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2"/>
              </w:rPr>
              <w:t>Indenture, dated June 11, 2007, among Integra LifeSciences Holdings Corporation, Integra LifeSciences</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8"/>
              </w:rPr>
              <w:t>Corporation and Wells Fargo Bank, N.A., as trustee (Incorporated by reference to Exhibit 4.3 to the</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130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4.11</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Form of 2.375% Senior Convertible Note due 2012 (included in Exhibit 4.10) (Incorporated by reference</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Exhibit 4.4 to the Company’s Current Report on Form 8-K filed on June 12, 2007)</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4.12</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2"/>
              </w:rPr>
              <w:t>Registration Rights Agreement, dated June 11, 2007, among Integra LifeSciences Holdings Corporation,</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2"/>
              </w:rPr>
              <w:t>Banc of America Securities LLC, J.P. Morgan Securities Inc. and Morgan Stanley &amp; Co., Incorporated, as</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1"/>
              </w:rPr>
              <w:t>representatives of the several initial purchasers (Incorporated by reference to Exhibit 4.5 to the Company’s</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Current Report on Form 8-K filed on June 12, 2007)</w:t>
            </w:r>
          </w:p>
        </w:tc>
      </w:tr>
      <w:tr>
        <w:trPr>
          <w:trHeight w:val="202"/>
        </w:trPr>
        <w:tc>
          <w:tcPr>
            <w:tcW w:w="130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4.13</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Registration Rights Agreement, dated June 11, 2007, among Integra LifeSciences Holdings Corporation,</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Banc of America Securities LLC, J.P. Morgan Securities Inc. and Morgan Stanley &amp; Co., Incorporated, as</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representatives of the several initial purchasers (Incorporated by reference to Exhibit 4.6 to the Company’s</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Report on Form 8-K filed on June 12, 2007)</w:t>
            </w:r>
          </w:p>
        </w:tc>
      </w:tr>
      <w:tr>
        <w:trPr>
          <w:trHeight w:val="202"/>
        </w:trPr>
        <w:tc>
          <w:tcPr>
            <w:tcW w:w="13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10.1(a)</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2"/>
              </w:rPr>
              <w:t>Lease between Plainsboro Associates and American Biomaterials Corporation dated as of April 16, 1985,</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as assigned to Colla-Tec, Inc. on October 24, 1989 and as amended through November 1, 1992</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10.30 to the Company’s Registration Statement on Form 10/A (File</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No. 0-26224) which became effective on August 8, 1995)</w:t>
            </w:r>
          </w:p>
        </w:tc>
      </w:tr>
      <w:tr>
        <w:trPr>
          <w:trHeight w:val="202"/>
        </w:trPr>
        <w:tc>
          <w:tcPr>
            <w:tcW w:w="130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10.1(b)</w:t>
            </w:r>
          </w:p>
        </w:tc>
        <w:tc>
          <w:tcPr>
            <w:tcW w:w="80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7"/>
              </w:rPr>
              <w:t>Lease Modification #2 entered into as of the 28th day of October, 2005, by and between Plainsboro</w:t>
            </w:r>
          </w:p>
        </w:tc>
      </w:tr>
      <w:tr>
        <w:trPr>
          <w:trHeight w:val="216"/>
        </w:trPr>
        <w:tc>
          <w:tcPr>
            <w:tcW w:w="1300" w:type="dxa"/>
            <w:vAlign w:val="bottom"/>
            <w:shd w:val="clear" w:color="auto" w:fill="CCEEFF"/>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Associates and Integra LifeSciences Corporation (Incorporated by reference to Exhibit 10.1 to the</w:t>
            </w:r>
          </w:p>
        </w:tc>
      </w:tr>
      <w:tr>
        <w:trPr>
          <w:trHeight w:val="230"/>
        </w:trPr>
        <w:tc>
          <w:tcPr>
            <w:tcW w:w="1300" w:type="dxa"/>
            <w:vAlign w:val="bottom"/>
            <w:shd w:val="clear" w:color="auto" w:fill="CCEEFF"/>
          </w:tcPr>
          <w:p>
            <w:pPr>
              <w:spacing w:after="0"/>
              <w:rPr>
                <w:sz w:val="20"/>
                <w:szCs w:val="20"/>
                <w:color w:val="auto"/>
              </w:rPr>
            </w:pPr>
          </w:p>
        </w:tc>
        <w:tc>
          <w:tcPr>
            <w:tcW w:w="8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November 2, 2005)</w:t>
            </w:r>
          </w:p>
        </w:tc>
      </w:tr>
      <w:tr>
        <w:trPr>
          <w:trHeight w:val="202"/>
        </w:trPr>
        <w:tc>
          <w:tcPr>
            <w:tcW w:w="13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10.2</w:t>
            </w:r>
          </w:p>
        </w:tc>
        <w:tc>
          <w:tcPr>
            <w:tcW w:w="8020" w:type="dxa"/>
            <w:vAlign w:val="bottom"/>
          </w:tcPr>
          <w:p>
            <w:pPr>
              <w:ind w:left="280"/>
              <w:spacing w:after="0" w:line="201" w:lineRule="exact"/>
              <w:rPr>
                <w:sz w:val="20"/>
                <w:szCs w:val="20"/>
                <w:color w:val="auto"/>
              </w:rPr>
            </w:pPr>
            <w:r>
              <w:rPr>
                <w:rFonts w:ascii="Arial" w:cs="Arial" w:eastAsia="Arial" w:hAnsi="Arial"/>
                <w:sz w:val="18"/>
                <w:szCs w:val="18"/>
                <w:color w:val="auto"/>
                <w:w w:val="92"/>
              </w:rPr>
              <w:t>Equipment Lease Agreement between Medicus Corporation and the Company, dated as of June 1, 2000</w:t>
            </w:r>
          </w:p>
        </w:tc>
      </w:tr>
      <w:tr>
        <w:trPr>
          <w:trHeight w:val="216"/>
        </w:trPr>
        <w:tc>
          <w:tcPr>
            <w:tcW w:w="130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w w:val="98"/>
              </w:rPr>
              <w:t>(Incorporated by reference to Exhibit 10.1 to the Company’s Quarterly Report on Form 10-Q for the</w:t>
            </w:r>
          </w:p>
        </w:tc>
      </w:tr>
      <w:tr>
        <w:trPr>
          <w:trHeight w:val="230"/>
        </w:trPr>
        <w:tc>
          <w:tcPr>
            <w:tcW w:w="130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Arial" w:cs="Arial" w:eastAsia="Arial" w:hAnsi="Arial"/>
                <w:sz w:val="18"/>
                <w:szCs w:val="18"/>
                <w:color w:val="auto"/>
              </w:rPr>
              <w:t>quarter ended June 30, 2000)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10.3</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Form of Indemnification Agreement between the Company and [ ] dated August 16, 1995, including a</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schedule identifying the individuals that are a party to such Indemnification Agreements (Incorporated by</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reference to Exhibit 10.37 to the Company’s Registration Statement on Form S-1 (File No. 33-98698)</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which became effective on January 24, 1996)*</w:t>
            </w:r>
          </w:p>
        </w:tc>
      </w:tr>
      <w:tr>
        <w:trPr>
          <w:trHeight w:val="202"/>
        </w:trPr>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10.4</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rPr>
              <w:t>1993 Incentive Stock Option and Non-Qualified Stock Option Plan (Incorporated by reference to</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Exhibit 10.32 to the Company’s Registration Statement on Form 10/A (File No. 0-26224) which became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effective on August 8, 1995)*</w:t>
            </w:r>
          </w:p>
        </w:tc>
      </w:tr>
      <w:tr>
        <w:trPr>
          <w:trHeight w:val="202"/>
        </w:trPr>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10.5</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1996 Incentive Stock Option and Non-Qualified Stock Option Plan (as amended through December 27,</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1997) (Incorporated by reference to Exhibit 10.4 to the Company’s Current Report on Form 8-K filed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February 3, 1998)*</w:t>
            </w:r>
          </w:p>
        </w:tc>
      </w:tr>
      <w:tr>
        <w:trPr>
          <w:trHeight w:val="202"/>
        </w:trPr>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10.6</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8"/>
              </w:rPr>
              <w:t>1998 Stock Option Plan (amended and restated as of July 26, 2005) (Incorporated by reference to</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6"/>
              </w:rPr>
              <w:t>Exhibit 10.3 to the Company’s Quarterly Report on Form 10-Q for the quarter ended September 30,</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10.7</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8"/>
              </w:rPr>
              <w:t>1999 Stock Option Plan (amended and restated as of July 26, 2005) (Incorporated by reference to</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Exhibit 10.4 to the Company’s Quarterly Report on Form 10-Q for the quarter ended September 30,</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10.8(a)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Employee Stock Purchase Plan (as amended on May 17, 2004) (Incorporated by reference to Exhibit 4.1</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to the Company’s Registration Statement on Form S-8 (Registration No. 333-127488) filed on August 12,</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10.8(b)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First  Amendment  to  the  Company’s  Employee  Stock  Purchase  Plan,  dated  October  26,  2005</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(Incorporated by reference to Exhibit 10.1 to the Company’s Current Report on Form 8-K filed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November 1, 2005)*</w:t>
            </w:r>
          </w:p>
        </w:tc>
      </w:tr>
      <w:tr>
        <w:trPr>
          <w:trHeight w:val="202"/>
        </w:trPr>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10.9</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2000 Equity Incentive Plan (amended and restated as of July 26, 2005) (Incorporated by reference to</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6"/>
              </w:rPr>
              <w:t>Exhibit 10.5 to the Company’s Quarterly Report on Form 10-Q for the quarter ended September 30,</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10.10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2001 Equity Incentive Plan (amended and restated as of July 26, 2005) (Incorporated by reference to</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Exhibit 10.6 to the Company’s Quarterly Report on Form 10-Q for the quarter ended September 30,</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10.11(a)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2003 Equity Incentive Plan (amended and restated as of July 26, 2005) (Incorporated by reference to</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6"/>
              </w:rPr>
              <w:t>Exhibit 10.7 to the Company’s Quarterly Report on Form 10-Q for the quarter ended September 30,</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r>
      <w:tr>
        <w:trPr>
          <w:trHeight w:val="202"/>
        </w:trPr>
        <w:tc>
          <w:tcPr>
            <w:tcW w:w="13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10.11(b)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Integra LifeSciences Holdings Corporation Amended and Restated 2003 Equity Incentive Plan effective</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July 9, 2008 (Incorporated by reference to Exhibit 10.2 to the Company’s Current Report on Form 8-K</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filed on July 11, 2008)*</w:t>
            </w:r>
          </w:p>
        </w:tc>
      </w:tr>
      <w:tr>
        <w:trPr>
          <w:trHeight w:val="202"/>
        </w:trPr>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10.11(c)</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Amendment to the Integra LifeSciences Holdings Corporation 2003 Equity Incentive Plan dated July 9,</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2008 (Incorporated by reference to Exhibit 10.3 to the Company’s Current Report on Form 8-K filed on</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July 11, 2008)*</w:t>
            </w:r>
          </w:p>
        </w:tc>
      </w:tr>
      <w:tr>
        <w:trPr>
          <w:trHeight w:val="202"/>
        </w:trPr>
        <w:tc>
          <w:tcPr>
            <w:tcW w:w="13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10.12(a)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Second Amended and Restated Employment Agreement dated July 27, 2004 between the Company and</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Stuart M. Essig (Incorporated by reference to Exhibit 10.1 to the Company’s Quarterly Report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10-Q for the quarter ended September 30, 2004)*</w:t>
            </w:r>
          </w:p>
        </w:tc>
      </w:tr>
      <w:tr>
        <w:trPr>
          <w:trHeight w:val="202"/>
        </w:trPr>
        <w:tc>
          <w:tcPr>
            <w:tcW w:w="13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10.12(b)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0"/>
              </w:rPr>
              <w:t>Amendment 2006-1, dated as of December 19, 2006, to the Second Amended and Restated Employment</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Agreement, between the Company and Stuart M. Essig (Incorporated by reference to Exhibit 10.1 to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December 22, 2006)*</w:t>
            </w:r>
          </w:p>
        </w:tc>
      </w:tr>
      <w:tr>
        <w:trPr>
          <w:trHeight w:val="202"/>
        </w:trPr>
        <w:tc>
          <w:tcPr>
            <w:tcW w:w="13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10.12(c)</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Amendment 2008-1, dated as of March 6, 2008, to the Second Amended and Restated Employment</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Agreement, between the Company and Stuart M. Essig (Incorporated by reference to Exhibit 10.12(c) to</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Company’s Annual Report on Form 10-K for the year ended December 31, 2007)*</w:t>
            </w:r>
          </w:p>
        </w:tc>
      </w:tr>
      <w:tr>
        <w:trPr>
          <w:trHeight w:val="202"/>
        </w:trPr>
        <w:tc>
          <w:tcPr>
            <w:tcW w:w="13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10.12(d)</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Amendment 2008-2, dated as of August 6, 2008, to the Second Amended and Restated Employment</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Agreement between Stuart M. Essig and the Company (Incorporated by reference to Exhibit 10.7 to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Company’s Quarterly Report on Form 10-Q for the quarter ended June 30, 2008)*</w:t>
            </w:r>
          </w:p>
        </w:tc>
      </w:tr>
      <w:tr>
        <w:trPr>
          <w:trHeight w:val="202"/>
        </w:trPr>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10.13</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Indemnity letter agreement dated December 27, 1997 from the Company to Stuart M. Essig (Incorporated</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by reference to Exhibit 10.5 to the Company’s Current Report on Form 8-K filed on February 3, 1998)*</w:t>
            </w:r>
          </w:p>
        </w:tc>
      </w:tr>
      <w:tr>
        <w:trPr>
          <w:trHeight w:val="202"/>
        </w:trPr>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10.14(a)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Registration Rights Provisions for Stuart M. Essig (Incorporated by reference to Exhibit B of Exhibit 10.1</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202"/>
        </w:trPr>
        <w:tc>
          <w:tcPr>
            <w:tcW w:w="13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10.14(b)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8"/>
              </w:rPr>
              <w:t>Registration Rights Provisions for Stuart M. Essig (Incorporated by reference to Exhibit 10.2 to the</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January 8, 2001)*</w:t>
            </w:r>
          </w:p>
        </w:tc>
      </w:tr>
      <w:tr>
        <w:trPr>
          <w:trHeight w:val="202"/>
        </w:trPr>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10.14(c)</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Registration Rights Provisions for Stuart M. Essig (Incorporated by reference to Exhibit B of Exhibit 10.1</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to the Company’s Quarterly Report on Form 10-Q for the quarter ended September 30, 2004)*</w:t>
            </w:r>
          </w:p>
        </w:tc>
      </w:tr>
      <w:tr>
        <w:trPr>
          <w:trHeight w:val="202"/>
        </w:trPr>
        <w:tc>
          <w:tcPr>
            <w:tcW w:w="13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10.15(a)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Amended and Restated 2005 Employment Agreement between John B. Henneman, III and the Company</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dated December 19, 2005 (Incorporated by reference to Exhibit 10.16 to the Company’s Annual Report</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 Form 10-K for the year ended December 31, 2005)*</w:t>
            </w:r>
          </w:p>
        </w:tc>
      </w:tr>
      <w:tr>
        <w:trPr>
          <w:trHeight w:val="202"/>
        </w:trPr>
        <w:tc>
          <w:tcPr>
            <w:tcW w:w="13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10.15(b)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6"/>
              </w:rPr>
              <w:t>Amendment 2008-1, dated as of January 2, 2008, to the Amended and Restated 2005 Employment</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6"/>
              </w:rPr>
              <w:t>Agreement  between  John  B.  Henneman,  III  and  the  Company  (Incorporated  by  reference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Exhibit 10.15(b) to the Company’s Annual Report on Form 10-K for the year ended December 31, 2007)*</w:t>
            </w:r>
          </w:p>
        </w:tc>
      </w:tr>
    </w:tbl>
    <w:p>
      <w:pPr>
        <w:spacing w:after="0" w:line="200" w:lineRule="exact"/>
        <w:rPr>
          <w:sz w:val="20"/>
          <w:szCs w:val="20"/>
          <w:color w:val="auto"/>
        </w:rPr>
      </w:pPr>
    </w:p>
    <w:p>
      <w:pPr>
        <w:sectPr>
          <w:pgSz w:w="11900" w:h="16838" w:orient="portrait"/>
          <w:cols w:equalWidth="0" w:num="1">
            <w:col w:w="10219"/>
          </w:cols>
          <w:pgMar w:left="240" w:top="419" w:right="1440" w:bottom="744"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44"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10.15(c)</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Amendment 2008-2, dated as of December 18, 2008, to the Amended and Restated 2005 Employment</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Agreement between John B. Henneman, III and the Company (Incorporated by reference to Exhibit 10.2</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Company’s Current Report on Form 8-K filed on December 24, 2008)*</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10.16(a)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4"/>
              </w:rPr>
              <w:t>Amended and Restated 2005 Employment Agreement between Gerard S. Carlozzi and the Company</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dated December 19, 2005 (Incorporated by reference to Exhibit 10.17 to the Company’s Annual Report</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on Form 10-K for the year ended December 31, 2005)*</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10.16(b)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Amendment 2008-1, dated as of January 2, 2008, to the Amended and Restated 2005 Employment</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Agreement between Gerard S. Carlozzi and the Company (Incorporated by reference to Exhibit 10.16(b)</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Company’s Annual Report on Form 10-K for the year ended December 31, 2007)*</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10.16(c)</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Amendment 2008-2, dated as of December 18, 2008, to the Amended and Restated 2005 Employment</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Agreement between Gerard S. Carlozzi and the Company (Incorporated by reference to Exhibit 10.1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December 24, 2008)*</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10.17</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Severance  Agreement  between  Judith  O’Grady  and  the  Company  dated  as  of  January  1,  2008</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(Incorporated by reference to Exhibit 10.17(b) to the Company’s Annual Report on Form 10-K for the</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 December 31, 2007)*</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10.18</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Lease Contract, dated April 1, 2005, between the Puerto Rico Industrial Development Company and</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7"/>
              </w:rPr>
              <w:t>Integra CI, Inc. (executed on September 15, 2006) (Incorporated by reference to Exhibit 10.3 to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Company’s Quarterly Report on Form 10-Q for the quarter ended September 30, 2006)</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10.19(a)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Industrial Real Estate Triple Net Sublease dated July 1, 2001 between Sorrento Montana, L.P. and Camino</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NeuroCare, Inc. (Incorporated by reference to Exhibit 10.24(a) to the Company’s Annual Report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10-K for the year ended 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10.19(b)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6"/>
              </w:rPr>
              <w:t>First Amendment to Sublease dated as of July 1, 2003 by and between Sorrento Montana, L.P. and</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Camino NeuroCare, Inc. (Incorporated by reference to Exhibit 10.24(b) to the Company’s Annual Report</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on Form 10-K for the year ended December 31, 2004)</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10.19(c)</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Second Amendment to Sublease dated as of June 1, 2004 by and between Sorrento Montana, L.P. and</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Camino NeuroCare, Inc. (Incorporated by reference to Exhibit 10.24(c) to the Company’s Annual Report</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 Form 10-K for the year ended 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10.19(d)</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Third Amendment to Sublease dated as of June 15, 2004 by and between Sorrento Montana, L.P. and</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8"/>
              </w:rPr>
              <w:t>Integra LifeSciences Corporation (Incorporated by reference to Exhibit 10.24(d) to the Company’s</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2004)</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10.19(e)</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Fourth Amendment to Sublease, dated as of August 15, 2006, by and between Sorrento Montana, L.P. and</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Integra LifeSciences Corporation (Incorporated by reference to Exhibit 10.1 to the Company’s Current</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on August 17, 2006)</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10.20</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7"/>
              </w:rPr>
              <w:t>Restricted Units Agreement dated December 27, 1997 between the Company and Stuart M. Essig</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9"/>
              </w:rPr>
              <w:t>(Incorporated by reference to Exhibit 10.3 to the Company’s Current Report on Form 8-K filed on</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February 3, 1998)*</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10.21</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Stock Option Grant and Agreement dated December 22, 2000 between the Company and Stuart M. Essig</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January 8, 2001)*</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10.22</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0"/>
              </w:rPr>
              <w:t>Stock Option Grant and Agreement dated December 22, 2000 between the Company and Stuart M. Essig</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(Incorporated by reference to Exhibit 4.2 to the Company’s Current Report on Form 8-K filed on</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January 8, 2001)*</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10.23(a)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7"/>
              </w:rPr>
              <w:t>Restricted Units Agreement dated December 22, 2000 Between the Company and Stuart M. Essig</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4.3 to the Company’s Current Report on Form 8-K filed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January 8, 2001)*</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10.23(b)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4"/>
              </w:rPr>
              <w:t>Amendment 2006-1, dated as of October 30, 2006, to the Stuart M. Essig Restricted Units Agreement</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5"/>
              </w:rPr>
              <w:t>dated as of December 22, 2000 (Incorporated by reference to Exhibit 10.1 to the Company’s Current</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Report on Form 8-K filed on November 3, 2006)*</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10.24</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Stock Option Grant and Agreement dated July 27, 2004 between the Company and Stuart M. Essig</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(Incorporated by reference to Exhibit 10.30 to the Company’s Annual Report on Form 10-K for the year</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ended 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10.25(a)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Contract Stock/Restricted Units Agreement dated July 27, 2004 between the Company and Stuart M.</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Essig (Incorporated by reference to Exhibit 10.31 to the Company’s Annual Report on Form 10-K for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year ended December 31, 2004)*</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10.25(b)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Amendment 2006-1, dated as of October 30, 2006, to the Stuart M. Essig Contract Stock/Restricted Units</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Agreement dated as of July 27, 2004 (Incorporated by reference to Exhibit 10.2 to the Company’s Current</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on November 3, 2006)*</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10.25(c)</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Amendment 2008-1, dated as of March 6, 2008, to the Stuart M. Essig Contract Stock/Restricted Units</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4"/>
              </w:rPr>
              <w:t>Agreement dated as of July 27, 2004 (Incorporated by reference to Exhibit 10.25(c) to the Company’s</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2007)*</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10.26</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Form of Stock Option Grant and Agreement between the Company and Stuart M. Essig (Incorporated by</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reference to Exhibit 10.32 to the Company’s Annual Report on Form 10-K for the year ended</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10.27</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Form of Contract Stock/Restricted Units Agreement for Stuart M. Essig (Incorporated by reference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5"/>
              </w:rPr>
              <w:t>Exhibit 10.8 to the Company’s Quarterly Report on Form 10-Q for the quarter ended June 30, 2008)*</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10.28</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Stuart M. Essig (Incorporated by reference to Exhibit 10.9 to</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Company’s Quarterly Report on Form 10-Q for the quarter ended June 30, 2008)*</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10.29</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6"/>
              </w:rPr>
              <w:t>Form of Notice of Grant of Stock Option and Stock Option Agreement (Incorporated by reference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29, 2005)*</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Form  of  Non-Qualified  Stock  Option  Agreement  (Non-Directors)  (Incorporated  by  reference  to</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Exhibit 10.35 to the Company’s Annual Report on Form 10-K for the year ended 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10.31</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Form of Incentive Stock Option Agreement (Incorporated by reference to Exhibit 10.36 to the Company’s</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2004)*</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10.32</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Form of Non-Qualified Stock Option Agreement (Directors) (Incorporated by reference to Exhibit 10.37</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Company’s Annual Report on Form 10-K for the year ended December 31, 2004)*</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10.33(a)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Compensation of Directors of the Company (Incorporated by reference to Exhibit 10.33 to the Company’s</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December 31, 2006)*</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10.33(b)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Compensation of Directors of the Company effective July 9, 2008 (Incorporated by reference to</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11, 2008)*</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10.34(a)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9"/>
              </w:rPr>
              <w:t>Form of Restricted Stock Agreement for Non-Employee Directors under the Integra LifeSciences</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8"/>
              </w:rPr>
              <w:t>Holdings Corporation 2003 Equity Incentive Plan (Incorporated by reference to Exhibit 10.2 to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May 17, 2005)*</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10.34(b)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4"/>
              </w:rPr>
              <w:t>New Form of Restricted Stock Agreement for Non-Employee Directors under the Integra LifeSciences</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Holdings Corporation 2003 Equity Incentive Plan (Incorporated by reference to Exhibit 10.4 to the</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Quarterly Report on Form 10-Q for the quarter ended June 30, 2008*</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10.35(a)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Form of Restricted Stock Agreement for Executive Officers — Cliff Vesting (Incorporated by reference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January 9, 2006)*</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10.35(b)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Form of Restricted Stock Agreement for Executive Officers — Annual Vesting (Incorporated by reference</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Exhibit 10.1 to the Company’s Current Report on Form 8-K filed on February 25, 2009)*</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10.36</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Asset Purchase Agreement, dated as of September 7, 2005, by and between Tyco Healthcare Group LP</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5"/>
              </w:rPr>
              <w:t>and Sherwood Services, AG and Integra LifeSciences Corporation and Integra LifeSciences (Ireland)</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4"/>
              </w:rPr>
              <w:t>Limited (Incorporated by reference to Exhibit 10.1 to the Company’s Current Report on Form 8-K filed</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on September 13, 2005)</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10.37</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Performance Stock Agreement by and between John B. Henneman, III and the Company dated January 3,</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2006 (Incorporated by reference to Exhibit 10.42 to the Company’s Annual Report on Form 10-K for the</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 December 31, 2005)*</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10.38</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Performance Stock Agreement by and between Gerard S. Carlozzi and the Company dated January 3,</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2006 (Incorporated by reference to Exhibit 10.43 to the Company’s Annual Report on Form 10-K for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year ended December 31, 2005)*</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10.39(a)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Gerard S. Carlozzi and John B. Henneman, III (Incorporated</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by reference to Exhibit 10.1 to the Company’s Current Report on Form 8-K filed on March 21, 2007)*</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10.39(b)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Gerard S. Carlozzi and John B. Henneman, III (Incorporated</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7"/>
              </w:rPr>
              <w:t>by reference to Exhibit 10.37(b) to the Company’s Annual Report on Form 10-K for the year ended</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December 31, 2007)*</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Stock Purchase Agreement, dated as of April 19, 2006, by and between ASP/Miltex LLC and Integra</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LifeSciences Corporation (Incorporated by reference to Exhibit 10.1 to the Company’s Current Report on</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on April 25, 2006)</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10.41</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Stock Agreement and Plan of Merger, dated as of June 30, 2006, by and between Integra LifeSciences</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Corporation, Integra California, Inc., Kinetikos Medical, Inc., Telegraph Hill Partners Management LLC,</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7"/>
              </w:rPr>
              <w:t>as Shareholders Representative, and the Shareholders party thereto (Incorporated by reference to</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7, 2006)</w:t>
            </w:r>
          </w:p>
        </w:tc>
      </w:tr>
      <w:tr>
        <w:trPr>
          <w:trHeight w:val="202"/>
        </w:trPr>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10.42(a)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Integra LifeSciences Holdings Corporation Management Incentive Compensation Plan (Incorporated by</w:t>
            </w:r>
          </w:p>
        </w:tc>
      </w:tr>
      <w:tr>
        <w:trPr>
          <w:trHeight w:val="216"/>
        </w:trPr>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reference to Exhibit 10.1 to the Company’s Quarterly Report on Form 10-Q for the quarter ended</w:t>
            </w:r>
          </w:p>
        </w:tc>
      </w:tr>
      <w:tr>
        <w:trPr>
          <w:trHeight w:val="230"/>
        </w:trPr>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2006)*</w:t>
            </w:r>
          </w:p>
        </w:tc>
      </w:tr>
      <w:tr>
        <w:trPr>
          <w:trHeight w:val="202"/>
        </w:trPr>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10.42(b)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4"/>
              </w:rPr>
              <w:t>First Amendment to Integra LifeSciences Holdings Corporation Management Incentive Compensation</w:t>
            </w:r>
          </w:p>
        </w:tc>
      </w:tr>
      <w:tr>
        <w:trPr>
          <w:trHeight w:val="216"/>
        </w:trPr>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Plan (Incorporated by reference to Exhibit 10.5 to the Company’s Quarterly Report on Form 10-Q for the</w:t>
            </w:r>
          </w:p>
        </w:tc>
      </w:tr>
      <w:tr>
        <w:trPr>
          <w:trHeight w:val="230"/>
        </w:trPr>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quarter ended March 31, 2007)*</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10.42(c)</w:t>
            </w: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Integra LifeSciences Holdings Corporation Management Incentive Compensation Plan, as amended and</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restated as of January 1, 2008 (Incorporated by reference to Exhibit 10.43(c) to the Company’s Annual</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10.43</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2"/>
              </w:rPr>
              <w:t>Form of Restricted Stock Agreement for Gerard S. Carlozzi and John B. Henneman, III (Incorporated by</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w w:val="95"/>
              </w:rPr>
              <w:t>reference to Exhibit 10.1 to the Company’s Current Report on Form 8-K filed on February 27, 2007)*</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10.44</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Form of 2010 Convertible Bond Hedge Transaction Confirmation, dated June 6, 2007, between Integra</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LifeSciences Holdings Corporation and dealer (Incorporated by reference to Exhibit 10.1 to the</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10.45</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3"/>
              </w:rPr>
              <w:t>Form of 2012 Convertible Bond Hedge Transaction Confirmation, dated June 6, 2007, between Integra</w:t>
            </w:r>
          </w:p>
        </w:tc>
      </w:tr>
      <w:tr>
        <w:trPr>
          <w:trHeight w:val="216"/>
        </w:trPr>
        <w:tc>
          <w:tcPr>
            <w:tcW w:w="136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LifeSciences Holdings Corporation and dealer (Incorporated by reference to Exhibit 10.2 to the</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10.46</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5"/>
              </w:rPr>
              <w:t>Form of 2010 Amended and Restated Issuer Warrant Transaction Confirmation, dated June 6, 2007,</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between Integra LifeSciences Holdings Corporation and dealer (Incorporated by reference to Exhibit 10.3</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 the Company’s Current Report on Form 8-K filed on June 12, 2007)</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10.47</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5"/>
              </w:rPr>
              <w:t>Form of 2012 Amended and Restated Issuer Warrant Transaction Confirmation, dated June 6, 2007,</w:t>
            </w:r>
          </w:p>
        </w:tc>
      </w:tr>
      <w:tr>
        <w:trPr>
          <w:trHeight w:val="216"/>
        </w:trPr>
        <w:tc>
          <w:tcPr>
            <w:tcW w:w="136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w w:val="91"/>
              </w:rPr>
              <w:t>between Integra LifeSciences Holdings Corporation and dealer (Incorporated by reference to Exhibit 10.4</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to the Company’s Current Report on Form 8-K filed on June 12, 2007)</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10.48</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Agreement and Plan of Merger among Integra LifeSciences Holdings Corporation, ICE Mergercorp, Inc.</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and IsoTis, Inc., dated as of August 6, 2007 (Incorporated by reference to Exhibit 10.1 to the Company’s</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Report on Form 8-K filed on August 7, 2007)</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10.49</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1"/>
              </w:rPr>
              <w:t>Form of Option Agreement among Integra LifeSciences Holdings Corporation and John B. Henneman, III</w:t>
            </w:r>
          </w:p>
        </w:tc>
      </w:tr>
      <w:tr>
        <w:trPr>
          <w:trHeight w:val="216"/>
        </w:trPr>
        <w:tc>
          <w:tcPr>
            <w:tcW w:w="136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w w:val="91"/>
              </w:rPr>
              <w:t>(Incorporated by reference to Exhibit 10.1 to the Company’s Current Report on Form 8-K filed on June 6,</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2008)*</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10.50</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4"/>
              </w:rPr>
              <w:t>Purchase  Agreement,  dated  as  of  July  23,  2008,  by  and  among  Integra  LifeSciences  Holdings</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Corporation, Theken Spine LLC, Randall R. Theken and the other members of Theken Spine, LLC party</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thereto (Incorporated by reference to Exhibit 10.1 to the Company’s Current Report on Form 8-K filed on</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July 24, 2008)</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10.51</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2"/>
              </w:rPr>
              <w:t>Form of Indemnification Agreement for Non-Employee Directors and Officers (Incorporated by reference</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to Exhibit 10.1 to the Company’s Current Report on Form 8-K filed on December 24, 2008)*</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10.52</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Form of Contract Stock/Restricted Units Agreement for Mr. Carlozzi and Mr. Henneman (Incorporated by</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reference to Exhibit 10.4 to the Company’s Current Report on Form 8-K filed on December 24, 2008)*</w:t>
            </w:r>
          </w:p>
        </w:tc>
      </w:tr>
      <w:tr>
        <w:trPr>
          <w:trHeight w:val="202"/>
        </w:trPr>
        <w:tc>
          <w:tcPr>
            <w:tcW w:w="136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10.53</w:t>
            </w:r>
          </w:p>
        </w:tc>
        <w:tc>
          <w:tcPr>
            <w:tcW w:w="7960" w:type="dxa"/>
            <w:vAlign w:val="bottom"/>
          </w:tcPr>
          <w:p>
            <w:pPr>
              <w:ind w:left="300"/>
              <w:spacing w:after="0" w:line="201" w:lineRule="exact"/>
              <w:rPr>
                <w:sz w:val="20"/>
                <w:szCs w:val="20"/>
                <w:color w:val="auto"/>
              </w:rPr>
            </w:pPr>
            <w:r>
              <w:rPr>
                <w:rFonts w:ascii="Arial" w:cs="Arial" w:eastAsia="Arial" w:hAnsi="Arial"/>
                <w:sz w:val="18"/>
                <w:szCs w:val="18"/>
                <w:color w:val="auto"/>
                <w:w w:val="97"/>
              </w:rPr>
              <w:t>Piggyback Registration Rights Agreement dated December 22, 2008 between Integra LifeSciences</w:t>
            </w:r>
          </w:p>
        </w:tc>
      </w:tr>
      <w:tr>
        <w:trPr>
          <w:trHeight w:val="216"/>
        </w:trPr>
        <w:tc>
          <w:tcPr>
            <w:tcW w:w="136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w w:val="91"/>
              </w:rPr>
              <w:t>Holdings Corporation and George Heenan, Thomas Gilliam and Michael Evers, as trustees of The Bruce</w:t>
            </w:r>
          </w:p>
        </w:tc>
      </w:tr>
      <w:tr>
        <w:trPr>
          <w:trHeight w:val="216"/>
        </w:trPr>
        <w:tc>
          <w:tcPr>
            <w:tcW w:w="1360" w:type="dxa"/>
            <w:vAlign w:val="bottom"/>
          </w:tcPr>
          <w:p>
            <w:pPr>
              <w:spacing w:after="0"/>
              <w:rPr>
                <w:sz w:val="18"/>
                <w:szCs w:val="18"/>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A. LeVahn 2008 Trust and Steven M. LeVahn (Incorporated by reference to Exhibit 10.1 to the</w:t>
            </w:r>
          </w:p>
        </w:tc>
      </w:tr>
      <w:tr>
        <w:trPr>
          <w:trHeight w:val="230"/>
        </w:trPr>
        <w:tc>
          <w:tcPr>
            <w:tcW w:w="1360" w:type="dxa"/>
            <w:vAlign w:val="bottom"/>
          </w:tcPr>
          <w:p>
            <w:pPr>
              <w:spacing w:after="0"/>
              <w:rPr>
                <w:sz w:val="20"/>
                <w:szCs w:val="20"/>
                <w:color w:val="auto"/>
              </w:rPr>
            </w:pPr>
          </w:p>
        </w:tc>
        <w:tc>
          <w:tcPr>
            <w:tcW w:w="7960" w:type="dxa"/>
            <w:vAlign w:val="bottom"/>
          </w:tcPr>
          <w:p>
            <w:pPr>
              <w:ind w:left="300"/>
              <w:spacing w:after="0"/>
              <w:rPr>
                <w:sz w:val="20"/>
                <w:szCs w:val="20"/>
                <w:color w:val="auto"/>
              </w:rPr>
            </w:pPr>
            <w:r>
              <w:rPr>
                <w:rFonts w:ascii="Arial" w:cs="Arial" w:eastAsia="Arial" w:hAnsi="Arial"/>
                <w:sz w:val="18"/>
                <w:szCs w:val="18"/>
                <w:color w:val="auto"/>
              </w:rPr>
              <w:t>Company’s Current Report on Form 8-K filed on December 29, 2008)</w:t>
            </w:r>
          </w:p>
        </w:tc>
      </w:tr>
      <w:tr>
        <w:trPr>
          <w:trHeight w:val="202"/>
        </w:trPr>
        <w:tc>
          <w:tcPr>
            <w:tcW w:w="1360" w:type="dxa"/>
            <w:vAlign w:val="bottom"/>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10.54</w:t>
            </w:r>
          </w:p>
        </w:tc>
        <w:tc>
          <w:tcPr>
            <w:tcW w:w="7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Lease Agreement between 109 Morgan Lane, LLC and Integra LifeSciences Corporation, dated May 15,</w:t>
            </w:r>
          </w:p>
        </w:tc>
      </w:tr>
      <w:tr>
        <w:trPr>
          <w:trHeight w:val="216"/>
        </w:trPr>
        <w:tc>
          <w:tcPr>
            <w:tcW w:w="1360" w:type="dxa"/>
            <w:vAlign w:val="bottom"/>
            <w:shd w:val="clear" w:color="auto" w:fill="CCEEFF"/>
          </w:tcPr>
          <w:p>
            <w:pPr>
              <w:spacing w:after="0"/>
              <w:rPr>
                <w:sz w:val="18"/>
                <w:szCs w:val="18"/>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2008 (Incorporated by reference to Exhibit 10.10 to the Company’s Quarterly Report on Form 10-Q for</w:t>
            </w:r>
          </w:p>
        </w:tc>
      </w:tr>
      <w:tr>
        <w:trPr>
          <w:trHeight w:val="230"/>
        </w:trPr>
        <w:tc>
          <w:tcPr>
            <w:tcW w:w="1360" w:type="dxa"/>
            <w:vAlign w:val="bottom"/>
            <w:shd w:val="clear" w:color="auto" w:fill="CCEEFF"/>
          </w:tcPr>
          <w:p>
            <w:pPr>
              <w:spacing w:after="0"/>
              <w:rPr>
                <w:sz w:val="20"/>
                <w:szCs w:val="20"/>
                <w:color w:val="auto"/>
              </w:rPr>
            </w:pP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quarter ended June 30, 2008)</w:t>
            </w:r>
          </w:p>
        </w:tc>
      </w:tr>
      <w:tr>
        <w:trPr>
          <w:trHeight w:val="216"/>
        </w:trPr>
        <w:tc>
          <w:tcPr>
            <w:tcW w:w="136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7960" w:type="dxa"/>
            <w:vAlign w:val="bottom"/>
          </w:tcPr>
          <w:p>
            <w:pPr>
              <w:ind w:left="30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Consent of Pricewaterhouse Coopers LLP+</w:t>
            </w:r>
          </w:p>
        </w:tc>
      </w:tr>
      <w:tr>
        <w:trPr>
          <w:trHeight w:val="216"/>
        </w:trPr>
        <w:tc>
          <w:tcPr>
            <w:tcW w:w="136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7960" w:type="dxa"/>
            <w:vAlign w:val="bottom"/>
          </w:tcPr>
          <w:p>
            <w:pPr>
              <w:ind w:left="300"/>
              <w:spacing w:after="0"/>
              <w:rPr>
                <w:sz w:val="20"/>
                <w:szCs w:val="20"/>
                <w:color w:val="auto"/>
              </w:rPr>
            </w:pPr>
            <w:r>
              <w:rPr>
                <w:rFonts w:ascii="Arial" w:cs="Arial" w:eastAsia="Arial" w:hAnsi="Arial"/>
                <w:sz w:val="18"/>
                <w:szCs w:val="18"/>
                <w:color w:val="auto"/>
                <w:w w:val="93"/>
              </w:rPr>
              <w:t>Certification of Principal Executive Officer Pursuant to Section 302 of the Sarbanes-Oxley Act of 2002+</w:t>
            </w:r>
          </w:p>
        </w:tc>
      </w:tr>
      <w:tr>
        <w:trPr>
          <w:trHeight w:val="216"/>
        </w:trPr>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31.2</w:t>
            </w: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Certification of Principal Financial Officer Pursuant to Section 302 of the Sarbanes-Oxley Act of 2002+</w:t>
            </w:r>
          </w:p>
        </w:tc>
      </w:tr>
      <w:tr>
        <w:trPr>
          <w:trHeight w:val="216"/>
        </w:trPr>
        <w:tc>
          <w:tcPr>
            <w:tcW w:w="136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7960" w:type="dxa"/>
            <w:vAlign w:val="bottom"/>
          </w:tcPr>
          <w:p>
            <w:pPr>
              <w:ind w:left="300"/>
              <w:spacing w:after="0"/>
              <w:rPr>
                <w:sz w:val="20"/>
                <w:szCs w:val="20"/>
                <w:color w:val="auto"/>
              </w:rPr>
            </w:pPr>
            <w:r>
              <w:rPr>
                <w:rFonts w:ascii="Arial" w:cs="Arial" w:eastAsia="Arial" w:hAnsi="Arial"/>
                <w:sz w:val="18"/>
                <w:szCs w:val="18"/>
                <w:color w:val="auto"/>
                <w:w w:val="93"/>
              </w:rPr>
              <w:t>Certification of Principal Executive Officer Pursuant to Section 906 of the Sarbanes-Oxley Act of 2002+</w:t>
            </w:r>
          </w:p>
        </w:tc>
      </w:tr>
      <w:tr>
        <w:trPr>
          <w:trHeight w:val="216"/>
        </w:trPr>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32.2</w:t>
            </w:r>
          </w:p>
        </w:tc>
        <w:tc>
          <w:tcPr>
            <w:tcW w:w="7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4379" w:hanging="8"/>
        <w:spacing w:after="0" w:line="391" w:lineRule="auto"/>
        <w:tabs>
          <w:tab w:leader="none" w:pos="6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INTEGRA LIFESCIENCES HOLDINGS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Stuart M. Essig</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-130810</wp:posOffset>
            </wp:positionV>
            <wp:extent cx="2084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2, 2009</w:t>
      </w:r>
    </w:p>
    <w:p>
      <w:pPr>
        <w:spacing w:after="0" w:line="185"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80" w:type="dxa"/>
            <w:vAlign w:val="bottom"/>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7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Stuart M. Essig</w:t>
            </w:r>
          </w:p>
        </w:tc>
        <w:tc>
          <w:tcPr>
            <w:tcW w:w="2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4"/>
              </w:rPr>
              <w:t>Director (Principal Executive Officer)</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 and</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182"/>
        </w:trPr>
        <w:tc>
          <w:tcPr>
            <w:tcW w:w="340" w:type="dxa"/>
            <w:vAlign w:val="bottom"/>
          </w:tcPr>
          <w:p>
            <w:pPr>
              <w:spacing w:after="0"/>
              <w:rPr>
                <w:sz w:val="15"/>
                <w:szCs w:val="15"/>
                <w:color w:val="auto"/>
              </w:rPr>
            </w:pPr>
          </w:p>
        </w:tc>
        <w:tc>
          <w:tcPr>
            <w:tcW w:w="3740" w:type="dxa"/>
            <w:vAlign w:val="bottom"/>
          </w:tcPr>
          <w:p>
            <w:pPr>
              <w:spacing w:after="0" w:line="182" w:lineRule="exact"/>
              <w:rPr>
                <w:sz w:val="20"/>
                <w:szCs w:val="20"/>
                <w:color w:val="auto"/>
              </w:rPr>
            </w:pPr>
            <w:r>
              <w:rPr>
                <w:rFonts w:ascii="Arial" w:cs="Arial" w:eastAsia="Arial" w:hAnsi="Arial"/>
                <w:sz w:val="18"/>
                <w:szCs w:val="18"/>
                <w:color w:val="auto"/>
              </w:rPr>
              <w:t>John B. Henneman, III</w:t>
            </w:r>
          </w:p>
        </w:tc>
        <w:tc>
          <w:tcPr>
            <w:tcW w:w="280" w:type="dxa"/>
            <w:vAlign w:val="bottom"/>
          </w:tcPr>
          <w:p>
            <w:pPr>
              <w:spacing w:after="0"/>
              <w:rPr>
                <w:sz w:val="15"/>
                <w:szCs w:val="15"/>
                <w:color w:val="auto"/>
              </w:rPr>
            </w:pPr>
          </w:p>
        </w:tc>
        <w:tc>
          <w:tcPr>
            <w:tcW w:w="3740" w:type="dxa"/>
            <w:vAlign w:val="bottom"/>
          </w:tcPr>
          <w:p>
            <w:pPr>
              <w:jc w:val="center"/>
              <w:spacing w:after="0" w:line="182" w:lineRule="exact"/>
              <w:rPr>
                <w:sz w:val="20"/>
                <w:szCs w:val="20"/>
                <w:color w:val="auto"/>
              </w:rPr>
            </w:pPr>
            <w:r>
              <w:rPr>
                <w:rFonts w:ascii="Arial" w:cs="Arial" w:eastAsia="Arial" w:hAnsi="Arial"/>
                <w:sz w:val="18"/>
                <w:szCs w:val="18"/>
                <w:color w:val="auto"/>
                <w:w w:val="94"/>
              </w:rPr>
              <w:t>Administration, and Chief Financial Officer</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0"/>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E. Corbin</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Vice President and Corporate Controller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Jerry E. Corbin</w:t>
            </w:r>
          </w:p>
        </w:tc>
        <w:tc>
          <w:tcPr>
            <w:tcW w:w="2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Caruso, Ph.D.</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Richard E. Caruso, Ph.D.</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Baltimore, Jr.</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Thomas J. Baltimore, Jr.</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Bradley, Ph.D.</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Keith Bradley, Ph.D.</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Moszkowski</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Neal Moszkowski</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Schade</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Christian Schade</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Sullivan</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James M. Sullivan</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M. VanLent</w:t>
            </w:r>
          </w:p>
        </w:tc>
        <w:tc>
          <w:tcPr>
            <w:tcW w:w="2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March 2, 2009</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Anne M. VanLent</w:t>
            </w:r>
          </w:p>
        </w:tc>
        <w:tc>
          <w:tcPr>
            <w:tcW w:w="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96"/>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20" w:type="dxa"/>
            <w:vAlign w:val="bottom"/>
            <w:gridSpan w:val="2"/>
          </w:tcPr>
          <w:p>
            <w:pPr>
              <w:jc w:val="right"/>
              <w:ind w:right="293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Integra LifeSciences Holdings Corporation:</w:t>
      </w:r>
    </w:p>
    <w:p>
      <w:pPr>
        <w:spacing w:after="0" w:line="170" w:lineRule="exact"/>
        <w:rPr>
          <w:sz w:val="20"/>
          <w:szCs w:val="20"/>
          <w:color w:val="auto"/>
        </w:rPr>
      </w:pPr>
    </w:p>
    <w:p>
      <w:pPr>
        <w:jc w:val="both"/>
        <w:ind w:left="340" w:right="559"/>
        <w:spacing w:after="0" w:line="284"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Integra LifeSciences Holdings Corporation and its subsidiaries at December 31, 2008 and December 31, 2007, and the results of their operations and their cash flows for each of the three years in the period ended December 31, 2008 in conformity with accounting principles generally accepted in the United States of America. In addition, in our opinion, the financial statement schedule listed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uncertain income tax positions in 2007.</w:t>
      </w:r>
    </w:p>
    <w:p>
      <w:pPr>
        <w:spacing w:after="0" w:line="143" w:lineRule="exact"/>
        <w:rPr>
          <w:sz w:val="20"/>
          <w:szCs w:val="20"/>
          <w:color w:val="auto"/>
        </w:rPr>
      </w:pPr>
    </w:p>
    <w:p>
      <w:pPr>
        <w:jc w:val="both"/>
        <w:ind w:left="340" w:right="55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left="340" w:right="559" w:hanging="8"/>
        <w:spacing w:after="0" w:line="270" w:lineRule="auto"/>
        <w:tabs>
          <w:tab w:leader="none" w:pos="5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As described in Management’s Report of Internal Control Over Financial Reporting, management has excluded Theken Spine, LLC, Theken Disc, LLC and Therics, LLC (collectively, “Theken”) and Minnesota Scientific, Inc., from its assessment of internal control over financial reporting as of December 31, 2008 because they were acquired by the Company in purchase business combinations during 2008. Theken and Minnesota Scientific, Inc., are wholly owned entities of the Company whose total assets and total revenues represent approximately 6.7% and 3.0%, and 1.7% and 0.1%, respectively, of the related consolidated financial statement amounts as of and for the year ended December 31, 2008.</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2, 2009</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INTEGRA LIFESCIENCES HOLDINGS CORPORATION</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CONSOLIDATED STATEMENTS OF OPERATIONS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2006</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8"/>
              </w:rPr>
              <w:t>In thousands, except per share amounts</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654,604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550,459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419,297</w:t>
            </w: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252,826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214,674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168,314</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60,495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30,658</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25,732</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280,997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225,187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157,706</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12,652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483,171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360,553</w:t>
            </w: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67,288</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58,744</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(17,614)</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(13,749)</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(10,620)</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(2,010)</w:t>
            </w: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60,062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48,308</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18,901</w:t>
            </w:r>
          </w:p>
        </w:tc>
      </w:tr>
      <w:tr>
        <w:trPr>
          <w:trHeight w:val="230"/>
        </w:trPr>
        <w:tc>
          <w:tcPr>
            <w:tcW w:w="3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34,933</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29,407</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net income per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0.97</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27,781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27,712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29,300</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28,703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29,578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32,747</w:t>
            </w:r>
          </w:p>
        </w:tc>
      </w:tr>
    </w:tbl>
    <w:p>
      <w:pPr>
        <w:spacing w:after="0" w:line="17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183,546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Trade accounts receivable, net of allowances of $10,052 and $7,816</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112,417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103,539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146,103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24,135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31,191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497,392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70,382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225,998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195,766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212,094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28,565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13,147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1,034,431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22,964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3,053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16,030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16,877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32,704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174,751</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Long-term convertible securities</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19,474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684,225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557,583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Common stock; $.01 par value; 60,000 authorized shares; 34,352 and 32,252 issued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color w:val="auto"/>
              </w:rPr>
              <w:t>464,668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395,266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6,354 shares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(252,380)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6,314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140" w:type="dxa"/>
            <w:vAlign w:val="bottom"/>
          </w:tcPr>
          <w:p>
            <w:pPr>
              <w:spacing w:after="0"/>
              <w:rPr>
                <w:sz w:val="18"/>
                <w:szCs w:val="18"/>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132,219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350,206</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1,034,431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60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CONSOLIDATED STATEMENTS OF CASH FLOWS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In thousands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34,933</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33,471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29,407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30,717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25,627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19,018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25,240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(Gain) loss on sale of assets/investments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bond issuance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w w:val="99"/>
              </w:rPr>
              <w:t>Excess tax benefits from stock-based compensation arrangements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 (benefit) provision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(28,277)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Amortization of discount/premium on investments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32,635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15,394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 net of business acquisitions: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(4,710)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(26,131)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(18,591)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Refundable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8"/>
              </w:rPr>
              <w:t>Accounts payable, accrued expenses and other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(17,258)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1,956</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47,026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71,702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the sales of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available for sale investments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(13,401)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(22,572)</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used in acquisitions, net of cash acquired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(86,874)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(100,810)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(228,662)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(100,275)</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(122,971)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(142,695)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260,000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convertible notes and credit facility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(119,558)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convertible notes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330,000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stock purchase warrants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Purchase option hedge on convertible notes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(46,771)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note issuance and other financing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Proceeds from exercised stock options and warrants</w:t>
            </w: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11,504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18,781</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15,867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(106,534)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108,485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45,641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34,642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57,339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22,697</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57,339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Cash paid during the year for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17,259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10,870</w:t>
            </w:r>
          </w:p>
        </w:tc>
        <w:tc>
          <w:tcPr>
            <w:tcW w:w="3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38,664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Supplemental non-cash disclosure: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fees included in liabilities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Property and equipment purchases included in liabilities</w:t>
            </w:r>
          </w:p>
        </w:tc>
        <w:tc>
          <w:tcPr>
            <w:tcW w:w="1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3"/>
            <w:vMerge w:val="restart"/>
          </w:tcPr>
          <w:p>
            <w:pPr>
              <w:jc w:val="right"/>
              <w:ind w:right="239"/>
              <w:spacing w:after="0"/>
              <w:rPr>
                <w:sz w:val="20"/>
                <w:szCs w:val="20"/>
                <w:color w:val="auto"/>
              </w:rPr>
            </w:pPr>
            <w:r>
              <w:rPr>
                <w:rFonts w:ascii="Arial" w:cs="Arial" w:eastAsia="Arial" w:hAnsi="Arial"/>
                <w:sz w:val="14"/>
                <w:szCs w:val="14"/>
                <w:b w:val="1"/>
                <w:bCs w:val="1"/>
                <w:color w:val="auto"/>
                <w:w w:val="97"/>
              </w:rPr>
              <w:t>Treasury</w:t>
            </w:r>
          </w:p>
        </w:tc>
        <w:tc>
          <w:tcPr>
            <w:tcW w:w="900" w:type="dxa"/>
            <w:vAlign w:val="bottom"/>
            <w:gridSpan w:val="3"/>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Earnings /</w:t>
            </w:r>
          </w:p>
        </w:tc>
        <w:tc>
          <w:tcPr>
            <w:tcW w:w="100" w:type="dxa"/>
            <w:vAlign w:val="bottom"/>
          </w:tcPr>
          <w:p>
            <w:pPr>
              <w:spacing w:after="0"/>
              <w:rPr>
                <w:sz w:val="12"/>
                <w:szCs w:val="12"/>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Income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(Loss)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(75,815)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333,179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(4,773)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36,929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289,818</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29,407</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29,407</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Realized gains on investments</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Reversal of unrealized losses 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investments, net of tax</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12,345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12,345</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Minimum pension liability adjustment, net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of tax</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42,260</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4"/>
                <w:szCs w:val="14"/>
                <w:color w:val="auto"/>
              </w:rPr>
              <w:t>Issuance of 1,649 shares of common stock</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through employee benefit plans</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15,888</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15,905</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related to stock option exercises</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issuance of restricted stock</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3,237</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3,237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14,973</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14,973</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1,779 shares of common stock</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(70,031)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(70,031)</w:t>
            </w:r>
          </w:p>
        </w:tc>
        <w:tc>
          <w:tcPr>
            <w:tcW w:w="0" w:type="dxa"/>
            <w:vAlign w:val="bottom"/>
          </w:tcPr>
          <w:p>
            <w:pPr>
              <w:spacing w:after="0"/>
              <w:rPr>
                <w:sz w:val="1"/>
                <w:szCs w:val="1"/>
                <w:color w:val="auto"/>
              </w:rPr>
            </w:pPr>
          </w:p>
        </w:tc>
      </w:tr>
      <w:tr>
        <w:trPr>
          <w:trHeight w:val="163"/>
        </w:trPr>
        <w:tc>
          <w:tcPr>
            <w:tcW w:w="2760" w:type="dxa"/>
            <w:vAlign w:val="bottom"/>
          </w:tcPr>
          <w:p>
            <w:pPr>
              <w:spacing w:after="0" w:line="155" w:lineRule="exact"/>
              <w:rPr>
                <w:sz w:val="20"/>
                <w:szCs w:val="20"/>
                <w:color w:val="auto"/>
              </w:rPr>
            </w:pPr>
            <w:r>
              <w:rPr>
                <w:rFonts w:ascii="Arial" w:cs="Arial" w:eastAsia="Arial" w:hAnsi="Arial"/>
                <w:sz w:val="14"/>
                <w:szCs w:val="14"/>
                <w:color w:val="auto"/>
              </w:rPr>
              <w:t>Balance, December 31, 2006</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(145,846</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367,277</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8,080</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66,336</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296,162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33,471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33,471</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9,723</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9,723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Minimum pension liability adjustment, net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tax</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56"/>
        </w:trPr>
        <w:tc>
          <w:tcPr>
            <w:tcW w:w="27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Issuance of 788 shares of common stock</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through employee benefit plans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18,528</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18,536</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Tax benefit related to call options 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convertible notes</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17,542</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17,542</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related to stock option exercises</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issuance of restricted stock</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3,087</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15,478</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15,478</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2,207 shares of common stock</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3"/>
              </w:rPr>
              <w:t>(106,534)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(106,534)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Purchase option hedge on convertible notes</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(46,771)</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(46,771)</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stock purchase warrants</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21,662</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21,662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Equity portion of debt issuance costs</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(1,573)</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adoption of FIN 48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Convertible note share conversion</w:t>
            </w:r>
          </w:p>
        </w:tc>
        <w:tc>
          <w:tcPr>
            <w:tcW w:w="120" w:type="dxa"/>
            <w:vAlign w:val="bottom"/>
          </w:tcPr>
          <w:p>
            <w:pPr>
              <w:spacing w:after="0"/>
              <w:rPr>
                <w:sz w:val="12"/>
                <w:szCs w:val="12"/>
                <w:color w:val="auto"/>
              </w:rPr>
            </w:pPr>
          </w:p>
        </w:tc>
        <w:tc>
          <w:tcPr>
            <w:tcW w:w="520" w:type="dxa"/>
            <w:vAlign w:val="bottom"/>
          </w:tcPr>
          <w:p>
            <w:pPr>
              <w:ind w:left="3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3"/>
              </w:rPr>
              <w:t>(252,380)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395,266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19,045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98,175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260,429</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Arial" w:cs="Arial" w:eastAsia="Arial" w:hAnsi="Arial"/>
                <w:sz w:val="14"/>
                <w:szCs w:val="14"/>
                <w:color w:val="auto"/>
                <w:w w:val="99"/>
              </w:rPr>
              <w:t>Non-employee stock compensation expense</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ind w:left="38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(889)</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34,933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34,933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2"/>
                <w:szCs w:val="12"/>
                <w:color w:val="auto"/>
              </w:rPr>
            </w:pP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(13,454)</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(13,454)</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Minimum pension liability adjustment, net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tax</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56"/>
        </w:trPr>
        <w:tc>
          <w:tcPr>
            <w:tcW w:w="27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1,132 shares of common stock</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through employee benefit plans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11,442</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11,453</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w w:val="99"/>
              </w:rPr>
              <w:t>Issuance of 768 shares of common stock for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convertible note settlement</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396</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Recapture of deferred tax for convertible</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11,453</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11,453</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Tax benefit related to stock option exercises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and issuance of restricted stock</w:t>
            </w:r>
          </w:p>
        </w:tc>
        <w:tc>
          <w:tcPr>
            <w:tcW w:w="12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1,813</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32,496</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32,496</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Issuance and commitment of 310 shares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color w:val="auto"/>
              </w:rPr>
              <w:t>common stock for acquisition</w:t>
            </w:r>
          </w:p>
        </w:tc>
        <w:tc>
          <w:tcPr>
            <w:tcW w:w="1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10,707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10,709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3"/>
              </w:rPr>
              <w:t>(252,380)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464,668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5,355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132,219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350,206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BUSINESS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Integra LifeSciences Holdings Corporation (the “Company”) incorporated in Delaware in 1989. The Company, a world leader in regenerative medicine, is dedicated to improving the quality of life for patients through the development, manufacturing, and marketing of cost-effective surgical implants and medical instruments. Its products are used primarily in neurosurgery, extremity reconstruction, orthopedics and general surgery.</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sells its products directly through various sales forces and through a variety of other distribution channels.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These financial statements and the accompanying notes are prepared in accordance with accounting principles generally accepted in the United States of America and conform to Regulation S-X under the Securities Exchange Act of 1934, as amended. The Company has made all necessary adjustments so that the financial statements are presented fairly and all such adjustments are of a normal recurring nature except as described in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below.</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and goodwill, discount rates and estimated projected cash flows used to value and test impairments of long-lived assets and goodwill, computation of taxes, valuation allowances recorded against deferred tax assets, the valuation of stock-based compensation, estimates of projected cash flows and depreciation and amortization periods for long-lived assets, valuation of intangible assets and in-process research and development, and loss contingencies. These estimates are based on historical experience and on various other assumptions that are believed to be reasonable under the current circumstances. Actual results could differ from these estimates.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During 2007, the Company noted certain adjustments which related to prior periods. Because these changes are not material to the current or previous periods, we have recorded them in 2007.</w:t>
      </w:r>
    </w:p>
    <w:p>
      <w:pPr>
        <w:spacing w:after="0" w:line="143"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impact of recording these adjustments during 2007 resulted in net increases to operating income and income before income taxes of $1.3 million and $1.7 million, respectively. In addition, income tax expense includes approximately $1.5 million of expense associated with prior years. After considering the after-tax impact of the pre-tax adjustments combined with the specific tax adjustments noted above, there was a decrease to 2007 net income of $0.5 million as a result of recording these out of period adjustments. See Note 16, Selected Quarterly Information — Unaudited, for a discussion of the impact of out of period corrections in the fourth quarter of 2007 related to prior annual and quarterly periods.</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considers all short term, highly liquid investments purchased with original maturities of three months or less to be cash equivalents.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 xml:space="preserve">In 2006, the Company liquidated its portfolio of marketable securities. Proceeds from the sales totaled $109.9 million. As the amounts were previously classified as available for sale securities based on the guidance of SFAS 115,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Investments in Debt and Equity Securities</w:t>
      </w:r>
      <w:r>
        <w:rPr>
          <w:rFonts w:ascii="Arial" w:cs="Arial" w:eastAsia="Arial" w:hAnsi="Arial"/>
          <w:sz w:val="18"/>
          <w:szCs w:val="18"/>
          <w:color w:val="auto"/>
        </w:rPr>
        <w:t>, the unrealized losses of $0.8 million were reclassified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into other income upon sale.</w:t>
      </w:r>
    </w:p>
    <w:p>
      <w:pPr>
        <w:spacing w:after="0" w:line="16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Prior to their liquidation in 2006, securities were carried at fair value, which was based on quoted market prices. Increases and decreases in fair value were recorded as unrealized gains and losses in other comprehensive income. Realized gains and losses were determined on the specific identification cost basis and reported in other income (expense), net. Management evaluated its available-for-sale investments for other-than-temporary impairment when the fair value of the investment was lower than its book value. Factors that were considered when evaluating for other-than-temporary impairment included the length of time and the extent to which market value has been less than cost, the financial condition and near-term prospects of the issuer, interest rates, credit risk, the value of any underlying portfolios or investments, and the Company’s intent and ability to hold the investment for a period of time sufficient to allow for any anticipated recovery in the market.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54"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76"/>
              </w:rPr>
              <w:t>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109,033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103,172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21,883</w:t>
            </w:r>
          </w:p>
        </w:tc>
        <w:tc>
          <w:tcPr>
            <w:tcW w:w="4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27,812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38,688</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37,639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Less: reserves</w:t>
            </w:r>
          </w:p>
        </w:tc>
        <w:tc>
          <w:tcPr>
            <w:tcW w:w="20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(23,501)</w:t>
            </w:r>
          </w:p>
        </w:tc>
        <w:tc>
          <w:tcPr>
            <w:tcW w:w="4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(24,088)</w:t>
            </w: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inventories, net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146,103</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144,535</w:t>
            </w: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At each balance sheet date, the Company evaluates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valuation reserves are recorded against all or a portion of the value of the related products to adjust their carrying value to estimated net realizable value.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0" w:lineRule="auto"/>
        <w:rPr>
          <w:sz w:val="20"/>
          <w:szCs w:val="20"/>
          <w:color w:val="auto"/>
        </w:rPr>
      </w:pPr>
      <w:r>
        <w:rPr>
          <w:rFonts w:ascii="Arial" w:cs="Arial" w:eastAsia="Arial" w:hAnsi="Arial"/>
          <w:sz w:val="17"/>
          <w:szCs w:val="17"/>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In June 2006, the Company recorded a $1.2 million charge to research and development related to pre-approval inventory including amounts capitalized in the first half of 2006 associated with a project to develop an ultrasonic aspirator system. The Company discontinued this project in June 2006 following management’s review of the Company’s existing technology and the ultrasonic aspirator technology acquired in the Radionics acquisition. Management determined that there was no future alternative use for the pre-approval inventory in any other development project. No such amounts were capitalized at December 31, 2008 or 2007.</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85"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9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Lives</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1,861</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6,187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30-40 years</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 years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46,012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31,950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2-15 years</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information systems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33,671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 years</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131,376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108,765</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(60,994)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(47,035)</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Depreciation expense associated with property, plant and equipment was $12.8 million, $8.8 million and $7.3 million in 2008, 2007, and 2006,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determined using a discounted cash flow methodology. No impairment of goodwill has been identified during any of the periods presented.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in 2008 and 2007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Goodwill, beginning of year</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207,438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Theken acquisition</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Minnesota Scientific acquisition</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2,997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8"/>
              </w:rPr>
              <w:t>Canada Microsurgical earnout payment adjustments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Denlite acquisition</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IsoTis acquisition</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27,547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IsoTis working capital and tax adjustments</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20" w:type="dxa"/>
            <w:vAlign w:val="bottom"/>
            <w:gridSpan w:val="2"/>
          </w:tcPr>
          <w:p>
            <w:pPr>
              <w:jc w:val="right"/>
              <w:ind w:right="2280"/>
              <w:spacing w:after="0"/>
              <w:rPr>
                <w:sz w:val="20"/>
                <w:szCs w:val="20"/>
                <w:color w:val="auto"/>
              </w:rPr>
            </w:pPr>
            <w:r>
              <w:rPr>
                <w:rFonts w:ascii="Arial" w:cs="Arial" w:eastAsia="Arial" w:hAnsi="Arial"/>
                <w:sz w:val="18"/>
                <w:szCs w:val="18"/>
                <w:color w:val="auto"/>
              </w:rPr>
              <w:t>F-8</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(In</w:t>
            </w:r>
          </w:p>
        </w:tc>
        <w:tc>
          <w:tcPr>
            <w:tcW w:w="800" w:type="dxa"/>
            <w:vAlign w:val="bottom"/>
            <w:gridSpan w:val="6"/>
          </w:tcPr>
          <w:p>
            <w:pPr>
              <w:spacing w:after="0" w:line="195" w:lineRule="exact"/>
              <w:rPr>
                <w:sz w:val="20"/>
                <w:szCs w:val="20"/>
                <w:color w:val="auto"/>
              </w:rPr>
            </w:pPr>
            <w:r>
              <w:rPr>
                <w:rFonts w:ascii="Arial" w:cs="Arial" w:eastAsia="Arial" w:hAnsi="Arial"/>
                <w:sz w:val="18"/>
                <w:szCs w:val="18"/>
                <w:b w:val="1"/>
                <w:bCs w:val="1"/>
                <w:color w:val="auto"/>
                <w:w w:val="80"/>
              </w:rPr>
              <w:t>thousands)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Luxtec/LXU acquisition</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7"/>
              </w:rPr>
              <w:t>Luxtec/LXU working capital and tax adjustments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4"/>
          </w:tcPr>
          <w:p>
            <w:pPr>
              <w:spacing w:after="0"/>
              <w:rPr>
                <w:sz w:val="20"/>
                <w:szCs w:val="20"/>
                <w:color w:val="auto"/>
              </w:rPr>
            </w:pPr>
            <w:r>
              <w:rPr>
                <w:rFonts w:ascii="Arial" w:cs="Arial" w:eastAsia="Arial" w:hAnsi="Arial"/>
                <w:sz w:val="18"/>
                <w:szCs w:val="18"/>
                <w:color w:val="auto"/>
                <w:w w:val="91"/>
              </w:rPr>
              <w:t>Miltex working capital and tax adjustments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Physician Industries acquisition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1"/>
              </w:rPr>
              <w:t>Precision Dental acquisition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Precision Dental working capital and tax adjustments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Radionics working capital adjustment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Foreign currency translation and 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(3,389)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Goodwill, end of year</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212,094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207,438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13"/>
            <w:vMerge w:val="restart"/>
          </w:tcPr>
          <w:p>
            <w:pPr>
              <w:ind w:left="360"/>
              <w:spacing w:after="0"/>
              <w:rPr>
                <w:sz w:val="20"/>
                <w:szCs w:val="20"/>
                <w:color w:val="auto"/>
              </w:rPr>
            </w:pPr>
            <w:r>
              <w:rPr>
                <w:rFonts w:ascii="Arial" w:cs="Arial" w:eastAsia="Arial" w:hAnsi="Arial"/>
                <w:sz w:val="18"/>
                <w:szCs w:val="18"/>
                <w:color w:val="auto"/>
                <w:w w:val="91"/>
              </w:rPr>
              <w:t>The components of the Company’s identifiable intangible assets were as follows:</w:t>
            </w: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60" w:type="dxa"/>
            <w:vAlign w:val="bottom"/>
            <w:gridSpan w:val="13"/>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4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Weighted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2008</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w w:val="91"/>
              </w:rPr>
              <w:t>December 31, 2007</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6"/>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Net</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Amortization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 years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67,154</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51,496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$ 51,673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(11,663)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40,010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 years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94,487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(26,104)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68,383</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75,719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(17,548)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58,171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 years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28,035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(5,202)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30,867</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Indefinite</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50,034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50,034</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36,300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36,300</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Noncompetition</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6,504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(4,486)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 years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26,630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29,300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(1,595)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 years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(836)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283,537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(57,539)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225,998</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237,096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(41,330)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195,766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Amortization expense for the years ended December 31, 2008, 2007, and 2006 was $17.6 million, 16.8 million, and $11.7 million, respectively. Annual amortization expense is expected to approximate $19.0 million in 2009, $16.6 million in 2010, $16.4 million in 2011, $16.1 million in 2012, $13.4 million in 2013 and $94.5 million thereafter. Identifiable intangible assets are initially recorded at fair market value at the time of acquisition generally using an income or cost approach. Amortization of product technology-based intangible assets, which totaled $4.8 million, $4.2 million and $2.8 million in 2008, 2007 and 2006, respectively, is presented by the Company within cost of product revenues.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18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$1.1 million, $1.1 million and $1.0 million to the Integra Foundation in 2008, 2007 and 2006, respectively. These contributions were recorded in selling, general, and administrative expense.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All hedge ineffectiveness is included in current period earnings in interest expense.</w:t>
      </w:r>
    </w:p>
    <w:p>
      <w:pPr>
        <w:sectPr>
          <w:pgSz w:w="11900" w:h="16838" w:orient="portrait"/>
          <w:cols w:equalWidth="0" w:num="1">
            <w:col w:w="10219"/>
          </w:cols>
          <w:pgMar w:left="240" w:top="419" w:right="1440" w:bottom="1052"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2"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fair value attributable to interest rate risk with respect to a portion of fixed-rate debt.</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determination of fair value of derivatives is based on valuation models that use observable market quotes or projected cash flows and the Company’s view of the creditworthiness of the derivative counterparty.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 xml:space="preserve">Income taxes are accounted for in accordance with Statement of Financial Accounting Standards No. 109,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 (“</w:t>
      </w:r>
      <w:r>
        <w:rPr>
          <w:rFonts w:ascii="Arial" w:cs="Arial" w:eastAsia="Arial" w:hAnsi="Arial"/>
          <w:sz w:val="16"/>
          <w:szCs w:val="16"/>
          <w:color w:val="auto"/>
        </w:rPr>
        <w:t>SFAS 109”), which requires the use of the asset and liability method in accounting for income taxes.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estimated future tax consequences attributable to 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and distribution arrangements, research grants, and technology-related royalties.</w:t>
      </w:r>
    </w:p>
    <w:p>
      <w:pPr>
        <w:spacing w:after="0" w:line="13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Revenue is recognized when persuasive evidence of an arrangement exists, delivery has occurred and title and risk of loss have passed to the customer, there is a fixed or determinable sales price, and collectibility of that sales price is reasonably assured. For product sales, the Company’s stated terms are primarily FOB shipping point and with most customers, title and risk of loss pass to the customer at that time. With certain U.S. customers, the Company retains risk of loss until the customers receive the product, and in those situations, the Company recognizes revenue upon receipt by the customer.</w:t>
      </w:r>
    </w:p>
    <w:p>
      <w:pPr>
        <w:spacing w:after="0" w:line="11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6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2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85"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Amounts billed to customers for shipping and handling are included in revenues. The related shipping and freight charges incurred by the Company are included in cost of product revenues. Distribution and handling costs of $7.7 million, $8.5 million and $6.1 million were recorded in selling, general and administrative expense during 2008, 2007, and 2006, respectively.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8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Accrued warranty expense consisted of the following:</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8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8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(In</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76"/>
              </w:rPr>
              <w:t>thousands)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ind w:right="51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3"/>
              </w:rPr>
              <w:t>770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1,325</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Liability acquired through acquisition</w:t>
            </w:r>
          </w:p>
        </w:tc>
        <w:tc>
          <w:tcPr>
            <w:tcW w:w="680" w:type="dxa"/>
            <w:vAlign w:val="bottom"/>
          </w:tcPr>
          <w:p>
            <w:pPr>
              <w:spacing w:after="0"/>
              <w:rPr>
                <w:sz w:val="18"/>
                <w:szCs w:val="18"/>
                <w:color w:val="auto"/>
              </w:rPr>
            </w:pPr>
          </w:p>
        </w:tc>
        <w:tc>
          <w:tcPr>
            <w:tcW w:w="6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Deductions</w:t>
            </w:r>
          </w:p>
        </w:tc>
        <w:tc>
          <w:tcPr>
            <w:tcW w:w="680" w:type="dxa"/>
            <w:vAlign w:val="bottom"/>
          </w:tcPr>
          <w:p>
            <w:pPr>
              <w:spacing w:after="0"/>
              <w:rPr>
                <w:sz w:val="18"/>
                <w:szCs w:val="18"/>
                <w:color w:val="auto"/>
              </w:rPr>
            </w:pPr>
          </w:p>
        </w:tc>
        <w:tc>
          <w:tcPr>
            <w:tcW w:w="660" w:type="dxa"/>
            <w:vAlign w:val="bottom"/>
            <w:gridSpan w:val="2"/>
          </w:tcPr>
          <w:p>
            <w:pPr>
              <w:jc w:val="right"/>
              <w:ind w:right="21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7"/>
        </w:trPr>
        <w:tc>
          <w:tcPr>
            <w:tcW w:w="6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ind w:right="51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r>
      <w:tr>
        <w:trPr>
          <w:trHeight w:val="20"/>
        </w:trPr>
        <w:tc>
          <w:tcPr>
            <w:tcW w:w="6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06"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2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2008, the Company recorded a $25.2 million in-process research and development charge related to the Theken acquisition related to technology that has not yet reached feasibility and has no alternative future use. In 2007, the Company recorded a $4.6 million in-process research and development charge related to the IsoTis acquisition related to technology that has not yet reached feasibility and has no alternative future use. In 2006, the Company recorded a $5.9 million in-process research and development charge related to the KMI acquisition and a $0.5 million charge related to an upfront payment pursuant to a new product development alliance.</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19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SFAS No. 112, </w:t>
      </w:r>
      <w:r>
        <w:rPr>
          <w:rFonts w:ascii="Arial" w:cs="Arial" w:eastAsia="Arial" w:hAnsi="Arial"/>
          <w:sz w:val="17"/>
          <w:szCs w:val="17"/>
          <w:i w:val="1"/>
          <w:iCs w:val="1"/>
          <w:color w:val="auto"/>
        </w:rPr>
        <w:t>Employer’s Accounting for Postemployment Benefits</w:t>
      </w:r>
      <w:r>
        <w:rPr>
          <w:rFonts w:ascii="Arial" w:cs="Arial" w:eastAsia="Arial" w:hAnsi="Arial"/>
          <w:sz w:val="17"/>
          <w:szCs w:val="17"/>
          <w:color w:val="auto"/>
        </w:rPr>
        <w:t xml:space="preserve">.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SFAS No.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4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The Company applies the provisions of FASB Statement No. 123R — </w:t>
      </w:r>
      <w:r>
        <w:rPr>
          <w:rFonts w:ascii="Arial" w:cs="Arial" w:eastAsia="Arial" w:hAnsi="Arial"/>
          <w:sz w:val="17"/>
          <w:szCs w:val="17"/>
          <w:i w:val="1"/>
          <w:iCs w:val="1"/>
          <w:color w:val="auto"/>
        </w:rPr>
        <w:t>Share-Based Payment, a Revision of FASB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 123 — Accounting for Stock-Based Compensation </w:t>
      </w:r>
      <w:r>
        <w:rPr>
          <w:rFonts w:ascii="Arial" w:cs="Arial" w:eastAsia="Arial" w:hAnsi="Arial"/>
          <w:sz w:val="17"/>
          <w:szCs w:val="17"/>
          <w:color w:val="auto"/>
        </w:rPr>
        <w:t>(“SFAS 123R”). This standard requires companies to recognize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related to the fair value of their stock-based compensation awards. Since the adoption of SFAS 123R, there have been no changes to the Company’s stock compensation plans or modifications to outstanding stock-based awards which would change the value of any awards outstanding. Stock-based compensation expense for all stock-based compensation awards granted after January 1, 2006 was based on the fair value on the grant date, estimated in accordance with the provisions of SFAS 123R using the binomial distribution model. The Company recognized compensation expense for stock option awards on a ratable basis over the requisite service period of the award. The long form method was used in the determination of the windfall tax benefit in accordance with SFAS 123R.</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Employee stock-based compensation expense recognized under SFAS 123R was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4320" w:type="dxa"/>
            <w:vAlign w:val="bottom"/>
          </w:tcPr>
          <w:p>
            <w:pPr>
              <w:spacing w:after="0"/>
              <w:rPr>
                <w:sz w:val="20"/>
                <w:szCs w:val="20"/>
                <w:color w:val="auto"/>
              </w:rPr>
            </w:pPr>
          </w:p>
        </w:tc>
        <w:tc>
          <w:tcPr>
            <w:tcW w:w="1740" w:type="dxa"/>
            <w:vAlign w:val="bottom"/>
            <w:gridSpan w:val="4"/>
          </w:tcPr>
          <w:p>
            <w:pPr>
              <w:spacing w:after="0"/>
              <w:rPr>
                <w:sz w:val="20"/>
                <w:szCs w:val="20"/>
                <w:color w:val="auto"/>
              </w:rPr>
            </w:pPr>
            <w:r>
              <w:rPr>
                <w:rFonts w:ascii="Arial" w:cs="Arial" w:eastAsia="Arial" w:hAnsi="Arial"/>
                <w:sz w:val="18"/>
                <w:szCs w:val="18"/>
                <w:b w:val="1"/>
                <w:bCs w:val="1"/>
                <w:color w:val="auto"/>
              </w:rPr>
              <w:t>December 31, 2008</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December 31, 2007</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2006</w:t>
            </w: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31,704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14,341</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13,161</w:t>
            </w: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amounts previously capitalized to</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employee stock-based compensation expense</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32,635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15,394</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80" w:type="dxa"/>
            <w:vAlign w:val="bottom"/>
          </w:tcPr>
          <w:p>
            <w:pPr>
              <w:spacing w:after="0"/>
              <w:rPr>
                <w:sz w:val="19"/>
                <w:szCs w:val="19"/>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tax benefit related to employee stock-based</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5,376</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4,550</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Net effect on net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As of December 31, 2008 and 2007, $51 and $84, respectively, of stock-based compensation costs remain capitalized in inventory based on the underlying employees receiving the awards.</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has never paid cash dividends and does not currently intend to pay cash dividends, and thus has assumed a 0% dividend yield. Expected volatilities are based on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 The following weighted-average assumptions were used in the calculation of fair value:</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0%</w:t>
            </w:r>
          </w:p>
        </w:tc>
        <w:tc>
          <w:tcPr>
            <w:tcW w:w="13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128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32%</w:t>
            </w:r>
          </w:p>
        </w:tc>
        <w:tc>
          <w:tcPr>
            <w:tcW w:w="130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39%(1)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2.11 to 4.01%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 to 5.20%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 to 5.1%</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Expected life of option from grant date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6.8 years</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6.6 years</w:t>
            </w: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6.1 years</w:t>
            </w:r>
          </w:p>
        </w:tc>
      </w:tr>
    </w:tbl>
    <w:p>
      <w:pPr>
        <w:spacing w:after="0" w:line="93"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volatility rate of 39% in 2006 that decreases 1% in each subsequent year for the length of the term was used.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free interest rates ranged based on the duration of the grant.</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effect of the change in estimate related to the use of the binomial distribution model has been accounted for on a prospective basis. The Company will value all future stock option grants using the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85"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Pension plans cover certain former U.S. employees of Miltex, as well as certain employees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1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Pension contributions are expected to be consistent over the next few years since the Miltex plan was dissolved in 2008, the Germany plan is frozen and the U.K. plan is closed to new participants. Contributions to the plans for 2008, 2007 and 2006 were $0.5 million, $0.5 million and $0.3 million,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 xml:space="preserve">Effective January 1, 2008, the Company adopted Statement of Financial Accounting Standards No. 159, </w:t>
      </w:r>
      <w:r>
        <w:rPr>
          <w:rFonts w:ascii="Arial" w:cs="Arial" w:eastAsia="Arial" w:hAnsi="Arial"/>
          <w:sz w:val="16"/>
          <w:szCs w:val="16"/>
          <w:i w:val="1"/>
          <w:iCs w:val="1"/>
          <w:color w:val="auto"/>
        </w:rPr>
        <w:t>The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 for Financial Assets and Financial Liabilities </w:t>
      </w:r>
      <w:r>
        <w:rPr>
          <w:rFonts w:ascii="Arial" w:cs="Arial" w:eastAsia="Arial" w:hAnsi="Arial"/>
          <w:sz w:val="16"/>
          <w:szCs w:val="16"/>
          <w:color w:val="auto"/>
        </w:rPr>
        <w:t>(“SFAS 159”). SFAS 159 provides companies an option to report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liabilities at fair value and established presentation and disclosure requirements. The intent of SFAS 159 is to reduce the complexity in accounting for financial instruments and the volatility in earnings caused by measuring related assets and liabilities differently. The Company chose not to elect the fair value option for its financial assets and liabilities existing at January 1, 2008, and did not elect the fair value option on financial assets and liabilities transacted during the year ended December 31, 2008. Therefore, the adoption of SFAS 159 had no impact on the Company’s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Effective January 1, 2008, the Company adopted Statement of Financial Accounting Standards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(“SFAS 157”) for our financial assets and liabilities that are remeasured and reported at fair value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As of December 31, 2008, the Company does not have any assets measured at fair value. The adoption of SFAS 157 to our financial assets and liabilities that are remeasured and reported at fair value at least annually did not have any impact on our financial results.</w:t>
      </w:r>
    </w:p>
    <w:p>
      <w:pPr>
        <w:spacing w:after="0" w:line="16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In accordance with provisions of FSP No. FAS 157-2 — </w:t>
      </w:r>
      <w:r>
        <w:rPr>
          <w:rFonts w:ascii="Arial" w:cs="Arial" w:eastAsia="Arial" w:hAnsi="Arial"/>
          <w:sz w:val="18"/>
          <w:szCs w:val="18"/>
          <w:i w:val="1"/>
          <w:iCs w:val="1"/>
          <w:color w:val="auto"/>
        </w:rPr>
        <w:t>Effective Date of Financial Accounting Standards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157, </w:t>
      </w:r>
      <w:r>
        <w:rPr>
          <w:rFonts w:ascii="Arial" w:cs="Arial" w:eastAsia="Arial" w:hAnsi="Arial"/>
          <w:sz w:val="18"/>
          <w:szCs w:val="18"/>
          <w:color w:val="auto"/>
        </w:rPr>
        <w:t>the Company has elected to defer implementation of SFAS 157 as it relates to our non-financial assets and non-financial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recognized and disclosed at fair value in the financial statements on a non-recurring basis until January 1, 2009. Management does not anticipate the adoption of this FSP will have a material impact on the Company’s financial statements.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85"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In May 2008, the FASB issued Staff Position No. APB 14-1, </w:t>
      </w:r>
      <w:r>
        <w:rPr>
          <w:rFonts w:ascii="Arial" w:cs="Arial" w:eastAsia="Arial" w:hAnsi="Arial"/>
          <w:sz w:val="17"/>
          <w:szCs w:val="17"/>
          <w:i w:val="1"/>
          <w:iCs w:val="1"/>
          <w:color w:val="auto"/>
        </w:rPr>
        <w:t>Accounting for Convertible Debt Instruments that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Settled in Cash Upon Conversion </w:t>
      </w:r>
      <w:r>
        <w:rPr>
          <w:rFonts w:ascii="Arial" w:cs="Arial" w:eastAsia="Arial" w:hAnsi="Arial"/>
          <w:sz w:val="17"/>
          <w:szCs w:val="17"/>
          <w:color w:val="auto"/>
        </w:rPr>
        <w:t>(“FSP APB 14-1”). FSP APB 14-1 requires that the liability and equity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FSP APB 14-1 applies to all of the convertible notes that we have had outstanding. Accordingly, the implementation of FSP APB 14-1 on January 1, 2009 is expected to increase the amount of interest expense we report. Upon adoption in our 2009 financial statements, FSP APB 14-1 requires retrospective application back to 2007. Accordingly, we expect that the implementation of FSP APB 14-1 will increase our currently reported interest expense for 2007 and 2008 by $13.4 million and $12.5 million, respectively, and by $11.5 million for 2009, $8.7 million for 2010, $6.7 million for 2011, and $2.9 million for 2012. Early adoption of FSP APB 14-1 is not permitted.</w:t>
      </w:r>
    </w:p>
    <w:p>
      <w:pPr>
        <w:spacing w:after="0" w:line="15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 xml:space="preserve">In March 2008, the FASB issued Statement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the Company’s derivatives and hedging activities, the adoption of FAS 161 is not expected to affect the Company’s financial position or results of operations.</w:t>
      </w:r>
    </w:p>
    <w:p>
      <w:pPr>
        <w:spacing w:after="0" w:line="12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 xml:space="preserve">In December 2007, the FASB issued Statement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(“Statement 141(R)”), a replacement of FASB Statement No. 141. Statement 141(R) is effective for fiscal years beginning on or after December 15, 2008 and applies to all business combinations. Statement 141(R) changes the practice for accounting for business combinations, such as requiring that we (1) expense transaction costs as incurred, rather than capitalizing them as part of the purchase price; (2) record contingent consideration arrangements and pre-acquisition contingencies, such as legal issues, at fair value at the acquisition date, with subsequent changes in fair value recorded in the income statement; (3) capitalize the fair value of acquired research and development assets separately from goodwill, whereas we previously determined the acquisition-date fair value and then immediately charged the value to expense; and (4) limit the conditions under which restructuring expenses can be accrued in the opening balance sheet of a target to only those where the requirements in FASB Statement No.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Associated with Exit or Disposal Activities</w:t>
      </w:r>
      <w:r>
        <w:rPr>
          <w:rFonts w:ascii="Arial" w:cs="Arial" w:eastAsia="Arial" w:hAnsi="Arial"/>
          <w:sz w:val="16"/>
          <w:szCs w:val="16"/>
          <w:color w:val="auto"/>
        </w:rPr>
        <w:t>, would have been met at the acquisition date. Additionally, Statement 141(R)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that, upon initially obtaining control, an acquirer shall recognize 100 percent of the fair values of acquired assets, including goodwill, and assumed liabilities, with only limited exceptions, even if the acquirer has not acquired 100 percent of its target. The implementation of Statement 141(R) on January 1, 2009 could result in an increase or decrease in future selling, general and administrative and other operating expenses, depending upon the extent of our acquisition related activities going forward.</w:t>
      </w:r>
    </w:p>
    <w:p>
      <w:pPr>
        <w:spacing w:after="0" w:line="13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April 2008, the FASB issued FASB Staff Position (“FSP”) FAS 142-3, </w:t>
      </w:r>
      <w:r>
        <w:rPr>
          <w:rFonts w:ascii="Arial" w:cs="Arial" w:eastAsia="Arial" w:hAnsi="Arial"/>
          <w:sz w:val="17"/>
          <w:szCs w:val="17"/>
          <w:i w:val="1"/>
          <w:iCs w:val="1"/>
          <w:color w:val="auto"/>
        </w:rPr>
        <w:t>Determination of the Useful Life of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This FSP amends the factors that should be considered in developing renewal or extension assumptions used to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useful life of a recognized intangible asset under Statement of Financial Accounting Standards No. 142,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(“SFAS 142”). The intent of this FSP is to improve the consistency between the useful life of a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 under SFAS 142 and the period of expected cash flows used to measure the fair value of the asset under Statement 141(R), and other generally accepted accounting principles. This FSP is effective for fiscal years beginning after December 15, 2008. Early adoption is prohibited. The Company is required to adopt FSP, FAS142-3 for the fiscal year beginning January 1, 2009. Management does not anticipate that the adoption of this FSP will have a material impact on the Company’s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May 2008, the FASB issued Statement of Financial Accounting Standards No. 162, </w:t>
      </w:r>
      <w:r>
        <w:rPr>
          <w:rFonts w:ascii="Arial" w:cs="Arial" w:eastAsia="Arial" w:hAnsi="Arial"/>
          <w:sz w:val="17"/>
          <w:szCs w:val="17"/>
          <w:i w:val="1"/>
          <w:iCs w:val="1"/>
          <w:color w:val="auto"/>
        </w:rPr>
        <w:t>The Hierarchy of Generally Accepted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Principles </w:t>
      </w:r>
      <w:r>
        <w:rPr>
          <w:rFonts w:ascii="Arial" w:cs="Arial" w:eastAsia="Arial" w:hAnsi="Arial"/>
          <w:sz w:val="17"/>
          <w:szCs w:val="17"/>
          <w:color w:val="auto"/>
        </w:rPr>
        <w:t>(“SFAS 162”). SFAS 162 identifies the sources of accounting principles and the framework for selecting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principles used in the preparation of financial statements of nongovernmental entities that are presented in conformity with GAAP in the U.S. Any effect of applying the provisions of SFAS 162 shall be reported as a change in accounting principle in accordance with Statement of Financial Accounting Standards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the Company’s financial statements.</w:t>
      </w:r>
    </w:p>
    <w:p>
      <w:pPr>
        <w:spacing w:after="0" w:line="15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In June 2008, the FASB issued Staff Position EITF 03-6-1, </w:t>
      </w:r>
      <w:r>
        <w:rPr>
          <w:rFonts w:ascii="Arial" w:cs="Arial" w:eastAsia="Arial" w:hAnsi="Arial"/>
          <w:sz w:val="18"/>
          <w:szCs w:val="18"/>
          <w:i w:val="1"/>
          <w:iCs w:val="1"/>
          <w:color w:val="auto"/>
        </w:rPr>
        <w:t>Determining Whether Instruments Granted in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Transactions Are Participating Securities </w:t>
      </w:r>
      <w:r>
        <w:rPr>
          <w:rFonts w:ascii="Arial" w:cs="Arial" w:eastAsia="Arial" w:hAnsi="Arial"/>
          <w:sz w:val="18"/>
          <w:szCs w:val="18"/>
          <w:color w:val="auto"/>
        </w:rPr>
        <w:t>(“FSP EITF 03-6-1”), which is effective January 1, 2009. FSP EITF 03-6-1</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that share-based payment awards that entitle holders to receive non-forfeitable dividends before they vest will be considered participating securities and included in the basic earnings per share calculation. Management is still assessing the impact of adoption of FSP EITF 03-6-1 on our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Minnesota Scientific, Inc.</w:t>
      </w:r>
    </w:p>
    <w:p>
      <w:pPr>
        <w:spacing w:after="0" w:line="185"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7"/>
          <w:szCs w:val="17"/>
          <w:color w:val="auto"/>
        </w:rPr>
        <w:t>In December 2008, the Company acquired Minnesota Scientific, Inc., doing business as Omni-Tract Surgical (“Omni-Tract”), for $6.4 million in cash paid at closing, 310,000 unregistered shares of the Company’s common stock valued at $10.7 million (of which 135,000 shares were issued at closing, with the remainder issued in January 2009), and $0.3 million in transaction related costs, subject to certain adjustments. Omni-Tract is a global leader in the development and manufacture of table mounted retractors and is based in St. Paul, Minnesota. Omni-Tract markets and sells these retractor systems for use in vascular, bariatric, general, urologic, orthopedic, spine, pediatric, and laparoscopic surgery. The Company will integrate Omni-Tract’s product lines into its combined offering of JARIT</w:t>
      </w:r>
      <w:r>
        <w:rPr>
          <w:rFonts w:ascii="Arial" w:cs="Arial" w:eastAsia="Arial" w:hAnsi="Arial"/>
          <w:sz w:val="25"/>
          <w:szCs w:val="25"/>
          <w:color w:val="auto"/>
          <w:vertAlign w:val="superscript"/>
        </w:rPr>
        <w:t>®</w:t>
      </w:r>
      <w:r>
        <w:rPr>
          <w:rFonts w:ascii="Arial" w:cs="Arial" w:eastAsia="Arial" w:hAnsi="Arial"/>
          <w:sz w:val="17"/>
          <w:szCs w:val="17"/>
          <w:color w:val="auto"/>
        </w:rPr>
        <w:t>, Padgett™, R&amp;B Redmond™, and Luxtec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lines of surgical instruments and illumination systems sold by the Integra Medical Instruments sales organization.</w:t>
      </w:r>
    </w:p>
    <w:p>
      <w:pPr>
        <w:spacing w:after="0" w:line="16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w w:val="96"/>
              </w:rPr>
              <w:t>Wtd. Avg. Life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3,816</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Tradename</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13,084</w:t>
            </w:r>
          </w:p>
        </w:tc>
        <w:tc>
          <w:tcPr>
            <w:tcW w:w="1440" w:type="dxa"/>
            <w:vAlign w:val="bottom"/>
          </w:tcPr>
          <w:p>
            <w:pPr>
              <w:ind w:left="340"/>
              <w:spacing w:after="0"/>
              <w:rPr>
                <w:sz w:val="20"/>
                <w:szCs w:val="20"/>
                <w:color w:val="auto"/>
              </w:rPr>
            </w:pPr>
            <w:r>
              <w:rPr>
                <w:rFonts w:ascii="Arial" w:cs="Arial" w:eastAsia="Arial" w:hAnsi="Arial"/>
                <w:sz w:val="18"/>
                <w:szCs w:val="18"/>
                <w:color w:val="auto"/>
              </w:rPr>
              <w:t>Indefinite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144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Total assets acquired</w:t>
            </w: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23,753</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Deferred tax liabilities — non current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6,365</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assets acquired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2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Management determined the preliminary fair value of assets acquired during the fourth quarter of 2008. The goodwill recorded in connection with this acquisition is based on the benefits the Company expects to generate from Omni-Tract’s future cash flows. Certain elements of the purchase price allocation are considered preliminary, particularly as they relate to the final valuation of certain identifiable intangible assets, deferred taxes and final assessment of certain pre-acquisition tax and other contingencies.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Integra Neurosciences Pty Ltd.</w:t>
      </w:r>
    </w:p>
    <w:p>
      <w:pPr>
        <w:spacing w:after="0" w:line="198"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(3.1 million Australian Dollars) in future payments based on the performance of business in the three years after closing. With this acquisition of the Company’s long-standing distributor, the Company now has a direct selling presence in Australia and New Zealand.</w:t>
      </w:r>
    </w:p>
    <w:p>
      <w:pPr>
        <w:spacing w:after="0" w:line="14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c>
          <w:tcPr>
            <w:tcW w:w="14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4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w w:val="96"/>
              </w:rPr>
              <w:t>Wtd. Avg. Life</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4,367</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 years</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Tradename</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1 year</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6,351</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non current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144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2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firstLine="373"/>
        <w:spacing w:after="0" w:line="312" w:lineRule="auto"/>
        <w:rPr>
          <w:sz w:val="20"/>
          <w:szCs w:val="20"/>
          <w:color w:val="auto"/>
        </w:rPr>
      </w:pPr>
      <w:r>
        <w:rPr>
          <w:rFonts w:ascii="Arial" w:cs="Arial" w:eastAsia="Arial" w:hAnsi="Arial"/>
          <w:sz w:val="16"/>
          <w:szCs w:val="16"/>
          <w:color w:val="auto"/>
        </w:rPr>
        <w:t>Management determined the preliminary fair value of assets acquired during the fourth quarter of 2008. Certain elements of the purchase price allocation are considered preliminary, particularly as they relate to the final valuation of certain identifiable intangible assets, deferred taxes and final assessment of certain pre-acquisition tax and other contingencies.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Theken</w:t>
      </w:r>
    </w:p>
    <w:p>
      <w:pPr>
        <w:spacing w:after="0" w:line="185"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In August 2008 the Company acquired Theken Spine, LLC, Theken Disc, LLC and Therics, LLC (collectively, “Theken”) for $75.0 million in cash, subject to certain adjustments, acquisition expenses of $2.4 million, working capital adjustments of $3.9 million, and up to $125.0 million in future payments based on the revenue performance of the business in the two years after closing. Theken, based in Akron, Ohio, designs, develops and manufactures spinal fixation products, synthetic bone substitute products and spinal arthroplasty products.</w:t>
      </w:r>
    </w:p>
    <w:p>
      <w:pPr>
        <w:spacing w:after="0" w:line="14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8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Inventory</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15,130</w:t>
            </w: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5,969</w:t>
            </w:r>
          </w:p>
        </w:tc>
        <w:tc>
          <w:tcPr>
            <w:tcW w:w="18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current assets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699</w:t>
            </w: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8,244</w:t>
            </w:r>
          </w:p>
        </w:tc>
        <w:tc>
          <w:tcPr>
            <w:tcW w:w="18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Wtd. Avg. Life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Technology</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13,470</w:t>
            </w:r>
          </w:p>
        </w:tc>
        <w:tc>
          <w:tcPr>
            <w:tcW w:w="1800" w:type="dxa"/>
            <w:vAlign w:val="bottom"/>
          </w:tcPr>
          <w:p>
            <w:pPr>
              <w:ind w:left="180"/>
              <w:spacing w:after="0"/>
              <w:rPr>
                <w:sz w:val="20"/>
                <w:szCs w:val="20"/>
                <w:color w:val="auto"/>
              </w:rPr>
            </w:pPr>
            <w:r>
              <w:rPr>
                <w:rFonts w:ascii="Arial" w:cs="Arial" w:eastAsia="Arial" w:hAnsi="Arial"/>
                <w:sz w:val="18"/>
                <w:szCs w:val="18"/>
                <w:color w:val="auto"/>
              </w:rPr>
              <w:t>11 years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15,630</w:t>
            </w: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 years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25,240</w:t>
            </w:r>
          </w:p>
        </w:tc>
        <w:tc>
          <w:tcPr>
            <w:tcW w:w="1800" w:type="dxa"/>
            <w:vAlign w:val="bottom"/>
          </w:tcPr>
          <w:p>
            <w:pPr>
              <w:ind w:left="180"/>
              <w:spacing w:after="0"/>
              <w:rPr>
                <w:sz w:val="20"/>
                <w:szCs w:val="20"/>
                <w:color w:val="auto"/>
              </w:rPr>
            </w:pPr>
            <w:r>
              <w:rPr>
                <w:rFonts w:ascii="Arial" w:cs="Arial" w:eastAsia="Arial" w:hAnsi="Arial"/>
                <w:sz w:val="18"/>
                <w:szCs w:val="18"/>
                <w:color w:val="auto"/>
                <w:w w:val="88"/>
              </w:rPr>
              <w:t>Expensed immediately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6,395</w:t>
            </w:r>
          </w:p>
        </w:tc>
        <w:tc>
          <w:tcPr>
            <w:tcW w:w="18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assets acquired</w:t>
            </w:r>
          </w:p>
        </w:tc>
        <w:tc>
          <w:tcPr>
            <w:tcW w:w="25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90,945</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9,716</w:t>
            </w:r>
          </w:p>
        </w:tc>
        <w:tc>
          <w:tcPr>
            <w:tcW w:w="18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assets acquired</w:t>
            </w:r>
          </w:p>
        </w:tc>
        <w:tc>
          <w:tcPr>
            <w:tcW w:w="25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81,229</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0" w:type="dxa"/>
            <w:vAlign w:val="bottom"/>
            <w:gridSpan w:val="2"/>
          </w:tcPr>
          <w:p>
            <w:pPr>
              <w:jc w:val="right"/>
              <w:ind w:right="1770"/>
              <w:spacing w:after="0"/>
              <w:rPr>
                <w:sz w:val="20"/>
                <w:szCs w:val="20"/>
                <w:color w:val="auto"/>
              </w:rPr>
            </w:pPr>
            <w:r>
              <w:rPr>
                <w:rFonts w:ascii="Arial" w:cs="Arial" w:eastAsia="Arial" w:hAnsi="Arial"/>
                <w:sz w:val="18"/>
                <w:szCs w:val="18"/>
                <w:color w:val="auto"/>
              </w:rPr>
              <w:t>F-16</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Management determined the preliminary fair value of assets acquired during the third quarter of 2008. The in-process research and development has not yet reached technological feasibility and has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is based on the benefits the Company expects to generate from Theken’s future cash flows. Certain elements of the purchase price allocation are considered preliminary, particularly as they relate to the final valuation of taxes and other contingencies. Additional changes are not expected to be significant as the allocations are finalized.</w:t>
      </w:r>
    </w:p>
    <w:p>
      <w:pPr>
        <w:spacing w:after="0" w:line="14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fair value of the in-process research and development was determined by estimating the costs to develop the acquired technology into commercially viable products and estimating the net present value of the resulting net cash flows from these projects. These cash flows were based on our best estimates of revenue, cost of sales, research and development costs, selling, general and administrative costs and income taxes from the development projects. A summary of the estimates used to calculate the net cash flows for the projects is as follows: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Year net cash</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Discount rate including</w:t>
            </w:r>
          </w:p>
        </w:tc>
        <w:tc>
          <w:tcPr>
            <w:tcW w:w="17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9"/>
              </w:rPr>
              <w:t>Acquired In-Process</w:t>
            </w: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In-flows expected</w:t>
            </w: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factor to account for</w:t>
            </w:r>
          </w:p>
        </w:tc>
        <w:tc>
          <w:tcPr>
            <w:tcW w:w="18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Research and</w:t>
            </w: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begin</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uncertainty of success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Development</w:t>
            </w:r>
          </w:p>
        </w:tc>
        <w:tc>
          <w:tcPr>
            <w:tcW w:w="140" w:type="dxa"/>
            <w:vAlign w:val="bottom"/>
            <w:gridSpan w:val="2"/>
          </w:tcPr>
          <w:p>
            <w:pPr>
              <w:spacing w:after="0"/>
              <w:rPr>
                <w:sz w:val="20"/>
                <w:szCs w:val="20"/>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eDisc artificial lumbar disc</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2013</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8"/>
              </w:rPr>
              <w:t>13.0 million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eDisc artificial cervical disc</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2016</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7.2 million</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Spinal fixation implants</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2009</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 million</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All other</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2009</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0.3 million</w:t>
            </w:r>
          </w:p>
        </w:tc>
        <w:tc>
          <w:tcPr>
            <w:tcW w:w="40" w:type="dxa"/>
            <w:vAlign w:val="bottom"/>
          </w:tcPr>
          <w:p>
            <w:pPr>
              <w:spacing w:after="0"/>
              <w:rPr>
                <w:sz w:val="20"/>
                <w:szCs w:val="20"/>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Precise Dental</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On December 1, 2007 the Company acquired all of the outstanding stock of the Precise Dental family of companies (“Precise”) for $10.5 million in cash, and $0.6 million in acquisition expenses and working capital adjustments. The Precise Dental family of companies is comprised of Precise Dental Products, Ltd., Precision Dental International, Inc., Precise Dental Holding Corp. and Precise Dental Internacional, S.A. de C.V., a Mexican corporation. The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 The Company will integrate the acquired Canoga Park procurement and distribution functions into its York, Pennsylvania dental operations and will manage the manufacturing operations in Mexico.</w:t>
      </w:r>
    </w:p>
    <w:p>
      <w:pPr>
        <w:spacing w:after="0" w:line="17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Management determined the preliminary fair value of assets acquired during the fourth quarter of 2007. The purchase price allocation was finalized during the fourth quarter of 2008 with only minor changes recorded to goodwill. The goodwill recorded in connection with this acquisition is based on the benefits the Company expects to generate from Precise’s future cash flows.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IsoTis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7"/>
          <w:szCs w:val="17"/>
          <w:color w:val="auto"/>
        </w:rPr>
        <w:t>On October 29, 2007, the Company acquired all of the outstanding stock of IsoTis, Inc. and subsidiaries (“IsoTis”) for $64.0 million in cash, subject to certain adjustments and acquisition expenses of $4.7 million. IsoTis, Inc and subsidiaries is comprised of IsoTis, Inc., IsoTis OrthoBiologics, Inc., IsoTis NV and IsoTis International SA. IsoTis, based in Irvine, California, is an orthobiologics company that develops, manufacturers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 IsoTis’ current commercial business is highlighted by its Accell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line of products, which it believes represents the next generation in bone graft substitutes.</w:t>
      </w:r>
    </w:p>
    <w:p>
      <w:pPr>
        <w:spacing w:after="0" w:line="15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Management determined the preliminary fair value of assets acquired during the fourth quarter of 2007. The purchase price allocation was finalized during the fourth quarter of 2008 with changes recorded to goodwill and to deferred taxes for the release of a valuation allowance. The Company recorded an in-process research and development charge of $4.6 million in the fourth quarter of 2007 in connection with this acquisition, which is included in Research and development expense. The in-process research and development has not yet reached technological feasibility and has no alternative future use at the date of acquisition. The goodwill recorded in connection with this acquisition is based on the benefits the Company expects to generate from IsoTis’ future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Physician Industries</w:t>
      </w:r>
    </w:p>
    <w:p>
      <w:pPr>
        <w:spacing w:after="0" w:line="198"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On May 11, 2007, the Company acquired certain assets of the pain management business of Physician Industries, Inc. (“Physician Industries”) for approximately $4.0 million in cash, subject to certain adjustments and acquisition expenses of $0.1 million. In addition, the Company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has been combined with the Company’s similar Spinal Specialties products line and the products are sold under the name Integra Pain Management.</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Management determined the preliminary fair value of assets acquired during the second quarter of 2007. The purchase price allocation was finalized during the fourth quarter of 2007 with only minor changes recorded to goodwill. The goodwill recorded in connection with this acquisition is based on the benefits the Company expects to generate from Physician Industries’ future cash flows.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LXU Healthcare, Inc.</w:t>
      </w:r>
    </w:p>
    <w:p>
      <w:pPr>
        <w:spacing w:after="0" w:line="1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On May 8, 2007, the Company acquired the shares of LXU Healthcare, Inc. (“LXU”) for $30.0 million in cash paid at closing subject to certain adjustments and $0.5 million of acquisition-related expenses. LXU is operated as part of the Company’s surgical instruments business. We received proceeds of $0.4 million from escrow accounts in the third quarter of 2007 relating to adjustments for working capital and benefit plans, which was accounted for as a reduction in the total purchase price. LXU, based in West Boylston, Massachusetts, was comprised of three distinct businesses:</w:t>
      </w:r>
    </w:p>
    <w:p>
      <w:pPr>
        <w:spacing w:after="0" w:line="132" w:lineRule="exact"/>
        <w:rPr>
          <w:sz w:val="20"/>
          <w:szCs w:val="20"/>
          <w:color w:val="auto"/>
        </w:rPr>
      </w:pPr>
    </w:p>
    <w:p>
      <w:pPr>
        <w:jc w:val="both"/>
        <w:ind w:left="1420" w:right="559" w:hanging="345"/>
        <w:spacing w:after="0" w:line="223" w:lineRule="auto"/>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Luxtec </w:t>
      </w:r>
      <w:r>
        <w:rPr>
          <w:rFonts w:ascii="Arial" w:cs="Arial" w:eastAsia="Arial" w:hAnsi="Arial"/>
          <w:sz w:val="18"/>
          <w:szCs w:val="18"/>
          <w:color w:val="auto"/>
        </w:rPr>
        <w:t>— The market-leading manufacturer of fiber optic headlight systems for the medical industry through its</w:t>
      </w:r>
      <w:r>
        <w:rPr>
          <w:rFonts w:ascii="Arial" w:cs="Arial" w:eastAsia="Arial" w:hAnsi="Arial"/>
          <w:sz w:val="18"/>
          <w:szCs w:val="18"/>
          <w:i w:val="1"/>
          <w:iCs w:val="1"/>
          <w:color w:val="auto"/>
        </w:rPr>
        <w:t xml:space="preserve"> </w:t>
      </w:r>
      <w:r>
        <w:rPr>
          <w:rFonts w:ascii="Arial" w:cs="Arial" w:eastAsia="Arial" w:hAnsi="Arial"/>
          <w:sz w:val="18"/>
          <w:szCs w:val="18"/>
          <w:color w:val="auto"/>
        </w:rPr>
        <w:t>Luxtec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The Luxtec products are manufactured in a 31,000 square foot leased facility located in West Boylston.</w:t>
      </w:r>
    </w:p>
    <w:p>
      <w:pPr>
        <w:spacing w:after="0" w:line="161" w:lineRule="exact"/>
        <w:rPr>
          <w:rFonts w:ascii="Arial" w:cs="Arial" w:eastAsia="Arial" w:hAnsi="Arial"/>
          <w:sz w:val="18"/>
          <w:szCs w:val="18"/>
          <w:b w:val="1"/>
          <w:bCs w:val="1"/>
          <w:color w:val="auto"/>
        </w:rPr>
      </w:pPr>
    </w:p>
    <w:p>
      <w:pPr>
        <w:jc w:val="both"/>
        <w:ind w:left="1420" w:right="559" w:hanging="345"/>
        <w:spacing w:after="0" w:line="312" w:lineRule="auto"/>
        <w:tabs>
          <w:tab w:leader="none" w:pos="1420" w:val="left"/>
        </w:tabs>
        <w:numPr>
          <w:ilvl w:val="0"/>
          <w:numId w:val="1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LXU Medical </w:t>
      </w:r>
      <w:r>
        <w:rPr>
          <w:rFonts w:ascii="Arial" w:cs="Arial" w:eastAsia="Arial" w:hAnsi="Arial"/>
          <w:sz w:val="16"/>
          <w:szCs w:val="16"/>
          <w:color w:val="auto"/>
        </w:rPr>
        <w:t>— A leading specialty surgical products distributor with a sales force calling on surgeons and key</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decision makers, covering 18,000 operating rooms in the southeastern, midwestern and mid-Atlantic U.S. LXU Medical is the exclusive distributor of the Luxtec fiber optic headlight systems in these territories.</w:t>
      </w:r>
    </w:p>
    <w:p>
      <w:pPr>
        <w:spacing w:after="0" w:line="119" w:lineRule="exact"/>
        <w:rPr>
          <w:rFonts w:ascii="Arial" w:cs="Arial" w:eastAsia="Arial" w:hAnsi="Arial"/>
          <w:sz w:val="16"/>
          <w:szCs w:val="16"/>
          <w:b w:val="1"/>
          <w:bCs w:val="1"/>
          <w:color w:val="auto"/>
        </w:rPr>
      </w:pPr>
    </w:p>
    <w:p>
      <w:pPr>
        <w:ind w:left="1420" w:hanging="345"/>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Bimeco </w:t>
      </w:r>
      <w:r>
        <w:rPr>
          <w:rFonts w:ascii="Arial" w:cs="Arial" w:eastAsia="Arial" w:hAnsi="Arial"/>
          <w:sz w:val="18"/>
          <w:szCs w:val="18"/>
          <w:color w:val="auto"/>
        </w:rPr>
        <w:t>— A critical care products distributor with direct sales coverage in the southeastern U.S.</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As was the intention at the time of the acquisition, the Company wound down the Bimeco business, which was not aligned with the Company’s strategy. The Company integrated the LXU Medical sales force and distributor network with the Integra Medical Instruments sales and distribution organization.</w:t>
      </w:r>
    </w:p>
    <w:p>
      <w:pPr>
        <w:spacing w:after="0" w:line="14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Management determined the preliminary fair value of assets acquired during the second quarter of 2007. The purchase price allocation was finalized during the fourth quarter of 2007 with only minor changes recorded to goodwill. The goodwill recorded in connection with this acquisition is based on the benefits the Company expects to generate from LXU’s future cash flows.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DenLite</w:t>
      </w:r>
    </w:p>
    <w:p>
      <w:pPr>
        <w:spacing w:after="0" w:line="185" w:lineRule="exact"/>
        <w:rPr>
          <w:sz w:val="20"/>
          <w:szCs w:val="20"/>
          <w:color w:val="auto"/>
        </w:rPr>
      </w:pPr>
    </w:p>
    <w:p>
      <w:pPr>
        <w:jc w:val="both"/>
        <w:ind w:left="340" w:right="559" w:firstLine="373"/>
        <w:spacing w:after="0" w:line="197" w:lineRule="auto"/>
        <w:rPr>
          <w:sz w:val="20"/>
          <w:szCs w:val="20"/>
          <w:color w:val="auto"/>
        </w:rPr>
      </w:pPr>
      <w:r>
        <w:rPr>
          <w:rFonts w:ascii="Arial" w:cs="Arial" w:eastAsia="Arial" w:hAnsi="Arial"/>
          <w:sz w:val="18"/>
          <w:szCs w:val="18"/>
          <w:color w:val="auto"/>
        </w:rPr>
        <w:t>On January 3, 2007, the Company’s subsidiary Miltex, Inc. acquired the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line from Welch Allyn in an asset purchase for $2.2 million in cash paid at closing and approximately $35,000 of acquisition-related expenses.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lighted mouth mirror used in dental procedures.</w:t>
      </w:r>
    </w:p>
    <w:p>
      <w:pPr>
        <w:spacing w:after="0" w:line="16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Management determined the preliminary fair value of assets acquired during the first quarter of 2007. The purchase price allocation was finalized in the second quarter of 2007 with no changes being recorded.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Radionics</w:t>
      </w:r>
    </w:p>
    <w:p>
      <w:pPr>
        <w:spacing w:after="0" w:line="185" w:lineRule="exact"/>
        <w:rPr>
          <w:sz w:val="20"/>
          <w:szCs w:val="20"/>
          <w:color w:val="auto"/>
        </w:rPr>
      </w:pPr>
    </w:p>
    <w:p>
      <w:pPr>
        <w:jc w:val="both"/>
        <w:ind w:left="340" w:right="559" w:firstLine="373"/>
        <w:spacing w:after="0" w:line="212" w:lineRule="auto"/>
        <w:rPr>
          <w:sz w:val="20"/>
          <w:szCs w:val="20"/>
          <w:color w:val="auto"/>
        </w:rPr>
      </w:pPr>
      <w:r>
        <w:rPr>
          <w:rFonts w:ascii="Arial" w:cs="Arial" w:eastAsia="Arial" w:hAnsi="Arial"/>
          <w:sz w:val="18"/>
          <w:szCs w:val="18"/>
          <w:color w:val="auto"/>
        </w:rPr>
        <w:t>On March 3, 2006, the Company acquired the assets of the Radionics Division of Tyco Healthcare Group, L.P.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 minimally invasive medical instruments in the fields of neurosurgery and radiation therapy. Radionics’ products include the CUSA Excel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ultrasonic surgical aspiration system, the CRW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stereotactic system, the XKnife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stereotactic radiosurgery system, the OmniSight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stereotactic radiosurgery system, and the OmniSight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EXcel image-guide surgery system.</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Management determined the preliminary fair value of assets acquired in the first quarter of 2006. The purchase price allocation was finalized during the second quarter of 2006 with only minor changes recorded to goodwill.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Miltex</w:t>
      </w:r>
    </w:p>
    <w:p>
      <w:pPr>
        <w:spacing w:after="0" w:line="185"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8"/>
          <w:szCs w:val="18"/>
          <w:color w:val="auto"/>
        </w:rPr>
        <w:t>On May 12, 2006, the Company acquired all of the outstanding capital stock of Miltex Holdings, Inc. (“Miltex”) for $102.7 million in cash paid at closing, subject to certain adjustments, and $0.6 million of transaction-related costs. Miltex, based in York, Pennsylvania, is a leading provider of surgical and dental offices and ambulatory surgery care sectors. Miltex sells products under the Miltex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Meisterhand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Vantage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Moyco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Union Broach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and Thompson</w:t>
      </w:r>
      <w:r>
        <w:rPr>
          <w:rFonts w:ascii="Arial" w:cs="Arial" w:eastAsia="Arial" w:hAnsi="Arial"/>
          <w:sz w:val="10"/>
          <w:szCs w:val="10"/>
          <w:color w:val="auto"/>
        </w:rPr>
        <w:t>TM</w:t>
      </w:r>
      <w:r>
        <w:rPr>
          <w:rFonts w:ascii="Arial" w:cs="Arial" w:eastAsia="Arial" w:hAnsi="Arial"/>
          <w:sz w:val="18"/>
          <w:szCs w:val="18"/>
          <w:color w:val="auto"/>
        </w:rPr>
        <w:t xml:space="preserve"> trademarks in over 65 countries, using a network of independent distributors. Miltex operates a manufacturing and distribution facility in York, Pennsylvania and also operates a leased facility in Tuttlingen, Germany where Miltex’s staff coordinates designs, production and delivery of instruments. The consolidated financial statements include the results of operations for Miltex from the date of acquisition.</w:t>
      </w:r>
    </w:p>
    <w:p>
      <w:pPr>
        <w:spacing w:after="0" w:line="164"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Management determined the preliminary fair value of assets acquired in the second quarter of 2006. Certain adjustments were made in the third quarter of 2006 relating to the Miltex valuation, the most significant of which resulted in the recognition of a $29.3 million supplier relationship intangible asset, a decrease of $1.9 million in the customer relationship intangible asset, a decrease in goodwill of $13.8 million and an increase in deferred tax liabilities of $11.7 million. A portion of the goodwill acquired in the Miltex acquisition is expected to be deductible for tax purposes. The purchase price allocation was finalized in the fourth quarter of 2006 with an increase of $5.0 million to goodwill and an increase of $5.0 million to other non-current liabilities as the Company finalized its assessment of pre-acquisition tax contingencies. During 2007 and 2008, goodwill was increased as a result of additional costs incurred, a FIN 48 tax adjustment and the loss of the use of tax benefits, net of a partial refund from the seller.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Canada Microsurgical, Ltd.</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On July 6, 2006, the Company acquired all of the outstanding capital stock of Canada Microsurgical, Ltd. (“CML”) for $5.8 million in cash paid at closing, subject to certain adjustments, $0.1 million working capital adjustment and $0.2 million of transaction-related costs. In addition, the Company may pay up to an additional $1.9 million (2.1 million Canadian dollars) over the three years from the date of acquisition, depending on the performance of the business, including $1.4 million paid in 2008 and 2007. If and when such amounts are paid, then those payments will be added to goodwill. CML, a long-standing distributor for the company, has eight sales representatives who cover all of the provinces in Canada. The consolidated financial statements include the results of operations for CML from the date of acquisition.</w:t>
      </w:r>
    </w:p>
    <w:p>
      <w:pPr>
        <w:spacing w:after="0" w:line="137"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Management determined the preliminary fair value of assets acquired during the third quarter of 2006. Certain adjustments were made in the fourth quarter of 2006 as management finalized the CML valuation. The purchase price allocation was finalized during the fourth quarter of 2006 with only minor changes recorded to goodwill and deferred taxes. During 2008 and 2007, additional purchase price consideration of $1.4 million (1.4 million Canadian dollars) was paid in the form of an earn-out. These payments were recorded against a deferred purchase liability and to goodwill.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Kinetikos Medical, Inc.</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On July 31, 2006, the Company acquired all of the outstanding capital stock of Kinetikos Medical, Inc. (“KMI”) for $39.5 million in cash paid at closing, subject to certain adjustments, $0.5 million in cash paid after closing, $0.6 million as a working capital adjustment and $1.1 million of transaction related costs. In addition, the Company may pay up to an additional $20 million over the next two years depending on the performance of the business. If and when such amounts are paid, then those payments will be added to goodwill. Subsequent to closing, the Company implemented certain changes in the KMI business, including eliminating approximately one-half of the positions located in the Carlsbad, California facility. In addition, the Company discontinued operating under the name of KMI effective January 1, 2007, has exited the Carlsbad facility and moved the remaining operations to its San Diego facility during 2007. A restructuring provision of $360,000 has been recorded in the opening balance sheet in connection with these plans as part of the purchase price allocation based on the guidance included in Emerging Issues Task Force (“EITF”) 95-3, Recognition of Liabilities in Connection with a Purchase Business Combination.</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2" w:lineRule="auto"/>
        <w:rPr>
          <w:sz w:val="20"/>
          <w:szCs w:val="20"/>
          <w:color w:val="auto"/>
        </w:rPr>
      </w:pPr>
      <w:r>
        <w:rPr>
          <w:rFonts w:ascii="Arial" w:cs="Arial" w:eastAsia="Arial" w:hAnsi="Arial"/>
          <w:sz w:val="17"/>
          <w:szCs w:val="17"/>
          <w:color w:val="auto"/>
        </w:rPr>
        <w:t>KMI, is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treatments of fractures of small bones most commonly found in the extremities. The Company has integrated the KMI product line into its U.S. direct sales force while maintaining seven former KMI independent sales agencies. The Company plans to increase sales of KMI products internationally through its well-established Newdeal infrastructure.</w:t>
      </w:r>
    </w:p>
    <w:p>
      <w:pPr>
        <w:spacing w:after="0" w:line="151" w:lineRule="exact"/>
        <w:rPr>
          <w:sz w:val="20"/>
          <w:szCs w:val="20"/>
          <w:color w:val="auto"/>
        </w:rPr>
      </w:pPr>
    </w:p>
    <w:p>
      <w:pPr>
        <w:jc w:val="both"/>
        <w:ind w:left="340" w:right="1760" w:firstLine="373"/>
        <w:spacing w:after="0" w:line="297" w:lineRule="auto"/>
        <w:rPr>
          <w:sz w:val="20"/>
          <w:szCs w:val="20"/>
          <w:color w:val="auto"/>
        </w:rPr>
      </w:pPr>
      <w:r>
        <w:rPr>
          <w:rFonts w:ascii="Arial" w:cs="Arial" w:eastAsia="Arial" w:hAnsi="Arial"/>
          <w:sz w:val="16"/>
          <w:szCs w:val="16"/>
          <w:color w:val="auto"/>
        </w:rPr>
        <w:t>Management determined the preliminary fair value of assets acquired in the third quarter of 2006. The in-process research and development has not yet reached technological feasibility and has no alternative future use at the date of acquisition. Accordingly, this amount was expensed in the statement of operations on the date of acquisition. The Company recorded an in-process research and development charge of $5.9 million in 2006 in connection with this acquisition. The purchase price allocation was finalized during the fourth quarter of 2006 with only minor changes recorded to goodwill and deferred taxes.</w:t>
      </w:r>
    </w:p>
    <w:p>
      <w:pPr>
        <w:spacing w:after="0" w:line="118"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as a result of the 2007 acquisitions: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6"/>
              </w:rPr>
              <w:t>Precision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Physician</w:t>
            </w:r>
          </w:p>
        </w:tc>
        <w:tc>
          <w:tcPr>
            <w:tcW w:w="24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LXU</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Dental</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IsoTis</w:t>
            </w:r>
          </w:p>
        </w:tc>
        <w:tc>
          <w:tcPr>
            <w:tcW w:w="360" w:type="dxa"/>
            <w:vAlign w:val="bottom"/>
          </w:tcPr>
          <w:p>
            <w:pPr>
              <w:spacing w:after="0"/>
              <w:rPr>
                <w:sz w:val="20"/>
                <w:szCs w:val="20"/>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Industries</w:t>
            </w: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Healthcare</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DenLite</w:t>
            </w:r>
          </w:p>
        </w:tc>
        <w:tc>
          <w:tcPr>
            <w:tcW w:w="80" w:type="dxa"/>
            <w:vAlign w:val="bottom"/>
          </w:tcPr>
          <w:p>
            <w:pPr>
              <w:spacing w:after="0"/>
              <w:rPr>
                <w:sz w:val="20"/>
                <w:szCs w:val="20"/>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(All</w:t>
            </w:r>
          </w:p>
        </w:tc>
        <w:tc>
          <w:tcPr>
            <w:tcW w:w="18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amounts in thousands)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2007 Acquisitions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4,207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38,964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3,777</w:t>
            </w:r>
          </w:p>
        </w:tc>
        <w:tc>
          <w:tcPr>
            <w:tcW w:w="18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1,348</w:t>
            </w:r>
          </w:p>
        </w:tc>
        <w:tc>
          <w:tcPr>
            <w:tcW w:w="2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1,235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25,399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90,153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16,232</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and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21,488</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68,665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r>
      <w:tr>
        <w:trPr>
          <w:trHeight w:val="20"/>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as a result of the 2006 acquisitions: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Canada</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Microsurgical</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Kinetikos</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Radionics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Miltex</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LTD</w:t>
            </w:r>
          </w:p>
        </w:tc>
        <w:tc>
          <w:tcPr>
            <w:tcW w:w="36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Medical Inc</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89"/>
              </w:rPr>
              <w:t>(All amounts in thousands)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2006 Acquisitions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8,201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24,564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2,697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5,009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57,900</w:t>
            </w: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7,568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16,625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77,599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136,176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11,045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47,629</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22,537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5,667</w:t>
            </w: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32,192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75,569</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103,984</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41,743</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F-20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2008 and 2007 as if the acquisitions consummated in 2008 and 2007 had been completed as of the beginning of 2007.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w w:val="89"/>
              </w:rPr>
              <w:t>(In thousands, except per share amounts)</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677,697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641,015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income/(loss) (1)</w:t>
            </w:r>
          </w:p>
        </w:tc>
        <w:tc>
          <w:tcPr>
            <w:tcW w:w="28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28,999</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bl>
    <w:p>
      <w:pPr>
        <w:spacing w:after="0" w:line="93" w:lineRule="exact"/>
        <w:rPr>
          <w:sz w:val="20"/>
          <w:szCs w:val="20"/>
          <w:color w:val="auto"/>
        </w:rPr>
      </w:pPr>
    </w:p>
    <w:p>
      <w:pPr>
        <w:ind w:left="680" w:right="1760" w:hanging="348"/>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for 2007 includes the one-time charge of $25.2 million for in-process research and development costs related to the 2008 Theken acquisition.</w:t>
      </w:r>
    </w:p>
    <w:p>
      <w:pPr>
        <w:spacing w:after="0" w:line="143"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Due to immateriality and lack of readily available audited financial information, the above tables exclude the results of the Minnesota Scientific, Inc. and Integra Neurosciences Pty Ltd. (Australia and New Zealand)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RESTRUCTURING ACTIVITIES</w:t>
      </w:r>
    </w:p>
    <w:p>
      <w:pPr>
        <w:spacing w:after="0" w:line="189" w:lineRule="exact"/>
        <w:rPr>
          <w:sz w:val="20"/>
          <w:szCs w:val="20"/>
          <w:color w:val="auto"/>
        </w:rPr>
      </w:pPr>
    </w:p>
    <w:p>
      <w:pPr>
        <w:jc w:val="both"/>
        <w:ind w:left="340" w:right="1760" w:firstLine="373"/>
        <w:spacing w:after="0" w:line="308" w:lineRule="auto"/>
        <w:rPr>
          <w:sz w:val="20"/>
          <w:szCs w:val="20"/>
          <w:color w:val="auto"/>
        </w:rPr>
      </w:pPr>
      <w:r>
        <w:rPr>
          <w:rFonts w:ascii="Arial" w:cs="Arial" w:eastAsia="Arial" w:hAnsi="Arial"/>
          <w:sz w:val="17"/>
          <w:szCs w:val="17"/>
          <w:color w:val="auto"/>
        </w:rPr>
        <w:t>During the year ended December 31, 2006, the Company terminated 10 employees in connection with the transfer of certain manufacturing packaging operations from its plant in Plainsboro, New Jersey to its plant in Anasco, Puerto Rico.</w:t>
      </w:r>
    </w:p>
    <w:p>
      <w:pPr>
        <w:spacing w:after="0" w:line="120" w:lineRule="exact"/>
        <w:rPr>
          <w:sz w:val="20"/>
          <w:szCs w:val="20"/>
          <w:color w:val="auto"/>
        </w:rPr>
      </w:pPr>
    </w:p>
    <w:p>
      <w:pPr>
        <w:jc w:val="both"/>
        <w:ind w:left="340" w:right="1760" w:firstLine="373"/>
        <w:spacing w:after="0" w:line="312" w:lineRule="auto"/>
        <w:rPr>
          <w:sz w:val="20"/>
          <w:szCs w:val="20"/>
          <w:color w:val="auto"/>
        </w:rPr>
      </w:pPr>
      <w:r>
        <w:rPr>
          <w:rFonts w:ascii="Arial" w:cs="Arial" w:eastAsia="Arial" w:hAnsi="Arial"/>
          <w:sz w:val="16"/>
          <w:szCs w:val="16"/>
          <w:color w:val="auto"/>
        </w:rPr>
        <w:t>In October 2006, the Company announced plans to restructure our French sales and marketing organization, which includes elimination of a number of positions at its Biot, France facility, and the closing of our facility in Nantes, France. These activities were transferred to the sales and marketing headquarters in Lyon, France and all severance payments have been made.</w:t>
      </w:r>
    </w:p>
    <w:p>
      <w:pPr>
        <w:spacing w:after="0" w:line="106"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 connection with the 2007 acquisition of IsoTis, the Company announced plans to restructure the Company’s European operations. The restructuring plan included closing the facilities in Lausanne, Switzerland and Bilthoven, Netherlands, eliminating various positions in Europe and reducing various duplicative positions in Irvine, California. These activities were completed in 2008 and all payments have been made.</w:t>
      </w:r>
    </w:p>
    <w:p>
      <w:pPr>
        <w:spacing w:after="0" w:line="146"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In connection with the 2007 acquisition of Precise, the Company announced plans to restructure the Company’s procurement and distribution operations by closing its facility in Canoga Park, California. The Company has integrated those functions into its York, Pennsylvania dental operations.</w:t>
      </w:r>
    </w:p>
    <w:p>
      <w:pPr>
        <w:spacing w:after="0" w:line="154"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net charges (reversals) during 2008, 2007, and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Research</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Selling, General</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Cost of</w:t>
            </w:r>
          </w:p>
        </w:tc>
        <w:tc>
          <w:tcPr>
            <w:tcW w:w="1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and</w:t>
            </w:r>
          </w:p>
        </w:tc>
        <w:tc>
          <w:tcPr>
            <w:tcW w:w="840" w:type="dxa"/>
            <w:vAlign w:val="bottom"/>
          </w:tcPr>
          <w:p>
            <w:pPr>
              <w:jc w:val="center"/>
              <w:ind w:left="310"/>
              <w:spacing w:after="0"/>
              <w:rPr>
                <w:sz w:val="20"/>
                <w:szCs w:val="20"/>
                <w:color w:val="auto"/>
              </w:rPr>
            </w:pPr>
            <w:r>
              <w:rPr>
                <w:rFonts w:ascii="Arial" w:cs="Arial" w:eastAsia="Arial" w:hAnsi="Arial"/>
                <w:sz w:val="18"/>
                <w:szCs w:val="18"/>
                <w:b w:val="1"/>
                <w:bCs w:val="1"/>
                <w:color w:val="auto"/>
                <w:w w:val="87"/>
              </w:rPr>
              <w:t>and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Development</w:t>
            </w: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Administrative</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thousands)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Facility exit costs</w:t>
            </w: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Involuntary employee termination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745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200" w:type="dxa"/>
            <w:vAlign w:val="bottom"/>
            <w:gridSpan w:val="8"/>
          </w:tcPr>
          <w:p>
            <w:pPr>
              <w:ind w:left="360"/>
              <w:spacing w:after="0"/>
              <w:rPr>
                <w:sz w:val="20"/>
                <w:szCs w:val="20"/>
                <w:color w:val="auto"/>
              </w:rPr>
            </w:pPr>
            <w:r>
              <w:rPr>
                <w:rFonts w:ascii="Arial" w:cs="Arial" w:eastAsia="Arial" w:hAnsi="Arial"/>
                <w:sz w:val="18"/>
                <w:szCs w:val="18"/>
                <w:color w:val="auto"/>
                <w:w w:val="93"/>
              </w:rPr>
              <w:t>Below is a reconciliation of the restructuring accrual activity recorded during 2007 and 2008:</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6"/>
              </w:rPr>
              <w:t>Employee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Termination</w:t>
            </w:r>
          </w:p>
        </w:tc>
        <w:tc>
          <w:tcPr>
            <w:tcW w:w="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Facility Exit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Costs</w:t>
            </w:r>
          </w:p>
        </w:tc>
        <w:tc>
          <w:tcPr>
            <w:tcW w:w="16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Costs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w w:val="82"/>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1,726</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through acquisition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Change in estimates</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Effects of foreign exchange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(1,019)</w:t>
            </w:r>
          </w:p>
        </w:tc>
      </w:tr>
      <w:tr>
        <w:trPr>
          <w:trHeight w:val="216"/>
        </w:trPr>
        <w:tc>
          <w:tcPr>
            <w:tcW w:w="34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Effects of foreign exchange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23"/>
        </w:trPr>
        <w:tc>
          <w:tcPr>
            <w:tcW w:w="3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expect to pay all of the remaining costs in 2009.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2008 Contingent Convertible Subordinated Notes</w:t>
      </w:r>
    </w:p>
    <w:p>
      <w:pPr>
        <w:spacing w:after="0" w:line="198"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 was required to make interest payments on its $120.0 million contingent convertible subordinated notes (the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its common stock on the previous trading day was more than $37.56 per share, based on an initial conversion price of $34.15 per share. As of December 31, 2008, all of the 2008 Notes had been converted to common stock or cash.</w:t>
      </w:r>
    </w:p>
    <w:p>
      <w:pPr>
        <w:spacing w:after="0" w:line="15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On March 5, 2008 the Company borrowed $120.0 million under its senior secured revolving credit facility. The Company used these funds to repay the 2008 Notes upon conversion or maturity. As a result of the conversions, the Company issued 768,221 shares of the Company’s common stock. There were no financial covenants associated with the convertible 2008 Notes.</w:t>
      </w:r>
    </w:p>
    <w:p>
      <w:pPr>
        <w:spacing w:after="0" w:line="13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 xml:space="preserve">On September 27, 2006, the Company exchanged $115.2 million (out of a total of a $120.0 million) of its 2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Contingent Convertible Subordinated Notes due 2008 (the “old notes”) for the equivalent amount of 2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Contingent Convertible Subordinated Notes due 2008 (the “new notes”). The terms of the new notes were substantially similar to those of the old notes, except that the new notes had a net share settlement feature and included “takeover protection,” whereby the Company would pay a premium to holders who convert their notes upon the occurrence of designated events, including a change in control. The net share settlement feature required that, upon conversion of the new notes, the Company pay holders in cash for up to the principal amount of the converted new notes with any amounts in excess of this cash amount settled, at the election of the Company, in cash or shares of its common stock. Holders who exchanged their old notes in the exchange offer received an exchange fee of $2.50 per $1,000 principal amount of their old notes. We paid approximately $288,000 of exchange fees to tendering holders of the existing notes plus expenses totaling approximately $332,000 in connection with the offer. The Company recorded a $1.2 million write-off of the unamortized debt issuance costs and $0.3 million of fees associated with the exchange of the old notes.</w:t>
      </w:r>
    </w:p>
    <w:p>
      <w:pPr>
        <w:spacing w:after="0" w:line="15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October 20, 2006 an additional $4.3 million of old notes were tendered, bringing the total amount of exchanges to $119.5 million, or 99.6% of the original $120.0 million principal amount. The Company paid approximately $11,000 of exchange fees to tendering holders of these notes in connection with this exchange.</w:t>
      </w:r>
    </w:p>
    <w:p>
      <w:pPr>
        <w:spacing w:after="0" w:line="141"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 xml:space="preserve">Holders were able to convert their notes at an initial conversion price of $34.15 per share, upon the occurrence of certain conditions, including when the market price of Integra’s common stock on the previous trading day was more than 110% of the conversion price. The notes are general, unsecured obligations of the Company and were subordinate to any future senior indebtedness of the Company. The Company was not able to redeem the notes prior to their maturity. Holders of the notes were able to require the Company to repurchase the notes upon a change in control. The fair value of the Company’s $120.0 million principal amount 2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contingent convertible subordinated notes outstanding at December 31, 2007 was $118.4 million.</w:t>
      </w:r>
    </w:p>
    <w:p>
      <w:pPr>
        <w:spacing w:after="0" w:line="124"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 xml:space="preserve">In August 2003, the Company entered into an interest rate swap agreement with a $50.0 million notional amount to hedge the risk of changes in fair value attributable to interest rate risk with respect to a portion of our fixed-rate convertible notes. The Company received a 2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fixed rate from the counterparty, payable on a semi-annual basis, and paid to the counterparty a floating rate based on 3-month LIBOR minus 35 basis points, payable on a quarterly basis. The interest rate swap agreement was scheduled to terminate in March 2008, subject to early termination upon the occurrence of certain events, including redemption or conversion of the convertible notes. On September 27, 2006, the Company terminated this interest rate swap agreement in connection with the exchange of the convertible notes. The interest rate swap agreement qualified as a fair value hedge under SFAS No. 133, as amended,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The net amount to be paid or received under the interest rate swap agreement was recorded as a component of interest expense.</w:t>
      </w:r>
    </w:p>
    <w:p>
      <w:pPr>
        <w:spacing w:after="0" w:line="14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fair value of the contingent interest obligation, which was the same under the old and new notes, had been marked to its fair value at each balance sheet date, with changes in the fair value recorded to interest expense. At December 31, 2007, the estimated fair value of the contingent interest obligation was $1.8 million. In 2007 and 2006, the Company recorded $0.7 million and $0.4 million, respectively, of interest expense associated with changes in the estimated fair value of the contingent interest obligation.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2010 and 2012 Senior Convertible Notes</w:t>
      </w:r>
    </w:p>
    <w:p>
      <w:pPr>
        <w:spacing w:after="0" w:line="185"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On June 11, 2007, the Company issued $165.0 million aggregate principal amount of its 2.75% Senior Convertible Notes due 2010 (the “2010 Notes”) and $165.0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fair value of the 2010 Notes and the 2012 Notes at December 31, 2008 was approximately $155.6 million and $145.9 million, respectively.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2008, none of these conditions existed and, as a result, the $330.0 million balance of the 2010 Notes and the 2012 Notes is classified as long-term.</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2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146"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On March 19, 2008 and April 9, 2008, we received notices of default from the trustee related to the failure to timely provide the trustee with a copy of our Annual Report on Form 10-K for the year ended December 31, 2007. The default under the indentures was cured by May 18, 2008 (60 days from the date of the earlier notice of default) without penalty.</w:t>
      </w:r>
    </w:p>
    <w:p>
      <w:pPr>
        <w:spacing w:after="0" w:line="12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6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Secured Revolving Credit Facility</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December 2005, the Company established a $200.0 million, five-year, senior secured revolving credit facility. In 2005, the Company paid approximately $1.1 million of fees in connection with establishing the credit facility. The Company capitalized these fees and is amortizing them to interest expense over the five-year term of the credit facility. The credit facility requires the Company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The Company pays an annual commitment fee (ranging from 0.10% to 0.20%) on the daily amount by which the commitments under the credit facility exceed the outstanding loans and letters of credit under the credit facility.</w:t>
      </w:r>
    </w:p>
    <w:p>
      <w:pPr>
        <w:spacing w:after="0" w:line="151"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During 2007, the terms were amended to increase the amount and extend the maturity of the credit facility. 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We were in compliance with all covenants at each balance sheet date. At December 31, 2008, the Company has a $300.0 million, five-year, senior secured revolving credit facility, which it utilizes for working capital, capital expenditures, share repurchases, acquisitions, debt repayments and other general corporate purposes.</w:t>
      </w:r>
    </w:p>
    <w:p>
      <w:pPr>
        <w:spacing w:after="0" w:line="137"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March 5, 2008, July 28, 2008 and on October 30, 2008, the Company borrowed $120.0 million, $80.0 million and $60.0 million, respectively, under its credit facility and as of December 31, 2008 had $260.0 million of outstanding borrowings under this credit facility. The outstanding borrowings have one-month interest periods. The interest rate of the outstanding borrowings was approximately 2.87% at December 31, 2008. The Company used the proceeds from the March 2008 borrowing along with existing funds to repay all of the remaining 2008 Notes totaling approximately $119.4 million in the second quarter of 2008. The Company used the remainder of the funds to repay approximately $3.3 million of related accrued and contingent interest during the month of March 2008. On July 28, 2008 and October 30, 2008, the Company borrowed $80.0 million and $60.0 million, respectively, to fund the acquisition of Theken and for other general corporate purposes. The Company regularly borrows under the credit facility and makes payments each month with respect thereto and considers $100.0 million of such outstanding amounts to be short-term in nature based on its current intent and ability. If additional borrowings are made in connection with, for instance, future acquisitions, such activities could impact the timing of when the Company intends to repay amounts under this credit facility, which runs through December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2008, the Company received waivers related to the late completion of its audited financial statements for the year ended December 31, 2007. The Company included such financial statements in the Annual Report on Form 10-K filed on May 16, 2008. The Company also received an extension of the delivery date under the credit facility of its financial statements for the quarter ended March 31, 2008 (the “Q1 Financial Statements”) through May 31, 2008. The Company included the Q1 Financial Statements in our Quarterly Report on Form 10-Q filed on June 4, 2008.</w:t>
      </w:r>
    </w:p>
    <w:p>
      <w:pPr>
        <w:spacing w:after="0" w:line="16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2008, we obtained a waiver regarding a representation and warranty in the credit agreement relating to material weaknesses in our internal controls through November 15, 2008. We had not eliminated our material weaknesses by November 15, 2008 and, therefore, the sole consequence prior to March 2, 2009 is that we cannot make further borrowings under the credit facility. On or before March 2, 2009 (or such later date as we may be required to deliver audited financial statements for the year ended December 31, 2008), we will be required to deliver a compliance certificate that includes a representation that we do not have a material weakness in our internal controls.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DERIVATIVE INSTRUMENTS</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 xml:space="preserve">In August 2003, the Company entered into an interest rate swap agreement with a $50.0 million notional amount to hedge the risk of changes in fair value attributable to interest rate risk with respect to a portion of its fixed-rate contingent convertible subordinated notes. The Company received a 2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fixed rate from the counterparty, payable on a semi-annual basis, and paid to the counterparty a floating rate based on 3-month LIBOR minus 35 basis points, payable on a quarterly basis. The floating rates reset each quarter. The interest rate swap agreement was scheduled to terminate on March 15, 2008, subject to early termination upon the occurrence of certain events, including redemption or conversion of the contingent convertible notes.</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 xml:space="preserve">The interest rate swap agreement qualified as a fair value hedge under SFAS No. 133, as amended,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 Instruments and Hedging Activities. </w:t>
      </w:r>
      <w:r>
        <w:rPr>
          <w:rFonts w:ascii="Arial" w:cs="Arial" w:eastAsia="Arial" w:hAnsi="Arial"/>
          <w:sz w:val="18"/>
          <w:szCs w:val="18"/>
          <w:color w:val="auto"/>
        </w:rPr>
        <w:t>Accordingly, until it was terminated in September 2006, the interest rate swap</w:t>
      </w:r>
      <w:r>
        <w:rPr>
          <w:rFonts w:ascii="Arial" w:cs="Arial" w:eastAsia="Arial" w:hAnsi="Arial"/>
          <w:sz w:val="18"/>
          <w:szCs w:val="18"/>
          <w:i w:val="1"/>
          <w:iCs w:val="1"/>
          <w:color w:val="auto"/>
        </w:rPr>
        <w:t xml:space="preserve"> </w:t>
      </w:r>
      <w:r>
        <w:rPr>
          <w:rFonts w:ascii="Arial" w:cs="Arial" w:eastAsia="Arial" w:hAnsi="Arial"/>
          <w:sz w:val="18"/>
          <w:szCs w:val="18"/>
          <w:color w:val="auto"/>
        </w:rPr>
        <w:t>had been recorded at fair value and changes in fair value were recorded in other income (expense), net.</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On September 27, 2006, the Company terminated the interest rate swap. We paid the counterparty approximately $2.2 million in connection with the termination of the swap, consisting of a $0.6 million payment of accrued interest and a $1.6 million payment representing the fair market value of the interest rate swap on the termination date. We had already accrued the termination payment. Historically, the net difference between changes in the fair value of the interest rate swap and the contingent convertible notes represented the ineffective portion of the hedging relationship, and this amount was recorded in other income/(expense) net. In connection with the termination of the swap and the debt exchange, the Company recorded a $1.4 million charge to recognize the previously recorded discount generated as a result of the swap. Prior to the termination of the swap, the net amount to be paid or received under the interest rate swap agreement had been recorded as a component of interest expense. In 2006, the Company recorded an additional $0.8 million of interest expense associated with the interest rate swap, while it recorded a $0.2 million reduction in interest expense in 2005.</w:t>
      </w:r>
    </w:p>
    <w:p>
      <w:pPr>
        <w:spacing w:after="0" w:line="13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recorded the following changes in the net fair values of the interest rate swap and the hedged portion of the contingent convertible notes: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Contingent convertible notes</w:t>
            </w:r>
          </w:p>
        </w:tc>
        <w:tc>
          <w:tcPr>
            <w:tcW w:w="7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r>
      <w:tr>
        <w:trPr>
          <w:trHeight w:val="27"/>
        </w:trPr>
        <w:tc>
          <w:tcPr>
            <w:tcW w:w="5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liabilities</w:t>
            </w:r>
          </w:p>
        </w:tc>
        <w:tc>
          <w:tcPr>
            <w:tcW w:w="720" w:type="dxa"/>
            <w:vAlign w:val="bottom"/>
            <w:shd w:val="clear" w:color="auto" w:fill="CCEEFF"/>
          </w:tcPr>
          <w:p>
            <w:pPr>
              <w:jc w:val="right"/>
              <w:ind w:right="56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r>
      <w:tr>
        <w:trPr>
          <w:trHeight w:val="20"/>
        </w:trPr>
        <w:tc>
          <w:tcPr>
            <w:tcW w:w="5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net increase (decrease) in liabilities represents the ineffective portion of the hedging relationship, and these amounts are recorded in Other income (expense), net.</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TREASURY STOCK</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October 2007, the Company’s Board of Directors terminated its prior repurchase plan and authorized the Company to repurchase shares of its common stock for an aggregate purchase price not to exceed $75.0 million through December 31, 2008. The Company did not purchase any shares of its common stock under this repurchase program during the year ended December 31, 2008.</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October 30, 2008, the Company’s Board of Directors terminated the repurchase authorization it adopted in October 2007 and authorized the company to repurchase shares of its common stock for an aggregate purchase price not to exceed $75.0 million through December 31, 2010. Shares may be purchased either in the open market or in privately negotiated transactions. The Company did not purchase any shares of its common stock under the October 2008 repurchase programs during the three months ended December 31, 2008. As of December 31, 2008, there remained $75.0 million available for share repurchases under this authorization.</w:t>
      </w:r>
    </w:p>
    <w:p>
      <w:pPr>
        <w:spacing w:after="0" w:line="15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May 2005, our Board of Directors authorized us to repurchase shares of our common stock for an aggregate purchase price not to exceed $40 million through December 31, 2006. We were authorized to repurchase no more than 1.5 million shares under this program. In October 2005, our Board of Directors terminated the May 2005 repurchase program and adopted a new program that authorized us to repurchase shares of our common stock for an aggregate purchase price not to exceed $50 million through December 31, 2006.</w:t>
      </w:r>
    </w:p>
    <w:p>
      <w:pPr>
        <w:spacing w:after="0" w:line="16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February 2006, the Board of Directors authorized the repurchase of shares of its common stock for an aggregate purchase price not to exceed $50 million through December 31, 2006, and terminated the prior repurchase program. Shares could have been purchased either in the open market or in privately negotiated transactions.</w:t>
      </w:r>
    </w:p>
    <w:p>
      <w:pPr>
        <w:spacing w:after="0" w:line="12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October 2006, the Company’s Board of Directors authorized the Company to repurchase shares of its common stock for an aggregate purchase price not to exceed $75 million through December 31, 2007 and terminated its prior repurchase program. On May 17, 2007, the Company’s Board of Directors terminated the repurchase authorization it adopted in October 2006 and authorized the Company to repurchase shares of its common stock for an aggregate purchase price not to exceed $75 million through December 31, 2007. On October 30, 2007, the Company’s Board of Directors terminated the repurchase authorization it adopted on May 17, 2007 and authorized the Company to repurchase shares of its common stock for an aggregate purchase price not to exceed $75 million through December 31, 2008. Shares may be purchased either in the open market or in privately negotiated transactions.</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repurchased 2.2 million and 1.8 million shares of its common stock in 2007 and 2006, respectively, for $106.5 million and $70.0 million,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STOCK PURCHASE AND AWARD PLANS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2008, 1.1 million shares remain available for purchase under the ESPP. During the years ended December 31, 2008, 2007, and 2006, the Company issued 11,873, 7,860 and 8,826 shares under the ESPP for $0.4 million, $0.3 million, and $0.4 million, respectively.</w:t>
      </w:r>
    </w:p>
    <w:p>
      <w:pPr>
        <w:spacing w:after="0" w:line="15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ESPP was amended in 2005 to reduce the discount available to participants to five percent and to fix the price against which such discount would be applied. Accordingly, the ESPP is a non-compensatory plan under SFAS 123R.</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of December 31, 2008, the Company had stock options, restricted stock awards, and contract stock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the 1998 plan or the 1996 Plan.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 July 2008, the stockholders of the Company approved an amendment to the 2003 Plan to increase by 750,000 the number of shares of common stock that may be issued under the 2003 Plan. The Company has reserved 750,000 shares of common stock for issuance under both the 1993 Plan and 1996 Plan, 1,000,000 shares under the 1998 Plan, 2,000,000 shares under each of the 1999 Plan, the 2000 Plan and the 2001 Plan, and 4,750,000 shares under the 2003 Plan. The 1993 Plan, 1996 Plan, 1998 Plan, and the 1999 Plan permit the Company to grant both incentive and non-qualified stock options to designated directors, officers, employees and associates of the Company.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46"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During 2008, the Company identified certain options that had previously been granted to individuals who are not considered employees and had not been accounted for under the guidance prescribed in EITF 96-18, </w:t>
      </w:r>
      <w:r>
        <w:rPr>
          <w:rFonts w:ascii="Arial" w:cs="Arial" w:eastAsia="Arial" w:hAnsi="Arial"/>
          <w:sz w:val="18"/>
          <w:szCs w:val="18"/>
          <w:i w:val="1"/>
          <w:iCs w:val="1"/>
          <w:color w:val="auto"/>
        </w:rPr>
        <w:t>Accounting for Equity Instruments That</w:t>
      </w:r>
      <w:r>
        <w:rPr>
          <w:rFonts w:ascii="Arial" w:cs="Arial" w:eastAsia="Arial" w:hAnsi="Arial"/>
          <w:sz w:val="18"/>
          <w:szCs w:val="18"/>
          <w:color w:val="auto"/>
        </w:rPr>
        <w:t xml:space="preserve"> </w:t>
      </w:r>
      <w:r>
        <w:rPr>
          <w:rFonts w:ascii="Arial" w:cs="Arial" w:eastAsia="Arial" w:hAnsi="Arial"/>
          <w:sz w:val="18"/>
          <w:szCs w:val="18"/>
          <w:i w:val="1"/>
          <w:iCs w:val="1"/>
          <w:color w:val="auto"/>
        </w:rPr>
        <w:t>Are Issued to Other Than Employees for Acquiring, or in Conjunction with Selling, Goods or Services</w:t>
      </w:r>
      <w:r>
        <w:rPr>
          <w:rFonts w:ascii="Arial" w:cs="Arial" w:eastAsia="Arial" w:hAnsi="Arial"/>
          <w:sz w:val="18"/>
          <w:szCs w:val="18"/>
          <w:color w:val="auto"/>
        </w:rPr>
        <w:t>. Previously in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recorded an adjustment to revise retained earnings and additional paid-in-capital by approximately $0.9 million to reflect the impact of previously unrecognized compensation expense associated with certain non-employee option grants between 1998 and 2004. The impact of non-employee compensation expense since 2004 has been recorded in the results of our 2008 operations and is immaterial.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Weighted Average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Contractual Term</w:t>
            </w:r>
          </w:p>
        </w:tc>
        <w:tc>
          <w:tcPr>
            <w:tcW w:w="3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26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9"/>
              </w:rPr>
              <w:t>Exercise Price</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 Years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at December 31, 2005</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27.50</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40.75</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22.20</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Forfeited or Expired</w:t>
            </w: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33.27</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at December 31, 2006</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3,438</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29.41</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41.56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27.08</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Forfeited or Expired</w:t>
            </w: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34.97</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at December 31, 2007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30.82</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47.62</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24.33</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Forfeited or Expired</w:t>
            </w: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35.26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8"/>
              </w:rPr>
              <w:t>Outstanding at December 31, 2008</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33.32</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color w:val="auto"/>
              </w:rPr>
              <w:t>Vested or expected to vest at</w:t>
            </w: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33.18</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9"/>
              </w:rPr>
              <w:t>Exercisable at December 31, 2008</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30.94</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intrinsic value of options exercised for the years ended December 31, 2008, 2007, and 2006 was $9.2 million, $12.9 million, and $12.5 million, respectively. The weighted average grant date fair value of options granted during the year 2008, 2007, and 2006 was $18.08, $16.91, and $17.87, respectively. Cash received from option exercises was $11.5 million, $18.8 million, and $15.9 million for fiscal 2008, 2007, and 2006, respectively.</w:t>
      </w:r>
    </w:p>
    <w:p>
      <w:pPr>
        <w:spacing w:after="0" w:line="146"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As of December 31, 2008, there was approximately $9.4 million of total unrecognized compensation costs related to unvested stock options. These costs are expected to be recognized over a weighted-average period of approximately 2.6 years.</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awards of restricted stock, performance stock and contract stock for the year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2008 (shares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Performance Stock and</w:t>
            </w:r>
          </w:p>
        </w:tc>
      </w:tr>
      <w:tr>
        <w:trPr>
          <w:trHeight w:val="216"/>
        </w:trPr>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Contract</w:t>
            </w:r>
          </w:p>
        </w:tc>
      </w:tr>
      <w:tr>
        <w:trPr>
          <w:trHeight w:val="234"/>
        </w:trPr>
        <w:tc>
          <w:tcPr>
            <w:tcW w:w="4100" w:type="dxa"/>
            <w:vAlign w:val="bottom"/>
          </w:tcPr>
          <w:p>
            <w:pPr>
              <w:spacing w:after="0"/>
              <w:rPr>
                <w:sz w:val="20"/>
                <w:szCs w:val="20"/>
                <w:color w:val="auto"/>
              </w:rPr>
            </w:pPr>
          </w:p>
        </w:tc>
        <w:tc>
          <w:tcPr>
            <w:tcW w:w="27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9"/>
              </w:rPr>
              <w:t>Restricted Stock Awards</w:t>
            </w:r>
          </w:p>
        </w:tc>
        <w:tc>
          <w:tcPr>
            <w:tcW w:w="24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Stock Awards</w:t>
            </w:r>
          </w:p>
        </w:tc>
      </w:tr>
      <w:tr>
        <w:trPr>
          <w:trHeight w:val="191"/>
        </w:trPr>
        <w:tc>
          <w:tcPr>
            <w:tcW w:w="4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Wtd. Avg. Fair</w:t>
            </w:r>
          </w:p>
        </w:tc>
        <w:tc>
          <w:tcPr>
            <w:tcW w:w="3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Wtd. Avg. Fair</w:t>
            </w:r>
          </w:p>
        </w:tc>
        <w:tc>
          <w:tcPr>
            <w:tcW w:w="80" w:type="dxa"/>
            <w:vAlign w:val="bottom"/>
          </w:tcPr>
          <w:p>
            <w:pPr>
              <w:spacing w:after="0"/>
              <w:rPr>
                <w:sz w:val="16"/>
                <w:szCs w:val="16"/>
                <w:color w:val="auto"/>
              </w:rPr>
            </w:pPr>
          </w:p>
        </w:tc>
      </w:tr>
      <w:tr>
        <w:trPr>
          <w:trHeight w:val="216"/>
        </w:trPr>
        <w:tc>
          <w:tcPr>
            <w:tcW w:w="4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Value per</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 per</w:t>
            </w:r>
          </w:p>
        </w:tc>
      </w:tr>
      <w:tr>
        <w:trPr>
          <w:trHeight w:val="234"/>
        </w:trPr>
        <w:tc>
          <w:tcPr>
            <w:tcW w:w="410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80" w:type="dxa"/>
            <w:vAlign w:val="bottom"/>
          </w:tcPr>
          <w:p>
            <w:pPr>
              <w:spacing w:after="0"/>
              <w:rPr>
                <w:sz w:val="20"/>
                <w:szCs w:val="20"/>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46.42</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45.81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w:t>
            </w: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40.65</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42.29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44.18</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36.17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40.15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35.57</w:t>
            </w:r>
          </w:p>
        </w:tc>
      </w:tr>
      <w:tr>
        <w:trPr>
          <w:trHeight w:val="27"/>
        </w:trPr>
        <w:tc>
          <w:tcPr>
            <w:tcW w:w="4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42.92</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36.52</w:t>
            </w:r>
          </w:p>
        </w:tc>
      </w:tr>
      <w:tr>
        <w:trPr>
          <w:trHeight w:val="20"/>
        </w:trPr>
        <w:tc>
          <w:tcPr>
            <w:tcW w:w="4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recognized $25.5 million, $6.9 million, and $4.7 million in expense related to awards granted in 2008, 2007, and 2006, respectively. The total fair value of shares vested in 2008, 2007, and 2006 was $25.5 million, $0.6 million and $0.7 million, respectively.</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2008, there was approximately $16.1 million of total unrecognized compensation costs related to unvested awards. These costs are expected to be recognized over a weighted-average period of approximately 2.5 years.</w:t>
      </w:r>
    </w:p>
    <w:p>
      <w:pPr>
        <w:spacing w:after="0" w:line="161"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In July 2004, the Company and the Company’s President and Chief Executive Officer (the “Executive”) renewed the Executive’s employment agreement with the Company through December 31, 2009. In connection with the renewal of the agreement, the Executive received a grant of fair market value options to acquire up to 250,000 shares of Integra common stock and an award of fully vested contract stock/restricted stock units (“Restricted Units”) providing for the payment of 750,000 shares of Integra common stock which shall generally be delivered to the 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Restricted Units award were granted under the 2003 Plan. The Executive has demand registration rights under the Restricted Units issued.</w:t>
      </w:r>
    </w:p>
    <w:p>
      <w:pPr>
        <w:spacing w:after="0" w:line="126"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In August 2008, the Company and the Executive renewed the Executive’s employment agreement with the Company through December 31, 2011. In connection with the renewal of the agreement, the Executive received a grant of fair market value options to acquire up to 125,000 shares of Integra common stock and a fully vested Restricted Units award providing for the payment of 375,000 shares of Integra common stock which shall be delivered to the Executive within the 30 day period immediately following the six month anniversary of his separation from service from the Company. The options and Restricted Units award were granted under the 2003 Plan. As the Restricted Units vested on the grant date, a charge of approximately $18.0 million was recognized upon issuance, which was included in selling, general and administrative expenses.</w:t>
      </w:r>
    </w:p>
    <w:p>
      <w:pPr>
        <w:spacing w:after="0" w:line="127"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December 2000, the Company issued 1,250,000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 In January 2006, the Company issued 750,000 shares of the Company’s common stock to the Executive pursuant to the obligations with respect to 750,000 of these Restricted Units. In March 2008, the Company issued 500,000 shares of the Company’s common stock to the Executive pursuant to the obligations with respect to 500,000 of these Restricted Units.</w:t>
      </w:r>
    </w:p>
    <w:p>
      <w:pPr>
        <w:spacing w:after="0" w:line="13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No other share-based awards are outstanding under any of the Plans. At December 31, 2008, there were 826,836 shares available for grant under the Plans.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RETIREMENT BENEFIT PLANS</w:t>
      </w:r>
    </w:p>
    <w:p>
      <w:pPr>
        <w:spacing w:after="0" w:line="20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In September 2006, the Financial Accounting Standards Board issued Statement No. 158 “Employers’ Accounting for Defined Benefit Pension and Other Post Retirement Plans” which is an amendment of FASB Statements No. 87, 88, 106, and 123R. This Statement requires the Company to recognize the overfunded or underfunded status of a defined benefit postretirement plan as an asset or liability in its statement of financial position and to recognize changes in that funded status in the year in which the changes occur through comprehensive income. The Company currently recognizes the unfunded liability for each of its plans. Therefore, the implementation of this statement had no effect on the financial statements upon its adoption.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York, Pennsylvania (the “Miltex Plan”), Andover, United Kingdom (the “UK Plan”) and Tuttlingen, Germany (the “Germany Plan”). The Miltex Plan was frozen and all future benefits were curtailed prior to the acquisition of Miltex by the Company. During 2008, the Miltex Plan was terminated with all distributions made to participants. The Company recognized approximately $0.4 million in additional costs to fund these distributions. Accordingly, the Miltex Plan has no assets or liabilities remaining at December 31, 2008.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periodic benefit costs for these defined benefit pension plans included the following amounts: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2008</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Non U.S.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Non U.S.</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Non U.S.</w:t>
            </w:r>
          </w:p>
        </w:tc>
        <w:tc>
          <w:tcPr>
            <w:tcW w:w="8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U.S. Plan</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Plans</w:t>
            </w:r>
          </w:p>
        </w:tc>
        <w:tc>
          <w:tcPr>
            <w:tcW w:w="38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U.S. Plan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Plans</w:t>
            </w:r>
          </w:p>
        </w:tc>
        <w:tc>
          <w:tcPr>
            <w:tcW w:w="340" w:type="dxa"/>
            <w:vAlign w:val="bottom"/>
          </w:tcPr>
          <w:p>
            <w:pPr>
              <w:spacing w:after="0"/>
              <w:rPr>
                <w:sz w:val="20"/>
                <w:szCs w:val="2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U.S. Plan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Plans</w:t>
            </w:r>
          </w:p>
        </w:tc>
        <w:tc>
          <w:tcPr>
            <w:tcW w:w="80" w:type="dxa"/>
            <w:vAlign w:val="bottom"/>
          </w:tcPr>
          <w:p>
            <w:pPr>
              <w:spacing w:after="0"/>
              <w:rPr>
                <w:sz w:val="20"/>
                <w:szCs w:val="20"/>
                <w:color w:val="auto"/>
              </w:rPr>
            </w:pPr>
          </w:p>
        </w:tc>
      </w:tr>
      <w:tr>
        <w:trPr>
          <w:trHeight w:val="210"/>
        </w:trPr>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(In</w:t>
            </w:r>
          </w:p>
        </w:tc>
        <w:tc>
          <w:tcPr>
            <w:tcW w:w="1100" w:type="dxa"/>
            <w:vAlign w:val="bottom"/>
            <w:gridSpan w:val="3"/>
          </w:tcPr>
          <w:p>
            <w:pPr>
              <w:jc w:val="right"/>
              <w:ind w:right="350"/>
              <w:spacing w:after="0"/>
              <w:rPr>
                <w:sz w:val="20"/>
                <w:szCs w:val="20"/>
                <w:color w:val="auto"/>
              </w:rPr>
            </w:pPr>
            <w:r>
              <w:rPr>
                <w:rFonts w:ascii="Arial" w:cs="Arial" w:eastAsia="Arial" w:hAnsi="Arial"/>
                <w:sz w:val="16"/>
                <w:szCs w:val="16"/>
                <w:b w:val="1"/>
                <w:bCs w:val="1"/>
                <w:color w:val="auto"/>
                <w:w w:val="74"/>
              </w:rPr>
              <w:t>thousands)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w w:val="89"/>
              </w:rPr>
              <w:t>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585</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4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382</w:t>
            </w:r>
          </w:p>
        </w:tc>
        <w:tc>
          <w:tcPr>
            <w:tcW w:w="3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periodic benefit cost, before</w:t>
            </w:r>
          </w:p>
        </w:tc>
        <w:tc>
          <w:tcPr>
            <w:tcW w:w="3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settlement expenses</w:t>
            </w:r>
          </w:p>
        </w:tc>
        <w:tc>
          <w:tcPr>
            <w:tcW w:w="3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9"/>
              </w:rPr>
              <w:t>14</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Settlement expense</w:t>
            </w:r>
          </w:p>
        </w:tc>
        <w:tc>
          <w:tcPr>
            <w:tcW w:w="34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9"/>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r>
      <w:tr>
        <w:trPr>
          <w:trHeight w:val="20"/>
        </w:trPr>
        <w:tc>
          <w:tcPr>
            <w:tcW w:w="2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1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9"/>
              </w:rPr>
              <w:t>2008</w:t>
            </w:r>
          </w:p>
        </w:tc>
        <w:tc>
          <w:tcPr>
            <w:tcW w:w="7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Non U.S.</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Non U.S.</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Non U.S.</w:t>
            </w:r>
          </w:p>
        </w:tc>
        <w:tc>
          <w:tcPr>
            <w:tcW w:w="160" w:type="dxa"/>
            <w:vAlign w:val="bottom"/>
          </w:tcPr>
          <w:p>
            <w:pPr>
              <w:spacing w:after="0"/>
              <w:rPr>
                <w:sz w:val="16"/>
                <w:szCs w:val="16"/>
                <w:color w:val="auto"/>
              </w:rPr>
            </w:pPr>
          </w:p>
        </w:tc>
      </w:tr>
      <w:tr>
        <w:trPr>
          <w:trHeight w:val="234"/>
        </w:trPr>
        <w:tc>
          <w:tcPr>
            <w:tcW w:w="2740" w:type="dxa"/>
            <w:vAlign w:val="bottom"/>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U.S. Plan</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420" w:type="dxa"/>
            <w:vAlign w:val="bottom"/>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U.S. Plan</w:t>
            </w:r>
          </w:p>
        </w:tc>
        <w:tc>
          <w:tcPr>
            <w:tcW w:w="4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U.S. Plan</w:t>
            </w:r>
          </w:p>
        </w:tc>
        <w:tc>
          <w:tcPr>
            <w:tcW w:w="4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160" w:type="dxa"/>
            <w:vAlign w:val="bottom"/>
          </w:tcPr>
          <w:p>
            <w:pPr>
              <w:spacing w:after="0"/>
              <w:rPr>
                <w:sz w:val="20"/>
                <w:szCs w:val="20"/>
                <w:color w:val="auto"/>
              </w:rPr>
            </w:pPr>
          </w:p>
        </w:tc>
      </w:tr>
      <w:tr>
        <w:trPr>
          <w:trHeight w:val="210"/>
        </w:trPr>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6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2008, the discount rate is prescribed as the current yield on corporate bonds with an average rating of AAA of equivalent currency and term to the liabilities. In 2007 and 2006, the discount rate was prescribed as the current yield on corporate bonds with an average rating of AA of equivalent currency and term to the liabilities.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at December 31, 2008 and 2007 and the accrued benefit cost: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2008</w:t>
            </w:r>
          </w:p>
        </w:tc>
        <w:tc>
          <w:tcPr>
            <w:tcW w:w="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2007</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U.S. Plan</w:t>
            </w:r>
          </w:p>
        </w:tc>
        <w:tc>
          <w:tcPr>
            <w:tcW w:w="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U.S. Plan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PROJECTED BENEFIT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Projected benefit obligation,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13,265</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13,870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contributions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Projected benefit obligation,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9,616</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2008</w:t>
            </w:r>
          </w:p>
        </w:tc>
        <w:tc>
          <w:tcPr>
            <w:tcW w:w="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89"/>
              </w:rPr>
              <w:t>2007</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U.S. Plan</w:t>
            </w:r>
          </w:p>
        </w:tc>
        <w:tc>
          <w:tcPr>
            <w:tcW w:w="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U.S. Plan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Non-U.S. Plans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26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Plan assets at fair value,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11,225</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contributions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Effect of foreign currency exchange Rates</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assets at fair value,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RECONCILIATION OF FUNDED STATUS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Funded status, projected benefit obligation in excess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plan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Unrecognized net actuarial (gain) loss</w:t>
            </w:r>
          </w:p>
        </w:tc>
        <w:tc>
          <w:tcPr>
            <w:tcW w:w="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5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under FAS 158</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Amounts recognized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7"/>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accrued benefit liability recorded at December 31, 2008 and 2007 is included in other liabilities, and the current portion is included in accrued expenses.</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combined accumulated benefit obligation for the defined benefit plans was $9.6 million and $13.7 million as of December 31, 2008 and 2007, respectively. The accumulated benefit obligation for each plan exceeded that plan’s assets for all periods presented, except for the U.S. Plan at December 31, 2007.</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U.K. Plan invests in pooled funds which provide a diversification that supports the overall investment objectives. The Miltex Plan had no assets at December 31, 2008. The Germany Plan had no assets at December 31, 2008 and 2007. Based on the assets which comprise each of the funds, the weighted-average allocation of plan assets by asset category is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w w:val="99"/>
              </w:rPr>
              <w:t>2008</w:t>
            </w:r>
          </w:p>
        </w:tc>
        <w:tc>
          <w:tcPr>
            <w:tcW w:w="4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w w:val="84"/>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U.S. Plan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Non-U.S. Plans</w:t>
            </w:r>
          </w:p>
        </w:tc>
        <w:tc>
          <w:tcPr>
            <w:tcW w:w="400" w:type="dxa"/>
            <w:vAlign w:val="bottom"/>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U.S. Plan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Non-U.S. Plans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Corporate bonds</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Insurance contracts</w:t>
            </w:r>
          </w:p>
        </w:tc>
        <w:tc>
          <w:tcPr>
            <w:tcW w:w="9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4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anticipates contributing approximately $378,000 to its defined benefit plans in 2009. The Company expects to pay the following estimated future benefit payments in the years indicated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2010</w:t>
            </w:r>
          </w:p>
        </w:tc>
        <w:tc>
          <w:tcPr>
            <w:tcW w:w="45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2012</w:t>
            </w:r>
          </w:p>
        </w:tc>
        <w:tc>
          <w:tcPr>
            <w:tcW w:w="45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2014-2018</w:t>
            </w:r>
          </w:p>
        </w:tc>
        <w:tc>
          <w:tcPr>
            <w:tcW w:w="4520" w:type="dxa"/>
            <w:vAlign w:val="bottom"/>
          </w:tcPr>
          <w:p>
            <w:pPr>
              <w:jc w:val="right"/>
              <w:spacing w:after="0"/>
              <w:rPr>
                <w:sz w:val="20"/>
                <w:szCs w:val="20"/>
                <w:color w:val="auto"/>
              </w:rPr>
            </w:pPr>
            <w:r>
              <w:rPr>
                <w:rFonts w:ascii="Arial" w:cs="Arial" w:eastAsia="Arial" w:hAnsi="Arial"/>
                <w:sz w:val="18"/>
                <w:szCs w:val="18"/>
                <w:color w:val="auto"/>
              </w:rPr>
              <w:t>2,961</w:t>
            </w:r>
          </w:p>
        </w:tc>
      </w:tr>
    </w:tbl>
    <w:p>
      <w:pPr>
        <w:spacing w:after="0" w:line="14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Included in Accumulated Other Comprehensive Income is $1.4 million of unrecognized net actuarial loss, a portion of which is expected to be recognized as a component of net periodic benefit cost in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also has various defined contribution savings plans that cover substantially all employees in the U.S., the United Kingdom and Puerto Rico. The Company matches a certain percentage of each employee’s contributions as per the provisions of the plans. Total contributions by the Company to the plans were $1,442,000, $1,108,000, and $962,000 in 2008, 2007, and 2006, respectively.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LEASES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In May 2008, Integra LifeSciences Corporation entered into a Lease Agreement with 109 Morgan Lane, LLC (the “Morgan Lane Lease”) for the expansion of the Company’s headquarters in Plainsboro, New Jersey. The Morgan Lane Lease was signed simultaneously with Morgan Lane, LLC’s purchase of the building, land and premises from Provestco, Inc. The Company is initially leasing approximately 26,750 square feet located at 109 Morgan Lane, Plainsboro, New Jersey (the “Initial Space”) for general office, lab and warehouse purposes. If Morgan Lane, LLC completes certain improvements to the building, parking lot and surrounding premises, then the Company has the right to lease an additional approximately 31,261 square feet in the building beginning on April 1, 2009 (the “Remaining Space”). The rent for the Initial Space ranges from approximately $240,000 per year in the beginning stages of the term to approximately $340,000 per year at the end of the term. The rent for the Remaining Space is approximately $330,000 per year, subject to adjustments. Additional rent is also required for, among other things, operating expenses and taxes. The initial term of the Morgan Lane Lease expires on May 31, 2018 with an option for the Company to extend the term for an additional five years.</w:t>
      </w:r>
    </w:p>
    <w:p>
      <w:pPr>
        <w:spacing w:after="0" w:line="14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leases administrative, manufacturing, research and distribution facilities and various manufacturing, office and transportation equipment through operating lease agreements.</w:t>
      </w:r>
    </w:p>
    <w:p>
      <w:pPr>
        <w:spacing w:after="0" w:line="130"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In October 2005, the Company entered into a lease modification agreement relating to this facility. The lease modification agreement provides for extension of the term of the lease from October 31, 2012 for an additional five-year period through October 31, 2017 at an annual rate of approximately $272,000 per year. The lease modification agreement also provides a ten-year option for the Company to extend the lease from November 1, 2017 through October 31, 2027 at an annual rate of approximately $296,000 per year.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each of 2008, 2007, and 2006.</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lease payments under operating leases at December 31, 2008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Related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Parties</w:t>
            </w:r>
          </w:p>
        </w:tc>
        <w:tc>
          <w:tcPr>
            <w:tcW w:w="2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0"/>
              </w:rPr>
              <w:t>(In thousands)</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5,372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1,666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4,857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5,918</w:t>
            </w:r>
          </w:p>
        </w:tc>
      </w:tr>
      <w:tr>
        <w:trPr>
          <w:trHeight w:val="27"/>
        </w:trPr>
        <w:tc>
          <w:tcPr>
            <w:tcW w:w="5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22,863</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Total rental expense in 2008, 2007, and 2006 was $5.9 million, $5.0 million, and $3.4 million, respectively, and included $488,000, $498,000, and $321,000 in related party expense,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5700" w:type="dxa"/>
            <w:vAlign w:val="bottom"/>
          </w:tcPr>
          <w:p>
            <w:pPr>
              <w:ind w:left="360"/>
              <w:spacing w:after="0"/>
              <w:rPr>
                <w:sz w:val="20"/>
                <w:szCs w:val="20"/>
                <w:color w:val="auto"/>
              </w:rPr>
            </w:pPr>
            <w:r>
              <w:rPr>
                <w:rFonts w:ascii="Arial" w:cs="Arial" w:eastAsia="Arial" w:hAnsi="Arial"/>
                <w:sz w:val="18"/>
                <w:szCs w:val="18"/>
                <w:color w:val="auto"/>
              </w:rPr>
              <w:t>Income before income taxes consisted of the following:</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11,455</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Foreign operations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23,464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28,308</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48,308</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 reconciliation of the U.S. Federal statutory rate to the Company’s effective tax rate for the years ended December 31, 2008, 2007 and 2006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48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 net of federal tax benefit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Foreign operations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Incentive stock option expense</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in excess of IRS deductible limits</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Change in valuation allowances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 tax restructuring</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7"/>
        </w:trPr>
        <w:tc>
          <w:tcPr>
            <w:tcW w:w="5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the fourth quarter of 2008, the Company reported a $10.0 million deferred income tax benefit related to the restructuring of a German subsidiary.</w:t>
      </w:r>
    </w:p>
    <w:p>
      <w:pPr>
        <w:spacing w:after="0" w:line="143"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At December 31, 2008, the Company had net operating loss carryforwards of $21.2 million for federal income tax purposes, $152.8 million for foreign income tax purposes and $62.0 million for state income tax purposes to offset future taxable income. The federal net operating loss carryforwards expire through 2027, $98.4 million of the foreign net operating loss carryforwards expire through 2018 with the remaining $54.4 million having an indefinite carry forward period. The state net operating loss carryforwards expire through 2028.</w:t>
      </w:r>
    </w:p>
    <w:p>
      <w:pPr>
        <w:spacing w:after="0" w:line="148"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At December 31, 2008 and 2007, several of the Company’s subsidiaries had unused net operating loss carryforwards and tax credit carryforwards arising from periods prior to the Company’s ownership which expire through 2027. The Internal Revenue Code limits the timing and manner in which the Company may use any acquired net operating losses or tax credits.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Income taxes are not provided on undistributed earnings of non-U.S. subsidiaries because such earnings are expected to be permanently reinvested. Undistributed earnings of foreign subsidiaries totaled $72.7 million, $40.1 million and $21.9 million at December 31, 2008, 2007 and 2006, respectively.</w:t>
      </w:r>
    </w:p>
    <w:p>
      <w:pPr>
        <w:spacing w:after="0" w:line="154"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American Jobs Creation Act of 2004 was signed into law in October 2004 and has several provisions that may impact the Company’s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the Company’s tax return. Pursuant to United States Department of Treasury Regulations issued in October 2005, the Company has realized a tax benefit on qualified production activities income of $1.2 million, $0.5 million and $0.3 million in 2008, 2007 and 2006, respectively.</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(benefit from) provision for income taxes consisted of the following: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13,793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24,635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7,454</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9,538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6,880</w:t>
            </w:r>
          </w:p>
        </w:tc>
      </w:tr>
      <w:tr>
        <w:trPr>
          <w:trHeight w:val="27"/>
        </w:trPr>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15,666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2,049</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(2,113)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1,442</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Total deferred</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18,901</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temporary differences that give rise to deferred tax assets and liabilities are presented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Doubtful accounts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2,665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17,329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Tax credits</w:t>
            </w: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5,345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26,287</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step up</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Net current deferred tax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24,135</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current 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Benefits and compensation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9,303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17,966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1,304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42,399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45,148</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Financing costs</w:t>
            </w:r>
          </w:p>
        </w:tc>
        <w:tc>
          <w:tcPr>
            <w:tcW w:w="200" w:type="dxa"/>
            <w:vAlign w:val="bottom"/>
          </w:tcPr>
          <w:p>
            <w:pPr>
              <w:spacing w:after="0"/>
              <w:rPr>
                <w:sz w:val="18"/>
                <w:szCs w:val="18"/>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color w:val="auto"/>
              </w:rPr>
              <w:t>13,882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&amp; state tax credits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88,066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89,235</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Non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&amp; fixed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(30,829)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(44,224)</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Contingent interest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Total non current liabilities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(39,469)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Net non current deferred tax assets/(liabilities)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17,754</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deferred tax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41,889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568"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68"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 valuation allowance of $40.8 million, $43.6 million and $1.6 million is recorded against the Company’s gross deferred tax assets of $114.4 million, $116.5 million and $28.3 million of deferred tax assets recorded at December 31, 2008, 2007 and 2006, respectively. This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5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valuation allowance decreased by $2.8 million in 2008 mainly as a result of future realizability of net operating losses, increased by $42.1 million in 2007 mainly as a result of current year acquisitions of loss companies and decreased by $3.5 million in 2006 due to a decrease in deferred tax assets relating to stock-based compensation, which exceeded the deductible limits prescribed by the relevant income tax laws.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$11.5 million of additional paid-in capital for the year ended December 31, 2008.</w:t>
      </w:r>
    </w:p>
    <w:p>
      <w:pPr>
        <w:spacing w:after="0" w:line="14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As discussed in Note 5, in connection with the issuance of the new Notes on June 11, 2007, the Company entered into call transactions and warrant transactions, primarily with affiliates of the initial purchasers of the Notes (the “hedge participants”), in connection with each series of Notes. The cost of the purchased call transactions to the Company was approximately $46.8 million. The Company recorded a deferred tax asset of approximately $17.5 million related to the future deduction of costs related to this transaction that it will be able to receive with a corresponding increase to additional paid-in-capital, consistent with the recording of the purchased call. While the transaction occurred in the second quarter of 2007, the related deferred tax asset was recorded in the fourth quarter of 2007. This amount was not considered material to the quarterly balance sheets.</w:t>
      </w:r>
    </w:p>
    <w:p>
      <w:pPr>
        <w:spacing w:after="0" w:line="14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 xml:space="preserve">The Company adopted the provisions of FASB Interpretation No.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on January 1, 2007. FIN 48 clarifies the accounting for uncertainty in income taxes in an enterprise’s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As a result of the implementation of FIN 48, the Company recognized approximately a $2.0 million increase in the liability for unrecognized tax benefits resulting in a “cumulative effect” decrease to opening retained earnings of $1.7 million and an increase in goodwill of $0.3 million. A reconciliation of the beginning and ending amount of unrecognized tax benefits is as follows (in thousands):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948</w:t>
            </w:r>
          </w:p>
        </w:tc>
      </w:tr>
      <w:tr>
        <w:trPr>
          <w:trHeight w:val="216"/>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Lapse of statute</w:t>
            </w:r>
          </w:p>
        </w:tc>
        <w:tc>
          <w:tcPr>
            <w:tcW w:w="3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balance at December 31, 2008 of approximately $9.0 million relates to unrecognized tax positions that, if recognized, would affect the annual effective tax rate. Included in the balance of unrecognized tax positions at December 31, 2008, is $2.3 million related to tax positions for which it is reasonably possible that the total amounts could significantly change during the twelve months following December 31, 2008, as a result of expiring statutes of limitations.</w:t>
      </w:r>
    </w:p>
    <w:p>
      <w:pPr>
        <w:spacing w:after="0" w:line="13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recognized accrued interest and penalties relating to unrecognized tax positions in income tax expense. During the year ended December 31, 2008, the Company recognized approximately $0.5 million in interest and penalties of which $0.7 million was reflected in the income statement and $(0.2) million was a balance sheet adjustment. The Company had approximately $2.5 million, $2.0 million and $1.3 million of interest and penalties accrued at December 31, 2008, 2007 and 2006, respectively.</w:t>
      </w:r>
    </w:p>
    <w:p>
      <w:pPr>
        <w:spacing w:after="0" w:line="161"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Company files Federal income tax returns, as well as multiple state, local and foreign jurisdiction tax returns. The Company is no longer subject to examinations of its Federal income tax returns by the Internal Revenue Service (“IRS”) through fiscal year 2003. All significant state and local matters have been concluded through fiscal 2004. All significant foreign matters have been settled through fiscal 2001. The IRS has begun an examination of the tax returns of the Company’s subsidiary that has operations in Puerto Rico for fiscal 2004 and 2005 and of the Company’s U.S. consolidated Federal returns for 2005, 2006 and 2007. At this time the Company does not anticipate that any material adjustments will result from these examinations.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NET INCOME PER SHARE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Amounts used in the calculation of basic and diluted net income per share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w w:val="89"/>
              </w:rPr>
              <w:t>(In thousands, except per share amounts)</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34,933</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33,471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29,407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27,781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27,712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29,300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34,933</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33,471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29,407</w:t>
            </w: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Add back: Interest expense and other income related to convertible notes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net of tax</w:t>
            </w: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33,480</w:t>
            </w:r>
          </w:p>
        </w:tc>
        <w:tc>
          <w:tcPr>
            <w:tcW w:w="3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31,661</w:t>
            </w: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27,781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27,712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29,300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Restricted stock and stock options</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notes payable</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2,737</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29,578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32,747</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Shares of common stock issuable through exercise or conversion of the following dilutive securities were not included in the computation of diluted net income per share for each period because their effect would have been antidilutive:</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jc w:val="right"/>
              <w:ind w:right="3850"/>
              <w:spacing w:after="0"/>
              <w:rPr>
                <w:sz w:val="20"/>
                <w:szCs w:val="20"/>
                <w:color w:val="auto"/>
              </w:rPr>
            </w:pPr>
            <w:r>
              <w:rPr>
                <w:rFonts w:ascii="Arial" w:cs="Arial" w:eastAsia="Arial" w:hAnsi="Arial"/>
                <w:sz w:val="18"/>
                <w:szCs w:val="18"/>
                <w:color w:val="auto"/>
                <w:w w:val="89"/>
              </w:rPr>
              <w:t>Stock options and restricted stock</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530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w:t>
            </w:r>
          </w:p>
        </w:tc>
      </w:tr>
    </w:tbl>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 contract stock unit award that entitles the holder to 750,000 shares of common stock and Restricted Units that entitle the holder to 1,125,000 shares of common stock (see Note 8) are included in the basic and diluted weighted average shares outstanding calculation from their date of issuance because no further consideration is due related to the issuance of the underlying common shares.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DEVELOPMENT, DISTRIBUTION, AND LICENSE AGREEMENTS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has various development, distribution, and license agreements under which it receives payments. Significant agreements include the following:</w:t>
      </w:r>
    </w:p>
    <w:p>
      <w:pPr>
        <w:spacing w:after="0" w:line="130" w:lineRule="exact"/>
        <w:rPr>
          <w:sz w:val="20"/>
          <w:szCs w:val="20"/>
          <w:color w:val="auto"/>
        </w:rPr>
      </w:pPr>
    </w:p>
    <w:p>
      <w:pPr>
        <w:jc w:val="both"/>
        <w:ind w:left="340" w:right="559" w:firstLine="373"/>
        <w:spacing w:after="0" w:line="239" w:lineRule="auto"/>
        <w:rPr>
          <w:sz w:val="20"/>
          <w:szCs w:val="20"/>
          <w:color w:val="auto"/>
        </w:rPr>
      </w:pPr>
      <w:r>
        <w:rPr>
          <w:rFonts w:ascii="Arial" w:cs="Arial" w:eastAsia="Arial" w:hAnsi="Arial"/>
          <w:sz w:val="18"/>
          <w:szCs w:val="18"/>
          <w:color w:val="auto"/>
        </w:rPr>
        <w:t>The Company has an agreement with Wyeth for the development of collagen and other absorbable matrices to be used in conjunction with Wyeth’s recombinant human bone morphogenetic protein-2 (rhBMP-2) in a variety of bone regeneration applications. The agreement with Wyeth requires Integra to supply Absorbable Collagen Sponges to Wyeth (including those that Wyeth sells to Medtronic Sofamor Danek with rhBMP-2 for use in Medtronic Sofamor Danek’s INFUSE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at specified prices. In addition, the Company receives a royalty equal to a percentage of Wyeth’s sales of surgical kits combining rhBMP-2 and the Absorbable Collagen Sponges. The agreement terminates in 2012, but may be extended at the option of the parties. The agreement does not provide for milestones or other contingent payments, but Wyeth pays the Company to assist with regulatory affairs and research.</w:t>
      </w: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0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559" w:firstLine="373"/>
        <w:spacing w:after="0" w:line="265"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U.S. Patent No. 5,997,895 (the “‘895 Patent”) held by the Company. The Company’s patent covers dural repair technology related to the Company’s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duraplasty products.</w:t>
      </w:r>
    </w:p>
    <w:p>
      <w:pPr>
        <w:spacing w:after="0" w:line="38" w:lineRule="exact"/>
        <w:rPr>
          <w:sz w:val="20"/>
          <w:szCs w:val="20"/>
          <w:color w:val="auto"/>
        </w:rPr>
      </w:pPr>
    </w:p>
    <w:p>
      <w:pPr>
        <w:jc w:val="both"/>
        <w:ind w:left="340" w:right="559" w:firstLine="373"/>
        <w:spacing w:after="0" w:line="216" w:lineRule="auto"/>
        <w:rPr>
          <w:sz w:val="20"/>
          <w:szCs w:val="20"/>
          <w:color w:val="auto"/>
        </w:rPr>
      </w:pPr>
      <w:r>
        <w:rPr>
          <w:rFonts w:ascii="Arial" w:cs="Arial" w:eastAsia="Arial" w:hAnsi="Arial"/>
          <w:sz w:val="17"/>
          <w:szCs w:val="17"/>
          <w:color w:val="auto"/>
        </w:rPr>
        <w:t>The action seeks declaratory relief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Graft Matrix. The Company has filed a counterclaim against Codman, alleging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infringes the ‘895 Patent, seeking injunctive relief preventing the sale and use of DURAFORM</w:t>
      </w:r>
      <w:r>
        <w:rPr>
          <w:rFonts w:ascii="Arial" w:cs="Arial" w:eastAsia="Arial" w:hAnsi="Arial"/>
          <w:sz w:val="25"/>
          <w:szCs w:val="25"/>
          <w:color w:val="auto"/>
          <w:vertAlign w:val="superscript"/>
        </w:rPr>
        <w:t>®</w:t>
      </w:r>
      <w:r>
        <w:rPr>
          <w:rFonts w:ascii="Arial" w:cs="Arial" w:eastAsia="Arial" w:hAnsi="Arial"/>
          <w:sz w:val="17"/>
          <w:szCs w:val="17"/>
          <w:color w:val="auto"/>
        </w:rPr>
        <w:t>, and seeking damages, including treble damages, for past infringement.</w:t>
      </w:r>
    </w:p>
    <w:p>
      <w:pPr>
        <w:spacing w:after="0" w:line="4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2008, the Company revised the manner in which it presents its revenues. The Company now presents its revenues in three categories: Integra NeuroSciences, Integra Orthopedics and Integra Medical Instruments. This change better aligns the Company’s product categories by functional product characteristic and intended use.</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Revenue consisted of the following:</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r>
      <w:tr>
        <w:trPr>
          <w:trHeight w:val="210"/>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Integra NeuroSciences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256,869</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242,631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200,808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Integra Orthopedics</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217,953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143,917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110,209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179,782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163,911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108,280</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revenue,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654,604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550,459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419,297</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37" w:lineRule="auto"/>
        <w:rPr>
          <w:sz w:val="20"/>
          <w:szCs w:val="20"/>
          <w:color w:val="auto"/>
        </w:rPr>
      </w:pPr>
      <w:r>
        <w:rPr>
          <w:rFonts w:ascii="Arial" w:cs="Arial" w:eastAsia="Arial" w:hAnsi="Arial"/>
          <w:sz w:val="18"/>
          <w:szCs w:val="18"/>
          <w:color w:val="auto"/>
        </w:rPr>
        <w:t>Certain of the Company’s products, including the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NeuraGen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families and the Integra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Dermal Regeneration Template and wound 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comprised 22%, 22% and 25%, of revenues in 2008, 2007, and 2006,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Total revenue, net and long-lived assets (excluding intangible assets, financial instruments and deferred tax assets) by major geographic area are summarized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Asia Pacific</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Other Foreign</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r>
      <w:tr>
        <w:trPr>
          <w:trHeight w:val="210"/>
        </w:trPr>
        <w:tc>
          <w:tcPr>
            <w:tcW w:w="2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74"/>
              </w:rPr>
              <w:t>(In thousands)</w:t>
            </w: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494,459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98,848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28,509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32,788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654,604</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417,035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85,764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21,399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26,261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550,459</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317,503</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77,100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12,315</w:t>
            </w: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12,379</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419,297</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December 31, 2008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58,379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22,743</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81,191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50,953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74,876</w:t>
            </w:r>
          </w:p>
        </w:tc>
      </w:tr>
      <w:tr>
        <w:trPr>
          <w:trHeight w:val="405"/>
        </w:trPr>
        <w:tc>
          <w:tcPr>
            <w:tcW w:w="5360" w:type="dxa"/>
            <w:vAlign w:val="bottom"/>
            <w:gridSpan w:val="7"/>
          </w:tcPr>
          <w:p>
            <w:pPr>
              <w:spacing w:after="0"/>
              <w:rPr>
                <w:sz w:val="20"/>
                <w:szCs w:val="20"/>
                <w:color w:val="auto"/>
              </w:rPr>
            </w:pPr>
            <w:r>
              <w:rPr>
                <w:rFonts w:ascii="Arial" w:cs="Arial" w:eastAsia="Arial" w:hAnsi="Arial"/>
                <w:sz w:val="18"/>
                <w:szCs w:val="18"/>
                <w:b w:val="1"/>
                <w:bCs w:val="1"/>
                <w:color w:val="auto"/>
              </w:rPr>
              <w:t>16. SELECTED QUARTERLY INFORMATION — UNAUDITED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Fourth</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Second</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First</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20" w:type="dxa"/>
            <w:vAlign w:val="bottom"/>
          </w:tcPr>
          <w:p>
            <w:pPr>
              <w:spacing w:after="0"/>
              <w:rPr>
                <w:sz w:val="20"/>
                <w:szCs w:val="20"/>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580" w:type="dxa"/>
            <w:vAlign w:val="bottom"/>
            <w:gridSpan w:val="6"/>
          </w:tcPr>
          <w:p>
            <w:pPr>
              <w:spacing w:after="0"/>
              <w:rPr>
                <w:sz w:val="20"/>
                <w:szCs w:val="20"/>
                <w:color w:val="auto"/>
              </w:rPr>
            </w:pPr>
            <w:r>
              <w:rPr>
                <w:rFonts w:ascii="Arial" w:cs="Arial" w:eastAsia="Arial" w:hAnsi="Arial"/>
                <w:sz w:val="18"/>
                <w:szCs w:val="18"/>
                <w:b w:val="1"/>
                <w:bCs w:val="1"/>
                <w:color w:val="auto"/>
                <w:w w:val="87"/>
              </w:rPr>
              <w:t>thousands, except per share data)</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revenue, net: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174,370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157,198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156,008</w:t>
            </w:r>
          </w:p>
        </w:tc>
        <w:tc>
          <w:tcPr>
            <w:tcW w:w="0" w:type="dxa"/>
            <w:vAlign w:val="bottom"/>
          </w:tcPr>
          <w:p>
            <w:pPr>
              <w:spacing w:after="0"/>
              <w:rPr>
                <w:sz w:val="1"/>
                <w:szCs w:val="1"/>
                <w:color w:val="auto"/>
              </w:rPr>
            </w:pPr>
          </w:p>
        </w:tc>
      </w:tr>
      <w:tr>
        <w:trPr>
          <w:trHeight w:val="216"/>
        </w:trPr>
        <w:tc>
          <w:tcPr>
            <w:tcW w:w="4400" w:type="dxa"/>
            <w:vAlign w:val="bottom"/>
          </w:tcPr>
          <w:p>
            <w:pPr>
              <w:jc w:val="right"/>
              <w:ind w:right="3750"/>
              <w:spacing w:after="0"/>
              <w:rPr>
                <w:sz w:val="20"/>
                <w:szCs w:val="20"/>
                <w:color w:val="auto"/>
              </w:rPr>
            </w:pPr>
            <w:r>
              <w:rPr>
                <w:rFonts w:ascii="Arial" w:cs="Arial" w:eastAsia="Arial" w:hAnsi="Arial"/>
                <w:sz w:val="18"/>
                <w:szCs w:val="18"/>
                <w:color w:val="auto"/>
              </w:rPr>
              <w:t>2007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157,645</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135,015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134,767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123,032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jc w:val="right"/>
              <w:ind w:right="375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106,232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102,711</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99,039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93,796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84,152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81,959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74,455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(15,291)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13,814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16"/>
        </w:trPr>
        <w:tc>
          <w:tcPr>
            <w:tcW w:w="4400" w:type="dxa"/>
            <w:vAlign w:val="bottom"/>
          </w:tcPr>
          <w:p>
            <w:pPr>
              <w:jc w:val="right"/>
              <w:ind w:right="375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5,383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9,673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9,341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jc w:val="right"/>
              <w:ind w:right="3750"/>
              <w:spacing w:after="0"/>
              <w:rPr>
                <w:sz w:val="20"/>
                <w:szCs w:val="20"/>
                <w:color w:val="auto"/>
              </w:rPr>
            </w:pPr>
            <w:r>
              <w:rPr>
                <w:rFonts w:ascii="Arial" w:cs="Arial" w:eastAsia="Arial" w:hAnsi="Arial"/>
                <w:sz w:val="18"/>
                <w:szCs w:val="18"/>
                <w:color w:val="auto"/>
              </w:rPr>
              <w:t>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jc w:val="right"/>
              <w:ind w:right="375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0"/>
        </w:trPr>
        <w:tc>
          <w:tcPr>
            <w:tcW w:w="4400" w:type="dxa"/>
            <w:vAlign w:val="bottom"/>
          </w:tcPr>
          <w:p>
            <w:pPr>
              <w:jc w:val="right"/>
              <w:ind w:right="3750"/>
              <w:spacing w:after="0"/>
              <w:rPr>
                <w:sz w:val="20"/>
                <w:szCs w:val="20"/>
                <w:color w:val="auto"/>
              </w:rPr>
            </w:pPr>
            <w:r>
              <w:rPr>
                <w:rFonts w:ascii="Arial" w:cs="Arial" w:eastAsia="Arial" w:hAnsi="Arial"/>
                <w:sz w:val="18"/>
                <w:szCs w:val="18"/>
                <w:color w:val="auto"/>
              </w:rPr>
              <w:t>2007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An in-process research and development charge of $25.2 million related to the Theken acquisition and $18.4 million related to a stock-compensation charge and related expenses were recorded in the third quarter of 2008.</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 tax benefit of $10.0 million associated with the restructuring of one of our German subsidiaries was recorded in the fourth quarter of 2008.</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2008, 2007, and 2006, the Company recorded the following charges in connection with its restructuring activities: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Second</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First</w:t>
            </w:r>
          </w:p>
        </w:tc>
      </w:tr>
      <w:tr>
        <w:trPr>
          <w:trHeight w:val="234"/>
        </w:trPr>
        <w:tc>
          <w:tcPr>
            <w:tcW w:w="4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Facility exit costs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During the fourth quarter of 2008, the Company noted certain adjustments which related to prior quarters, primarily related to income taxes. Because these changes are not material to the current or previous periods, we have recorded them in the fourth quarter of 2008. The impact of recording these adjustments during the fourth quarter of 2008 resulted in a decrease to net income of $2.6 million.</w:t>
      </w:r>
    </w:p>
    <w:p>
      <w:pPr>
        <w:spacing w:after="0" w:line="146"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the fourth quarter of 2007, the Company noted certain adjustments which related to prior periods. Because these changes are not material to the current or previous periods, we have recorded them in the fourth quarter of 2007. The impact of recording these adjustments during the fourth quarter of 2007 resulted in a net decrease to operating income of $0.4 million, a net increase in pre-tax income of $1.8 million, and a decrease to net income of $0.8 million. Approximately $0.9 million of the pre-tax impact related to prior years and $0.9 related to prior quarters in 2007. Related to net income, there was a $0.2 million increase to net income recorded in the fourth quarter of 2007 related to prior years and a $1.0 million decrease related to prior quarters in 2007, resulting in a total decrease of $0.8 million associated with the out-of-period adjustments.</w:t>
      </w:r>
    </w:p>
    <w:p>
      <w:pPr>
        <w:sectPr>
          <w:pgSz w:w="11900" w:h="16838" w:orient="portrait"/>
          <w:cols w:equalWidth="0" w:num="1">
            <w:col w:w="10219"/>
          </w:cols>
          <w:pgMar w:left="240" w:top="419" w:right="1440" w:bottom="271"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71"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gridSpan w:val="12"/>
          </w:tcPr>
          <w:p>
            <w:pPr>
              <w:jc w:val="center"/>
              <w:ind w:left="1190"/>
              <w:spacing w:after="0"/>
              <w:rPr>
                <w:sz w:val="20"/>
                <w:szCs w:val="20"/>
                <w:color w:val="auto"/>
              </w:rPr>
            </w:pPr>
            <w:r>
              <w:rPr>
                <w:rFonts w:ascii="Arial" w:cs="Arial" w:eastAsia="Arial" w:hAnsi="Arial"/>
                <w:sz w:val="18"/>
                <w:szCs w:val="18"/>
                <w:b w:val="1"/>
                <w:bCs w:val="1"/>
                <w:color w:val="auto"/>
              </w:rPr>
              <w:t>VALUATION AND QUALIFYING ACCOUNTS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rPr>
              <w:t>SCHEDULE II</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Balance at</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Charged to</w:t>
            </w:r>
          </w:p>
        </w:tc>
        <w:tc>
          <w:tcPr>
            <w:tcW w:w="240" w:type="dxa"/>
            <w:vAlign w:val="bottom"/>
          </w:tcPr>
          <w:p>
            <w:pPr>
              <w:spacing w:after="0"/>
              <w:rPr>
                <w:sz w:val="24"/>
                <w:szCs w:val="2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Charged to</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Balance at</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Beginning of</w:t>
            </w: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Costs and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End of</w:t>
            </w:r>
          </w:p>
        </w:tc>
      </w:tr>
      <w:tr>
        <w:trPr>
          <w:trHeight w:val="234"/>
        </w:trPr>
        <w:tc>
          <w:tcPr>
            <w:tcW w:w="340" w:type="dxa"/>
            <w:vAlign w:val="bottom"/>
          </w:tcPr>
          <w:p>
            <w:pPr>
              <w:spacing w:after="0"/>
              <w:rPr>
                <w:sz w:val="20"/>
                <w:szCs w:val="20"/>
                <w:color w:val="auto"/>
              </w:rPr>
            </w:pPr>
          </w:p>
        </w:tc>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Accounts(1)</w:t>
            </w:r>
          </w:p>
        </w:tc>
        <w:tc>
          <w:tcPr>
            <w:tcW w:w="340" w:type="dxa"/>
            <w:vAlign w:val="bottom"/>
          </w:tcPr>
          <w:p>
            <w:pPr>
              <w:spacing w:after="0"/>
              <w:rPr>
                <w:sz w:val="20"/>
                <w:szCs w:val="20"/>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Deductions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Period</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w w:val="96"/>
              </w:rPr>
              <w:t>Allowance for doubtful accounts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sales returns and allowances</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7,816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10,052</w:t>
            </w: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23,501</w:t>
            </w: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Deferred tax asset valuation allowance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43,636</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(2,521)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40,822</w:t>
            </w: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w w:val="96"/>
              </w:rPr>
              <w:t>Allowance for doubtful accounts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sales returns and allowances</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4,858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7,816</w:t>
            </w: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24,088</w:t>
            </w:r>
          </w:p>
        </w:tc>
      </w:tr>
      <w:tr>
        <w:trPr>
          <w:trHeight w:val="216"/>
        </w:trPr>
        <w:tc>
          <w:tcPr>
            <w:tcW w:w="34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Deferred tax asset valuation allowance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39,702</w:t>
            </w: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43,636</w:t>
            </w: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w w:val="96"/>
              </w:rPr>
              <w:t>Allowance for doubtful accounts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sales returns and allowances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4,114</w:t>
            </w:r>
          </w:p>
        </w:tc>
      </w:tr>
      <w:tr>
        <w:trPr>
          <w:trHeight w:val="216"/>
        </w:trPr>
        <w:tc>
          <w:tcPr>
            <w:tcW w:w="34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14,786</w:t>
            </w:r>
          </w:p>
        </w:tc>
      </w:tr>
      <w:tr>
        <w:trPr>
          <w:trHeight w:val="230"/>
        </w:trPr>
        <w:tc>
          <w:tcPr>
            <w:tcW w:w="3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Deferred tax asset valuation allowance</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248285</wp:posOffset>
            </wp:positionV>
            <wp:extent cx="10636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680" w:right="559" w:hanging="348"/>
        <w:spacing w:after="0" w:line="259"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amounts shown were recorded to goodwill in connection with acquisitions except for the $3.5 million reduction in the deferred tax asset valuation allowance in 2006, which was written off against the gross deferred tax asset, the 2007 amount charged to additional paid-in capital for $2.7 million and the 2008 amount charged to additional paid-in-capital for $2.0 million.</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2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7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3.1(a)</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Amended and Restated Certificate of Incorporation of the Company (Incorporated by reference to</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Exhibit 3.1(a) to the Company’s Annual Report on Form 10-K for the year ended December 31, 2005)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3.1(b)</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7"/>
              </w:rPr>
              <w:t>Certificate of Amendment to Amended and Restated Certificate of Incorporation dated May 22, 1998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 to Exhibit 3.1(b) to the Company’s Annual Report on Form 10-K for the year</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ended December 31, 1998)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3.1(c)</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Certificate of Amendment to Amended and Restated Certificate of Incorporation dated May 17, 1999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(Incorporated by reference to Exhibit 3.1(c) to the Company’s Annual Report on Form 10-K for the year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ended December 31, 2004)</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3.2</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0"/>
              </w:rPr>
              <w:t>Amended and Restated By-laws of the Company (Incorporated by reference to Exhibit 3.1 to the Company’s</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Current Report on Form 8-K filed on November 3, 2006)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4.1</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Indenture, dated as of March 31, 2003, between the Company and Wells Fargo Bank Minnesota, National</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Association (Incorporated by reference to Exhibit 4.1 to the Company’s Quarterly Report on Form 10-Q for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quarter ended March 31, 2003)</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4.2</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1"/>
              </w:rPr>
              <w:t>Registration Rights Agreement, dated as of March 31, 2003, between the Company and Credit Suisse First</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Boston, LLC, Banc of America Securities LLC and U.S. Bancorp Piper Jaffray Inc. (Incorporated by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reference to Exhibit 4.3 to the Company’s Registration Statement on Form S-3 filed on June 30, 2003 (File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No. 333-106625))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4.3(a)</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Credit Agreement, dated as of December 22, 2005, among Integra LifeSciences Holdings Corporation, the</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Citibank FSB and SunTrust Bank, as Co-Syndication Agents, and Royal Bank of Canada and Wachovia</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Bank, National Association, as Co-Documentation Agents (Incorporated by reference to Exhibit 10.1 to the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Company’s Current Report on Form 8-K filed on December 29, 2005)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4.3(b)</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3"/>
              </w:rPr>
              <w:t>First Amendment, dated as of February 15, 2006, among Integra LifeSciences Holdings Corporation, the</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lenders party thereto, Bank of America, N.A., as Administrative Agent, Swing Line Lender and L/C Issuer,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Citibank FSB and SunTrust Bank, as Co-Syndication Agents, and Royal Bank of Canada and Wachovia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Bank, National Association, as Co-Documentation Agents (Incorporated by reference to Exhibit 4.3(b) to</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the Company’s Annual Report on Form 10-K for the year ended December 31, 2005)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4.3(c)</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Second Amendment, dated as of February 23, 2007, among Integra LifeSciences Holdings Corporation, the</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Citibank FSB and SunTrust Bank, as Co-Syndication Agents, and Royal Bank of Canada and Wachovia</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Bank, National Association, as Co-Documentation Agents (Incorporated by reference to Exhibit 4.1 to the</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Company’s Current Report on Form 8-K filed on February 27, 2007)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4.3(d)</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0"/>
              </w:rPr>
              <w:t>Third Amendment, dated as of June 4, 2007, among Integra LifeSciences Holdings Corporation, the lenders</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party thereto, Bank of America, N.A., as Administrative Agent, Swing Line Lender and L/C Issuer,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Citibank, N.A., successor by merger to Citibank, FSB, as Syndication Agent and JPMorgan Chase Bank,</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N.A., Deutsche Bank Trust Company Americas and Royal Bank of Canada, as Co-Documentation Agents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120" w:type="dxa"/>
            <w:vAlign w:val="bottom"/>
          </w:tcPr>
          <w:p>
            <w:pPr>
              <w:ind w:left="300"/>
              <w:spacing w:after="0"/>
              <w:rPr>
                <w:sz w:val="20"/>
                <w:szCs w:val="20"/>
                <w:color w:val="auto"/>
              </w:rPr>
            </w:pPr>
            <w:r>
              <w:rPr>
                <w:rFonts w:ascii="Arial" w:cs="Arial" w:eastAsia="Arial" w:hAnsi="Arial"/>
                <w:sz w:val="18"/>
                <w:szCs w:val="18"/>
                <w:color w:val="auto"/>
              </w:rPr>
              <w:t>2007)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4.3(e)</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Fourth Amendment, dated as of September 5, 2007, among Integra LifeSciences Holdings Corporation, the</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lenders party thereto, Bank of America, N.A., as Administrative Agent, Swing Line Lender and L/C Issuer,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Citibank, N.A., successor by merger to Citibank FSB, as Syndication Agent and JPMorgan Chase Bank,</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N.A., Deutsche Bank Trust Company Americas and Royal Bank of Canada, as Co-Documentation Agents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September 6, 2007)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4.4</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0"/>
              </w:rPr>
              <w:t>Security Agreement, dated as of December 22, 2005, among Integra LifeSciences Holdings Corporation and</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the additional grantors party thereto in favor of Bank of America, N.A., as administrative and collateral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agent (Incorporated by reference to Exhibit 4.4 to the Company’s Annual Report on Form 10-K for the year</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ended December 31, 2005)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4.5</w:t>
            </w:r>
          </w:p>
        </w:tc>
        <w:tc>
          <w:tcPr>
            <w:tcW w:w="81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1"/>
              </w:rPr>
              <w:t>Pledge Agreement, dated as of December 22, 2005, among Integra LifeSciences Holdings Corporation and</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the additional grantors party thereto in favor of Bank of America, N.A., as administrative and collateral</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agent (Incorporated by reference to Exhibit 4.5 to the Company’s Annual Report on Form 10-K for the year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ended December 31, 2005)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00" w:type="dxa"/>
            <w:vAlign w:val="bottom"/>
          </w:tcPr>
          <w:p>
            <w:pPr>
              <w:ind w:left="480"/>
              <w:spacing w:after="0" w:line="201" w:lineRule="exact"/>
              <w:rPr>
                <w:sz w:val="20"/>
                <w:szCs w:val="20"/>
                <w:color w:val="auto"/>
              </w:rPr>
            </w:pPr>
            <w:r>
              <w:rPr>
                <w:rFonts w:ascii="Arial" w:cs="Arial" w:eastAsia="Arial" w:hAnsi="Arial"/>
                <w:sz w:val="18"/>
                <w:szCs w:val="18"/>
                <w:color w:val="auto"/>
              </w:rPr>
              <w:t>4.6</w:t>
            </w:r>
          </w:p>
        </w:tc>
        <w:tc>
          <w:tcPr>
            <w:tcW w:w="8120" w:type="dxa"/>
            <w:vAlign w:val="bottom"/>
          </w:tcPr>
          <w:p>
            <w:pPr>
              <w:ind w:left="300"/>
              <w:spacing w:after="0" w:line="201" w:lineRule="exact"/>
              <w:rPr>
                <w:sz w:val="20"/>
                <w:szCs w:val="20"/>
                <w:color w:val="auto"/>
              </w:rPr>
            </w:pPr>
            <w:r>
              <w:rPr>
                <w:rFonts w:ascii="Arial" w:cs="Arial" w:eastAsia="Arial" w:hAnsi="Arial"/>
                <w:sz w:val="18"/>
                <w:szCs w:val="18"/>
                <w:color w:val="auto"/>
                <w:w w:val="92"/>
              </w:rPr>
              <w:t>Subsidiary Guaranty Agreement, dated as of December 22, 2005, among the guarantors party thereto and</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individually as a “Guarantor”), in favor of Bank of America, N.A., as administrative and collateral agent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 to Exhibit 4.6 to the Company’s Annual Report on Form 10-K for the year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80" w:type="dxa"/>
            <w:vAlign w:val="bottom"/>
            <w:gridSpan w:val="2"/>
          </w:tcPr>
          <w:p>
            <w:pPr>
              <w:ind w:left="30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81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Indenture, dated as of September 29, 2006, between the Company and Wells Fargo Bank, N.A.</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October 5,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4.8</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Indenture, dated June 11, 2007, among Integra LifeSciences Holdings Corporation, Integra LifeSciences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Corporation and Wells Fargo Bank, N.A., as trustee (Incorporated by reference to Exhibit 4.1 to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4.9</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2.75% Senior Convertible Note due 2010 (included in Exhibit 4.8)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Exhibit 4.2 to the 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4.10</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Indenture, dated June 11, 2007, among Integra LifeSciences Holdings Corporation, Integra LifeSciences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Corporation and Wells Fargo Bank, N.A., as trustee (Incorporated by reference to Exhibit 4.3 to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4.11</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2.375% Senior Convertible Note due 2012 (included in Exhibit 4.10) (Incorporated by reference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Exhibit 4.4 to the 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4.12</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Registration Rights Agreement, dated June 11, 2007, among Integra LifeSciences Holdings Corporation,</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Banc of America Securities LLC, J.P. Morgan Securities Inc. and Morgan Stanley &amp; Co., Incorporated, as</w:t>
            </w: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representatives of the several initial purchasers (Incorporated by reference to Exhibit 4.5 to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4.13</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Registration Rights Agreement, dated June 11, 2007, among Integra LifeSciences Holdings Corporation,</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Banc of America Securities LLC, J.P. Morgan Securities Inc. and Morgan Stanley &amp; Co., Incorporated, as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representatives of the several initial purchasers (Incorporated by reference to Exhibit 4.6 to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Lease between Plainsboro Associates and American Biomaterials Corporation dated as of April 16, 1985,</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as assigned to Colla-Tec, Inc. on October 24, 1989 and as amended through November 1, 1992</w:t>
            </w: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10.30 to the Company’s Registration Statement on Form 10/A (File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No. 0-26224) which became effective on August 8, 1995)</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10.1(b)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Lease Modification #2 entered into as of the 28th day of October, 2005, by and between Plainsboro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Associates and Integra LifeSciences Corporation (Incorporated by reference to Exhibit 10.1 to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November 2, 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10.2</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Equipment Lease Agreement between Medicus Corporation and the Company, dated as of June 1, 2000</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10.1 to the Company’s Quarterly Report on Form 10-Q for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quarter ended June 30, 2000)</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10.3</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Form of Indemnification Agreement between the Company and [ ] dated August 16, 1995, including a</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schedule identifying the individuals that are a party to such Indemnification Agreements (Incorporated by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reference to Exhibit 10.37 to the Company’s Registration Statement on Form S-1 (File No. 33-98698)</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which became effective on January 24, 1996)*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10.4</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rPr>
              <w:t>1993 Incentive Stock Option and Non-Qualified Stock Option Plan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10.32 to the Company’s Registration Statement on Form 10/A (File No. 0-26224) which became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effective on August 8, 1995)*</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10.5</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1996 Incentive Stock Option and Non-Qualified Stock Option Plan (as amended through December 27,</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1997) (Incorporated by reference to Exhibit 10.4 to the Company’s Current Report on Form 8-K filed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February 3, 1998)*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10.6</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8"/>
              </w:rPr>
              <w:t>1998 Stock Option Plan (amended and restated as of July 26, 2005)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10.3 to the Company’s Quarterly Report on Form 10-Q for the quarter ended September 30,</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10.7</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8"/>
              </w:rPr>
              <w:t>1999 Stock Option Plan (amended and restated as of July 26, 2005)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Exhibit 10.4 to the Company’s Quarterly Report on Form 10-Q for the quarter ended September 30,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10.8(a)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Employee Stock Purchase Plan (as amended on May 17, 2004) (Incorporated by reference to Exhibit 4.1</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to the Company’s Registration Statement on Form S-8 (Registration No. 333-127488) filed on August 12,</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10.8(b)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First  Amendment  to  the  Company’s  Employee  Stock  Purchase  Plan,  dated  October  26,  2005</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(Incorporated by reference to Exhibit 10.1 to the Company’s Current Report on Form 8-K filed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November 1, 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10.9</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2000 Equity Incentive Plan (amended and restated as of July 26, 2005)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10.5 to the Company’s Quarterly Report on Form 10-Q for the quarter ended September 30,</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jc w:val="right"/>
              <w:ind w:right="410"/>
              <w:spacing w:after="0" w:line="201" w:lineRule="exact"/>
              <w:rPr>
                <w:sz w:val="20"/>
                <w:szCs w:val="20"/>
                <w:color w:val="auto"/>
              </w:rPr>
            </w:pPr>
            <w:r>
              <w:rPr>
                <w:rFonts w:ascii="Arial" w:cs="Arial" w:eastAsia="Arial" w:hAnsi="Arial"/>
                <w:sz w:val="18"/>
                <w:szCs w:val="18"/>
                <w:color w:val="auto"/>
              </w:rPr>
              <w:t>10.10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2001 Equity Incentive Plan (amended and restated as of July 26, 2005)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Exhibit 10.6 to the Company’s Quarterly Report on Form 10-Q for the quarter ended September 30,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10.11(a)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2003 Equity Incentive Plan (amended and restated as of July 26, 2005) (Incorporated by reference to</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10.7 to the Company’s Quarterly Report on Form 10-Q for the quarter ended September 30,</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2005)*</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79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667"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left="2000" w:right="559" w:hanging="1167"/>
        <w:spacing w:after="0" w:line="256" w:lineRule="auto"/>
        <w:tabs>
          <w:tab w:leader="none" w:pos="198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8"/>
          <w:szCs w:val="18"/>
          <w:color w:val="auto"/>
        </w:rPr>
        <w:t>Integra LifeSciences Holdings Corporation Amended and Restated 2003 Equity Incentive Plan effective July 9, 2008 (Incorporated by reference to Exhibit 10.2 to the Company’s Current Report on Form 8-K filed on July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-410845</wp:posOffset>
            </wp:positionV>
            <wp:extent cx="59258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67"/>
        <w:spacing w:after="0" w:line="250" w:lineRule="auto"/>
        <w:tabs>
          <w:tab w:leader="none" w:pos="1980" w:val="left"/>
        </w:tabs>
        <w:rPr>
          <w:sz w:val="20"/>
          <w:szCs w:val="20"/>
          <w:color w:val="auto"/>
        </w:rPr>
      </w:pPr>
      <w:r>
        <w:rPr>
          <w:rFonts w:ascii="Arial" w:cs="Arial" w:eastAsia="Arial" w:hAnsi="Arial"/>
          <w:sz w:val="18"/>
          <w:szCs w:val="18"/>
          <w:color w:val="auto"/>
        </w:rPr>
        <w:t>10.11(c)</w:t>
      </w:r>
      <w:r>
        <w:rPr>
          <w:sz w:val="20"/>
          <w:szCs w:val="20"/>
          <w:color w:val="auto"/>
        </w:rPr>
        <w:tab/>
      </w:r>
      <w:r>
        <w:rPr>
          <w:rFonts w:ascii="Arial" w:cs="Arial" w:eastAsia="Arial" w:hAnsi="Arial"/>
          <w:sz w:val="18"/>
          <w:szCs w:val="18"/>
          <w:color w:val="auto"/>
        </w:rPr>
        <w:t>Amendment to the Integra LifeSciences Holdings Corporation 2003 Equity Incentive Plan dated July 9, 2008 (Incorporated by reference to Exhibit 10.3 to the Company’s Current Report on Form 8-K filed on July 11, 2008)*</w:t>
      </w:r>
    </w:p>
    <w:p>
      <w:pPr>
        <w:spacing w:after="0" w:line="1" w:lineRule="exact"/>
        <w:rPr>
          <w:sz w:val="20"/>
          <w:szCs w:val="20"/>
          <w:color w:val="auto"/>
        </w:rPr>
      </w:pP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8"/>
          <w:szCs w:val="18"/>
          <w:color w:val="auto"/>
        </w:rPr>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 w:lineRule="exact"/>
        <w:rPr>
          <w:sz w:val="20"/>
          <w:szCs w:val="20"/>
          <w:color w:val="auto"/>
        </w:rPr>
      </w:pP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10.12(c)</w:t>
      </w:r>
      <w:r>
        <w:rPr>
          <w:sz w:val="20"/>
          <w:szCs w:val="20"/>
          <w:color w:val="auto"/>
        </w:rPr>
        <w:tab/>
      </w:r>
      <w:r>
        <w:rPr>
          <w:rFonts w:ascii="Arial" w:cs="Arial" w:eastAsia="Arial" w:hAnsi="Arial"/>
          <w:sz w:val="17"/>
          <w:szCs w:val="17"/>
          <w:color w:val="auto"/>
        </w:rPr>
        <w:t>Amendment 2008-1, dated as of March 6, 2008, to the Second Amended and Restated Employment Agreement, between the Company and Stuart M. Essig (Incorporated by reference to Exhibit 10.12(c) to the Company’s Annual Report on Form 10-K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10.12(d)</w:t>
      </w:r>
      <w:r>
        <w:rPr>
          <w:sz w:val="20"/>
          <w:szCs w:val="20"/>
          <w:color w:val="auto"/>
        </w:rPr>
        <w:tab/>
      </w:r>
      <w:r>
        <w:rPr>
          <w:rFonts w:ascii="Arial" w:cs="Arial" w:eastAsia="Arial" w:hAnsi="Arial"/>
          <w:sz w:val="17"/>
          <w:szCs w:val="17"/>
          <w:color w:val="auto"/>
        </w:rPr>
        <w:t>Amendment 2008-2, dated as of August 6, 2008, to the Second Amended and Restated Employment Agreement between Stuart M. Essig and the Company (Incorporated by reference to Exhibit 10.7 to the Company’s Quarterly Report on Form 10-Q for the quarter ended June 30, 2008)*</w:t>
      </w:r>
    </w:p>
    <w:p>
      <w:pPr>
        <w:spacing w:after="0" w:line="1" w:lineRule="exact"/>
        <w:rPr>
          <w:sz w:val="20"/>
          <w:szCs w:val="20"/>
          <w:color w:val="auto"/>
        </w:rPr>
      </w:pPr>
    </w:p>
    <w:p>
      <w:pPr>
        <w:jc w:val="both"/>
        <w:ind w:left="2000" w:right="559" w:hanging="1174"/>
        <w:spacing w:after="0" w:line="281" w:lineRule="auto"/>
        <w:tabs>
          <w:tab w:leader="none" w:pos="19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Indemnity letter agreement dated December 27, 1997 from the Company to Stuart M. Essig (Incorporated by reference to Exhibit 10.5 to the Company’s Current Report on Form 8-K filed on February 3,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59258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25820" cy="274320"/>
                    </a:xfrm>
                    <a:prstGeom prst="rect">
                      <a:avLst/>
                    </a:prstGeom>
                    <a:noFill/>
                  </pic:spPr>
                </pic:pic>
              </a:graphicData>
            </a:graphic>
          </wp:anchor>
        </w:drawing>
      </w: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8"/>
          <w:szCs w:val="18"/>
          <w:color w:val="auto"/>
        </w:rPr>
        <w:t>Registration Rights Provisions for Stuart M. Essig (Incorporated by reference to Exhibit B of Exhibit 10.1 to the Company’s Current Report on Form 8-K filed on February 3, 1998)*</w:t>
      </w:r>
    </w:p>
    <w:p>
      <w:pPr>
        <w:spacing w:after="0" w:line="1" w:lineRule="exact"/>
        <w:rPr>
          <w:sz w:val="20"/>
          <w:szCs w:val="20"/>
          <w:color w:val="auto"/>
        </w:rPr>
      </w:pP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Registration Rights Provisions for Stuart M. Essig (Incorporated by reference to Exhibit 10.2 to the Company’s Current Report on Form 8-K filed on January 8,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592582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25820" cy="274320"/>
                    </a:xfrm>
                    <a:prstGeom prst="rect">
                      <a:avLst/>
                    </a:prstGeom>
                    <a:noFill/>
                  </pic:spPr>
                </pic:pic>
              </a:graphicData>
            </a:graphic>
          </wp:anchor>
        </w:drawing>
      </w: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10.14(c)</w:t>
      </w:r>
      <w:r>
        <w:rPr>
          <w:sz w:val="20"/>
          <w:szCs w:val="20"/>
          <w:color w:val="auto"/>
        </w:rPr>
        <w:tab/>
      </w:r>
      <w:r>
        <w:rPr>
          <w:rFonts w:ascii="Arial" w:cs="Arial" w:eastAsia="Arial" w:hAnsi="Arial"/>
          <w:sz w:val="17"/>
          <w:szCs w:val="17"/>
          <w:color w:val="auto"/>
        </w:rPr>
        <w:t>Registration Rights Provisions for Stuart M. Essig (Incorporated by reference to Exhibit B of Exhibit 10.1 to the Company’s Quarterly Report on Form 10-Q for the quarter ended September 30, 2004)*</w:t>
      </w: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8"/>
          <w:szCs w:val="18"/>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10.15(b)</w:t>
      </w:r>
      <w:r>
        <w:rPr>
          <w:sz w:val="20"/>
          <w:szCs w:val="20"/>
          <w:color w:val="auto"/>
        </w:rPr>
        <w:tab/>
      </w:r>
      <w:r>
        <w:rPr>
          <w:rFonts w:ascii="Arial" w:cs="Arial" w:eastAsia="Arial" w:hAnsi="Arial"/>
          <w:sz w:val="17"/>
          <w:szCs w:val="17"/>
          <w:color w:val="auto"/>
        </w:rPr>
        <w:t>Amendment 2008-1, dated as of January 2, 2008, to the Amended and Restated 2005 Employment Agreement between John B. Henneman, III and the Company (Incorporated by reference to Exhibit 10.15(b) to the Company’s Annual Report on Form 10-K for the year ended December 31, 2007)*</w:t>
      </w:r>
    </w:p>
    <w:p>
      <w:pPr>
        <w:spacing w:after="0" w:line="1" w:lineRule="exact"/>
        <w:rPr>
          <w:sz w:val="20"/>
          <w:szCs w:val="20"/>
          <w:color w:val="auto"/>
        </w:rPr>
      </w:pP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10.15(c)</w:t>
      </w:r>
      <w:r>
        <w:rPr>
          <w:sz w:val="20"/>
          <w:szCs w:val="20"/>
          <w:color w:val="auto"/>
        </w:rPr>
        <w:tab/>
      </w:r>
      <w:r>
        <w:rPr>
          <w:rFonts w:ascii="Arial" w:cs="Arial" w:eastAsia="Arial" w:hAnsi="Arial"/>
          <w:sz w:val="17"/>
          <w:szCs w:val="17"/>
          <w:color w:val="auto"/>
        </w:rPr>
        <w:t>Amendment 2008-2, dated as of December 18, 2008, to the Amended and Restated 2005 Employment Agreement between John B. Henneman, III and the Company (Incorporated by reference to Exhibit 10.2 to the Company’s Current Report on Form 8-K filed on December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10.16(a)</w:t>
      </w:r>
      <w:r>
        <w:rPr>
          <w:sz w:val="20"/>
          <w:szCs w:val="20"/>
          <w:color w:val="auto"/>
        </w:rPr>
        <w:tab/>
      </w:r>
      <w:r>
        <w:rPr>
          <w:rFonts w:ascii="Arial" w:cs="Arial" w:eastAsia="Arial" w:hAnsi="Arial"/>
          <w:sz w:val="18"/>
          <w:szCs w:val="18"/>
          <w:color w:val="auto"/>
        </w:rPr>
        <w:t>Amended and Restated 2005 Employment Agreement between Gerard S. Carlozzi and the Company dated December 19, 2005 (Incorporated by reference to Exhibit 10.17 to the Company’s Annual Report on Form 10-K for the year ended December 31, 2005)*</w:t>
      </w:r>
    </w:p>
    <w:p>
      <w:pPr>
        <w:spacing w:after="0" w:line="1" w:lineRule="exact"/>
        <w:rPr>
          <w:sz w:val="20"/>
          <w:szCs w:val="20"/>
          <w:color w:val="auto"/>
        </w:rPr>
      </w:pP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10.16(b)</w:t>
      </w:r>
      <w:r>
        <w:rPr>
          <w:sz w:val="20"/>
          <w:szCs w:val="20"/>
          <w:color w:val="auto"/>
        </w:rPr>
        <w:tab/>
      </w:r>
      <w:r>
        <w:rPr>
          <w:rFonts w:ascii="Arial" w:cs="Arial" w:eastAsia="Arial" w:hAnsi="Arial"/>
          <w:sz w:val="17"/>
          <w:szCs w:val="17"/>
          <w:color w:val="auto"/>
        </w:rPr>
        <w:t>Amendment 2008-1, dated as of January 2, 2008, to the Amended and Restated 2005 Employment Agreement between Gerard S. Carlozzi and the Company (Incorporated by reference to Exhibit 10.16(b) to the Company’s Annual Report on Form 10-K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10.16(c)</w:t>
      </w:r>
      <w:r>
        <w:rPr>
          <w:sz w:val="20"/>
          <w:szCs w:val="20"/>
          <w:color w:val="auto"/>
        </w:rPr>
        <w:tab/>
      </w:r>
      <w:r>
        <w:rPr>
          <w:rFonts w:ascii="Arial" w:cs="Arial" w:eastAsia="Arial" w:hAnsi="Arial"/>
          <w:sz w:val="17"/>
          <w:szCs w:val="17"/>
          <w:color w:val="auto"/>
        </w:rPr>
        <w:t>Amendment 2008-2, dated as of December 18, 2008, to the Amended and Restated 2005 Employment Agreement between Gerard S. Carlozzi and the Company (Incorporated by reference to Exhibit 10.1 to the Company’s Current Report on Form 8-K filed on December 24, 2008)*</w:t>
      </w:r>
    </w:p>
    <w:p>
      <w:pPr>
        <w:spacing w:after="0" w:line="1" w:lineRule="exact"/>
        <w:rPr>
          <w:sz w:val="20"/>
          <w:szCs w:val="20"/>
          <w:color w:val="auto"/>
        </w:rPr>
      </w:pP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Severance Agreement between Judith O’Grady and the Company dated as of January 1, 2008 (Incorporated by reference to Exhibit 10.17(b) to the Company’s Annual Report on Form 10-K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65" w:lineRule="auto"/>
        <w:tabs>
          <w:tab w:leader="none" w:pos="19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jc w:val="both"/>
        <w:ind w:left="2000" w:right="559" w:hanging="1174"/>
        <w:spacing w:after="0" w:line="250" w:lineRule="auto"/>
        <w:tabs>
          <w:tab w:leader="none" w:pos="1980" w:val="left"/>
        </w:tabs>
        <w:rPr>
          <w:sz w:val="20"/>
          <w:szCs w:val="20"/>
          <w:color w:val="auto"/>
        </w:rPr>
      </w:pPr>
      <w:r>
        <w:rPr>
          <w:rFonts w:ascii="Arial" w:cs="Arial" w:eastAsia="Arial" w:hAnsi="Arial"/>
          <w:sz w:val="18"/>
          <w:szCs w:val="18"/>
          <w:color w:val="auto"/>
        </w:rPr>
        <w:t>10.19(a)</w:t>
      </w:r>
      <w:r>
        <w:rPr>
          <w:sz w:val="20"/>
          <w:szCs w:val="20"/>
          <w:color w:val="auto"/>
        </w:rPr>
        <w:tab/>
      </w:r>
      <w:r>
        <w:rPr>
          <w:rFonts w:ascii="Arial" w:cs="Arial" w:eastAsia="Arial" w:hAnsi="Arial"/>
          <w:sz w:val="18"/>
          <w:szCs w:val="18"/>
          <w:color w:val="auto"/>
        </w:rPr>
        <w:t>Industrial Real Estate Triple Net Sublease dated July 1, 2001 between Sorrento Montana, L.P. and Camino NeuroCare, Inc. (Incorporated by reference to Exhibit 10.24(a) to the Company’s Annual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-410210</wp:posOffset>
            </wp:positionV>
            <wp:extent cx="592582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25820" cy="411480"/>
                    </a:xfrm>
                    <a:prstGeom prst="rect">
                      <a:avLst/>
                    </a:prstGeom>
                    <a:noFill/>
                  </pic:spPr>
                </pic:pic>
              </a:graphicData>
            </a:graphic>
          </wp:anchor>
        </w:drawing>
      </w:r>
    </w:p>
    <w:p>
      <w:pPr>
        <w:jc w:val="both"/>
        <w:ind w:left="2000" w:right="559" w:hanging="1174"/>
        <w:spacing w:after="0" w:line="255" w:lineRule="auto"/>
        <w:tabs>
          <w:tab w:leader="none" w:pos="1980" w:val="left"/>
        </w:tabs>
        <w:rPr>
          <w:sz w:val="20"/>
          <w:szCs w:val="20"/>
          <w:color w:val="auto"/>
        </w:rPr>
      </w:pPr>
      <w:r>
        <w:rPr>
          <w:rFonts w:ascii="Arial" w:cs="Arial" w:eastAsia="Arial" w:hAnsi="Arial"/>
          <w:sz w:val="18"/>
          <w:szCs w:val="18"/>
          <w:color w:val="auto"/>
        </w:rPr>
        <w:t>10.19(b)</w:t>
      </w:r>
      <w:r>
        <w:rPr>
          <w:sz w:val="20"/>
          <w:szCs w:val="20"/>
          <w:color w:val="auto"/>
        </w:rPr>
        <w:tab/>
      </w:r>
      <w:r>
        <w:rPr>
          <w:rFonts w:ascii="Arial" w:cs="Arial" w:eastAsia="Arial" w:hAnsi="Arial"/>
          <w:sz w:val="18"/>
          <w:szCs w:val="18"/>
          <w:color w:val="auto"/>
        </w:rPr>
        <w:t>First Amendment to Sublease dated as of July 1, 2003 by and between Sorrento Montana, L.P. and Camino NeuroCare, Inc. (Incorporated by reference to Exhibit 10.24(b) to the Company’s Annual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633730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10.19(c)</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Second Amendment to Sublease dated as of June 1, 2004 by and between Sorrento Montana, L.P. and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Camino NeuroCare, Inc. (Incorporated by reference to Exhibit 10.24(c) to the Company’s Annual Report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 Form 10-K for the year ended December 31, 2004)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10.19(d)</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Third Amendment to Sublease dated as of June 15, 2004 by and between Sorrento Montana, L.P. and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Integra LifeSciences Corporation (Incorporated by reference to Exhibit 10.24(d) to the Company’s</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Annual Report on Form 10-K for the year ended December 31, 2004)</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10.19(e)</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89"/>
              </w:rPr>
              <w:t>Fourth Amendment to Sublease, dated as of August 15, 2006, by and between Sorrento Montana, L.P. and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Integra LifeSciences Corporation (Incorporated by reference to Exhibit 10.1 to the Company’s Current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on August 17,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10.20</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7"/>
              </w:rPr>
              <w:t>Restricted Units Agreement dated December 27, 1997 between the Company and Stuart M. Essig</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10.3 to the Company’s Current Report on Form 8-K filed on</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February 3, 1998)*</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10.21</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Stock Option Grant and Agreement dated December 22, 2000 between the Company and Stuart M. Essig</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4.1 to the Company’s Current Report on Form 8-K filed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January 8, 2001)*</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10.22</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0"/>
              </w:rPr>
              <w:t>Stock Option Grant and Agreement dated December 22, 2000 between the Company and Stuart M. Essig</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4.2 to the Company’s Current Report on Form 8-K filed on</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January 8, 2001)*</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10.23(a)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7"/>
              </w:rPr>
              <w:t>Restricted Units Agreement dated December 22, 2000 Between the Company and Stuart M. Essig</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by reference to Exhibit 4.3 to the Company’s Current Report on Form 8-K filed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January 8, 2001)*</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10.23(b)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4"/>
              </w:rPr>
              <w:t>Amendment 2006-1, dated as of October 30, 2006, to the Stuart M. Essig Restricted Units Agreement</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dated as of December 22, 2000 (Incorporated by reference to Exhibit 10.1 to the Company’s Current</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Report on Form 8-K filed on November 3, 2006)*</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10.24</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Stock Option Grant and Agreement dated July 27, 2004 between the Company and Stuart M. Essig</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(Incorporated by reference to Exhibit 10.30 to the Company’s Annual Report on Form 10-K for the year</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ended December 31, 2004)*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10.25(a)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Contract Stock/Restricted Units Agreement dated July 27, 2004 between the Company and Stuart M.</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Essig (Incorporated by reference to Exhibit 10.31 to the Company’s Annual Report on Form 10-K for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year ended December 31, 2004)*</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10.25(b)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Amendment 2006-1, dated as of October 30, 2006, to the Stuart M. Essig Contract Stock/Restricted Units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Agreement dated as of July 27, 2004 (Incorporated by reference to Exhibit 10.2 to the Company’s Current</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on November 3,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10.25(c)</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Amendment 2008-1, dated as of March 6, 2008, to the Stuart M. Essig Contract Stock/Restricted Units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Agreement dated as of July 27, 2004 (Incorporated by reference to Exhibit 10.25(c) to the Company’s</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Annual Report on Form 10-K for the year ended December 31, 2007)*</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10.26</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Form of Stock Option Grant and Agreement between the Company and Stuart M. Essig (Incorporated by</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reference to Exhibit 10.32 to the Company’s Annual Report on Form 10-K for the year ended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 2004)*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10.27</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Form of Contract Stock/Restricted Units Agreement for Stuart M. Essig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10.8 to the Company’s Quarterly Report on Form 10-Q for the quarter ended June 30, 2008)*</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10.28</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Stuart M. Essig (Incorporated by reference to Exhibit 10.9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Company’s Quarterly Report on Form 10-Q for the quarter ended June 30, 2008)*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10.29</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6"/>
              </w:rPr>
              <w:t>Form of Notice of Grant of Stock Option and Stock Option Agreement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29, 2005)*</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Form  of  Non-Qualified  Stock  Option  Agreement  (Non-Directors)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Exhibit 10.35 to the Company’s Annual Report on Form 10-K for the year ended December 31, 2004)*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10.31</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Form of Incentive Stock Option Agreement (Incorporated by reference to Exhibit 10.36 to the Company’s</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Annual Report on Form 10-K for the year ended December 31, 2004)*</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10.32</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Form of Non-Qualified Stock Option Agreement (Directors) (Incorporated by reference to Exhibit 10.37</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Company’s Annual Report on Form 10-K for the year ended December 31, 2004)*</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10.33(a)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Compensation of Directors of the Company (Incorporated by reference to Exhibit 10.33 to the Company’s</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Annual Report on Form 10-K for the year ended December 31, 2006)*</w:t>
            </w: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10.33(b)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Compensation of Directors of the Company effective July 9, 2008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11, 2008)*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10.34(a)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9"/>
              </w:rPr>
              <w:t>Form of Restricted Stock Agreement for Non-Employee Directors under the Integra LifeSciences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Holdings Corporation 2003 Equity Incentive Plan (Incorporated by reference to Exhibit 10.2 to the</w:t>
            </w: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70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filed on May 17, 2005)*</w:t>
            </w:r>
          </w:p>
        </w:tc>
      </w:tr>
      <w:tr>
        <w:trPr>
          <w:trHeight w:val="1023"/>
        </w:trPr>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79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10.34(b)</w:t>
            </w: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New Form of Restricted Stock Agreement for Non-Employee Directors under the Integra LifeSciences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Holdings Corporation 2003 Equity Incentive Plan (Incorporated by reference to Exhibit 10.4 to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Quarterly Report on Form 10-Q for the quarter ended June 30, 2008*</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10.35(a)</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Form of Restricted Stock Agreement for Executive Officers — Cliff Vesting (Incorporated by reference to</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January 9,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10.35(b)</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Form of Restricted Stock Agreement for Executive Officers — Annual Vesting (Incorporated by reference</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Exhibit 10.1 to the Company’s Current Report on Form 8-K filed on February 25, 2009)*</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10.36</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Asset Purchase Agreement, dated as of September 7, 2005, by and between Tyco Healthcare Group LP</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5"/>
              </w:rPr>
              <w:t>and Sherwood Services, AG and Integra LifeSciences Corporation and Integra LifeSciences (Ireland)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4"/>
              </w:rPr>
              <w:t>Limited (Incorporated by reference to Exhibit 10.1 to the Company’s Current Report on Form 8-K filed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on September 13, 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10.37</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0"/>
              </w:rPr>
              <w:t>Performance Stock Agreement by and between John B. Henneman, III and the Company dated January 3,</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2006 (Incorporated by reference to Exhibit 10.42 to the Company’s Annual Report on Form 10-K for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year ended December 31, 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10.38</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Performance Stock Agreement by and between Gerard S. Carlozzi and the Company dated January 3,</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2006 (Incorporated by reference to Exhibit 10.43 to the Company’s Annual Report on Form 10-K for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year ended December 31, 2005)*</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10.39(a)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Gerard S. Carlozzi and John B. Henneman, III (Incorporated</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by reference to Exhibit 10.1 to the Company’s Current Report on Form 8-K filed on March 21,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10.39(b)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Form of Performance Stock Agreement for Gerard S. Carlozzi and John B. Henneman, III (Incorporated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7"/>
              </w:rPr>
              <w:t>by reference to Exhibit 10.37(b) to the Company’s Annual Report on Form 10-K for the year ended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December 31,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10.40</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Stock Purchase Agreement, dated as of April 19, 2006, by and between ASP/Miltex LLC and Integra</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LifeSciences Corporation (Incorporated by reference to Exhibit 10.1 to the Company’s Current Report 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on April 25,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10.41</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Stock Agreement and Plan of Merger, dated as of June 30, 2006, by and between Integra LifeSciences</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3"/>
              </w:rPr>
              <w:t>Corporation, Integra California, Inc., Kinetikos Medical, Inc., Telegraph Hill Partners Management LLC,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7"/>
              </w:rPr>
              <w:t>as Shareholders Representative, and the Shareholders party thereto (Incorporated by reference to</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Exhibit 10.1 to the Company’s Current Report on Form 8-K filed on July 7,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10.42(a)</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Integra LifeSciences Holdings Corporation Management Incentive Compensation Plan (Incorporated by</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reference to Exhibit 10.1 to the Company’s Quarterly Report on Form 10-Q for the quarter ended</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September 30, 2006)*</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10.42(b)</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4"/>
              </w:rPr>
              <w:t>First Amendment to Integra LifeSciences Holdings Corporation Management Incentive Compensation</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2"/>
              </w:rPr>
              <w:t>Plan (Incorporated by reference to Exhibit 10.5 to the Company’s Quarterly Report on Form 10-Q for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quarter ended March 31,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10.42(c)</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Integra LifeSciences Holdings Corporation Management Incentive Compensation Plan, as amended and</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restated as of January 1, 2008 (Incorporated by reference to Exhibit 10.43(c) to the Company’s Annual</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10-K for the year ended December 31,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10.43</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2"/>
              </w:rPr>
              <w:t>Form of Restricted Stock Agreement for Gerard S. Carlozzi and John B. Henneman, III (Incorporated by</w:t>
            </w: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5"/>
              </w:rPr>
              <w:t>reference to Exhibit 10.1 to the Company’s Current Report on Form 8-K filed on February 27,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10.44</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Form of 2010 Convertible Bond Hedge Transaction Confirmation, dated June 6, 2007, between Integra</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LifeSciences Holdings Corporation and dealer (Incorporated by reference to Exhibit 10.1 to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10.45</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3"/>
              </w:rPr>
              <w:t>Form of 2012 Convertible Bond Hedge Transaction Confirmation, dated June 6, 2007, between Integra</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LifeSciences Holdings Corporation and dealer (Incorporated by reference to Exhibit 10.2 to the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10.46</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Form of 2010 Amended and Restated Issuer Warrant Transaction Confirmation, dated June 6, 2007,</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between Integra LifeSciences Holdings Corporation and dealer (Incorporated by reference to Exhibit 10.3</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10.47</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5"/>
              </w:rPr>
              <w:t>Form of 2012 Amended and Restated Issuer Warrant Transaction Confirmation, dated June 6, 2007,</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between Integra LifeSciences Holdings Corporation and dealer (Incorporated by reference to Exhibit 10.4</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to the Company’s Current Report on Form 8-K filed on June 12,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10.48</w:t>
            </w:r>
          </w:p>
        </w:tc>
        <w:tc>
          <w:tcPr>
            <w:tcW w:w="79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Agreement and Plan of Merger among Integra LifeSciences Holdings Corporation, ICE Mergercorp, Inc.</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and IsoTis, Inc., dated as of August 6, 2007 (Incorporated by reference to Exhibit 10.1 to the Company’s</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Report on Form 8-K filed on August 7, 2007)</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1380" w:type="dxa"/>
            <w:vAlign w:val="bottom"/>
          </w:tcPr>
          <w:p>
            <w:pPr>
              <w:ind w:left="480"/>
              <w:spacing w:after="0" w:line="201" w:lineRule="exact"/>
              <w:rPr>
                <w:sz w:val="20"/>
                <w:szCs w:val="20"/>
                <w:color w:val="auto"/>
              </w:rPr>
            </w:pPr>
            <w:r>
              <w:rPr>
                <w:rFonts w:ascii="Arial" w:cs="Arial" w:eastAsia="Arial" w:hAnsi="Arial"/>
                <w:sz w:val="18"/>
                <w:szCs w:val="18"/>
                <w:color w:val="auto"/>
              </w:rPr>
              <w:t>10.49</w:t>
            </w:r>
          </w:p>
        </w:tc>
        <w:tc>
          <w:tcPr>
            <w:tcW w:w="7940" w:type="dxa"/>
            <w:vAlign w:val="bottom"/>
          </w:tcPr>
          <w:p>
            <w:pPr>
              <w:ind w:left="280"/>
              <w:spacing w:after="0" w:line="201" w:lineRule="exact"/>
              <w:rPr>
                <w:sz w:val="20"/>
                <w:szCs w:val="20"/>
                <w:color w:val="auto"/>
              </w:rPr>
            </w:pPr>
            <w:r>
              <w:rPr>
                <w:rFonts w:ascii="Arial" w:cs="Arial" w:eastAsia="Arial" w:hAnsi="Arial"/>
                <w:sz w:val="18"/>
                <w:szCs w:val="18"/>
                <w:color w:val="auto"/>
                <w:w w:val="91"/>
              </w:rPr>
              <w:t>Form of Option Agreement among Integra LifeSciences Holdings Corporation and John B. Henneman, III</w:t>
            </w: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 to the Company’s Current Report on Form 8-K filed on June 6,</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2008)*</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79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10.50</w:t>
            </w: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Unit Purchase Agreement, dated as of July 23, 2008, by and among Integra LifeSciences Holdings</w:t>
            </w:r>
          </w:p>
        </w:tc>
      </w:tr>
      <w:tr>
        <w:trPr>
          <w:trHeight w:val="216"/>
        </w:trPr>
        <w:tc>
          <w:tcPr>
            <w:tcW w:w="1260" w:type="dxa"/>
            <w:vAlign w:val="bottom"/>
            <w:shd w:val="clear" w:color="auto" w:fill="CCEEFF"/>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Corporation, Theken Spine LLC, Randall R. Theken and the other members of Theken Spine, LLC party</w:t>
            </w:r>
          </w:p>
        </w:tc>
      </w:tr>
      <w:tr>
        <w:trPr>
          <w:trHeight w:val="216"/>
        </w:trPr>
        <w:tc>
          <w:tcPr>
            <w:tcW w:w="1260" w:type="dxa"/>
            <w:vAlign w:val="bottom"/>
            <w:shd w:val="clear" w:color="auto" w:fill="CCEEFF"/>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thereto (Incorporated by reference to Exhibit 10.1 to the Company’s Current Report on Form 8-K filed on</w:t>
            </w:r>
          </w:p>
        </w:tc>
      </w:tr>
      <w:tr>
        <w:trPr>
          <w:trHeight w:val="230"/>
        </w:trPr>
        <w:tc>
          <w:tcPr>
            <w:tcW w:w="1260" w:type="dxa"/>
            <w:vAlign w:val="bottom"/>
            <w:shd w:val="clear" w:color="auto" w:fill="CCEEFF"/>
          </w:tcPr>
          <w:p>
            <w:pPr>
              <w:spacing w:after="0"/>
              <w:rPr>
                <w:sz w:val="20"/>
                <w:szCs w:val="20"/>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July 24, 2008)</w:t>
            </w:r>
          </w:p>
        </w:tc>
      </w:tr>
      <w:tr>
        <w:trPr>
          <w:trHeight w:val="202"/>
        </w:trPr>
        <w:tc>
          <w:tcPr>
            <w:tcW w:w="12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10.51</w:t>
            </w:r>
          </w:p>
        </w:tc>
        <w:tc>
          <w:tcPr>
            <w:tcW w:w="8060" w:type="dxa"/>
            <w:vAlign w:val="bottom"/>
          </w:tcPr>
          <w:p>
            <w:pPr>
              <w:ind w:left="400"/>
              <w:spacing w:after="0" w:line="201" w:lineRule="exact"/>
              <w:rPr>
                <w:sz w:val="20"/>
                <w:szCs w:val="20"/>
                <w:color w:val="auto"/>
              </w:rPr>
            </w:pPr>
            <w:r>
              <w:rPr>
                <w:rFonts w:ascii="Arial" w:cs="Arial" w:eastAsia="Arial" w:hAnsi="Arial"/>
                <w:sz w:val="18"/>
                <w:szCs w:val="18"/>
                <w:color w:val="auto"/>
                <w:w w:val="92"/>
              </w:rPr>
              <w:t>Form of Indemnification Agreement for Non-Employee Directors and Officers (Incorporated by reference</w:t>
            </w:r>
          </w:p>
        </w:tc>
      </w:tr>
      <w:tr>
        <w:trPr>
          <w:trHeight w:val="230"/>
        </w:trPr>
        <w:tc>
          <w:tcPr>
            <w:tcW w:w="126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 Exhibit 10.1 to the Company’s Current Report on Form 8-K filed on December 24, 2008)*</w:t>
            </w:r>
          </w:p>
        </w:tc>
      </w:tr>
      <w:tr>
        <w:trPr>
          <w:trHeight w:val="202"/>
        </w:trPr>
        <w:tc>
          <w:tcPr>
            <w:tcW w:w="126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10.52</w:t>
            </w:r>
          </w:p>
        </w:tc>
        <w:tc>
          <w:tcPr>
            <w:tcW w:w="8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Form of Contract Stock/Restricted Units Agreement for Mr. Carlozzi and Mr. Henneman (Incorporated by</w:t>
            </w:r>
          </w:p>
        </w:tc>
      </w:tr>
      <w:tr>
        <w:trPr>
          <w:trHeight w:val="230"/>
        </w:trPr>
        <w:tc>
          <w:tcPr>
            <w:tcW w:w="1260" w:type="dxa"/>
            <w:vAlign w:val="bottom"/>
            <w:shd w:val="clear" w:color="auto" w:fill="CCEEFF"/>
          </w:tcPr>
          <w:p>
            <w:pPr>
              <w:spacing w:after="0"/>
              <w:rPr>
                <w:sz w:val="20"/>
                <w:szCs w:val="20"/>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reference to Exhibit 10.4 to the Company’s Current Report on Form 8-K filed on December 24, 2008)*</w:t>
            </w:r>
          </w:p>
        </w:tc>
      </w:tr>
      <w:tr>
        <w:trPr>
          <w:trHeight w:val="202"/>
        </w:trPr>
        <w:tc>
          <w:tcPr>
            <w:tcW w:w="12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10.53</w:t>
            </w:r>
          </w:p>
        </w:tc>
        <w:tc>
          <w:tcPr>
            <w:tcW w:w="8060" w:type="dxa"/>
            <w:vAlign w:val="bottom"/>
          </w:tcPr>
          <w:p>
            <w:pPr>
              <w:ind w:left="400"/>
              <w:spacing w:after="0" w:line="201" w:lineRule="exact"/>
              <w:rPr>
                <w:sz w:val="20"/>
                <w:szCs w:val="20"/>
                <w:color w:val="auto"/>
              </w:rPr>
            </w:pPr>
            <w:r>
              <w:rPr>
                <w:rFonts w:ascii="Arial" w:cs="Arial" w:eastAsia="Arial" w:hAnsi="Arial"/>
                <w:sz w:val="18"/>
                <w:szCs w:val="18"/>
                <w:color w:val="auto"/>
                <w:w w:val="97"/>
              </w:rPr>
              <w:t>Piggyback Registration Rights Agreement dated December 22, 2008 between Integra LifeSciences</w:t>
            </w:r>
          </w:p>
        </w:tc>
      </w:tr>
      <w:tr>
        <w:trPr>
          <w:trHeight w:val="216"/>
        </w:trPr>
        <w:tc>
          <w:tcPr>
            <w:tcW w:w="126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w w:val="91"/>
              </w:rPr>
              <w:t>Holdings Corporation and George Heenan, Thomas Gilliam and Michael Evers, as trustees of The Bruce</w:t>
            </w:r>
          </w:p>
        </w:tc>
      </w:tr>
      <w:tr>
        <w:trPr>
          <w:trHeight w:val="216"/>
        </w:trPr>
        <w:tc>
          <w:tcPr>
            <w:tcW w:w="126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A. LeVahn 2008 Trust and Steven M. LeVahn (Incorporated by reference to Exhibit 10.1 to the</w:t>
            </w:r>
          </w:p>
        </w:tc>
      </w:tr>
      <w:tr>
        <w:trPr>
          <w:trHeight w:val="230"/>
        </w:trPr>
        <w:tc>
          <w:tcPr>
            <w:tcW w:w="1260" w:type="dxa"/>
            <w:vAlign w:val="bottom"/>
          </w:tcPr>
          <w:p>
            <w:pPr>
              <w:spacing w:after="0"/>
              <w:rPr>
                <w:sz w:val="20"/>
                <w:szCs w:val="20"/>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Company’s Current Report on Form 8-K filed on December 29, 2008)</w:t>
            </w:r>
          </w:p>
        </w:tc>
      </w:tr>
      <w:tr>
        <w:trPr>
          <w:trHeight w:val="202"/>
        </w:trPr>
        <w:tc>
          <w:tcPr>
            <w:tcW w:w="126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10.54</w:t>
            </w:r>
          </w:p>
        </w:tc>
        <w:tc>
          <w:tcPr>
            <w:tcW w:w="8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Lease Agreement between 109 Morgan Lane, LLC and Integra LifeSciences Corporation, dated May 15,</w:t>
            </w:r>
          </w:p>
        </w:tc>
      </w:tr>
      <w:tr>
        <w:trPr>
          <w:trHeight w:val="216"/>
        </w:trPr>
        <w:tc>
          <w:tcPr>
            <w:tcW w:w="1260" w:type="dxa"/>
            <w:vAlign w:val="bottom"/>
            <w:shd w:val="clear" w:color="auto" w:fill="CCEEFF"/>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2008 (Incorporated by reference to Exhibit 10.10 to the Company’s Quarterly Report on Form 10-Q for</w:t>
            </w:r>
          </w:p>
        </w:tc>
      </w:tr>
      <w:tr>
        <w:trPr>
          <w:trHeight w:val="230"/>
        </w:trPr>
        <w:tc>
          <w:tcPr>
            <w:tcW w:w="1260" w:type="dxa"/>
            <w:vAlign w:val="bottom"/>
            <w:shd w:val="clear" w:color="auto" w:fill="CCEEFF"/>
          </w:tcPr>
          <w:p>
            <w:pPr>
              <w:spacing w:after="0"/>
              <w:rPr>
                <w:sz w:val="20"/>
                <w:szCs w:val="20"/>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the quarter ended June 30, 2008)</w:t>
            </w:r>
          </w:p>
        </w:tc>
      </w:tr>
      <w:tr>
        <w:trPr>
          <w:trHeight w:val="216"/>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8060" w:type="dxa"/>
            <w:vAlign w:val="bottom"/>
          </w:tcPr>
          <w:p>
            <w:pPr>
              <w:ind w:left="40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Consent of Pricewaterhouse Coopers LLP+</w:t>
            </w:r>
          </w:p>
        </w:tc>
      </w:tr>
      <w:tr>
        <w:trPr>
          <w:trHeight w:val="216"/>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8060" w:type="dxa"/>
            <w:vAlign w:val="bottom"/>
          </w:tcPr>
          <w:p>
            <w:pPr>
              <w:ind w:left="400"/>
              <w:spacing w:after="0"/>
              <w:rPr>
                <w:sz w:val="20"/>
                <w:szCs w:val="20"/>
                <w:color w:val="auto"/>
              </w:rPr>
            </w:pPr>
            <w:r>
              <w:rPr>
                <w:rFonts w:ascii="Arial" w:cs="Arial" w:eastAsia="Arial" w:hAnsi="Arial"/>
                <w:sz w:val="18"/>
                <w:szCs w:val="18"/>
                <w:color w:val="auto"/>
                <w:w w:val="93"/>
              </w:rPr>
              <w:t>Certification of Principal Executive Officer Pursuant to Section 302 of the Sarbanes-Oxley Act of 2002+</w:t>
            </w:r>
          </w:p>
        </w:tc>
      </w:tr>
      <w:tr>
        <w:trPr>
          <w:trHeight w:val="216"/>
        </w:trPr>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31.2</w:t>
            </w: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Certification of Principal Financial Officer Pursuant to Section 302 of the Sarbanes-Oxley Act of 2002+</w:t>
            </w:r>
          </w:p>
        </w:tc>
      </w:tr>
      <w:tr>
        <w:trPr>
          <w:trHeight w:val="216"/>
        </w:trPr>
        <w:tc>
          <w:tcPr>
            <w:tcW w:w="126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8060" w:type="dxa"/>
            <w:vAlign w:val="bottom"/>
          </w:tcPr>
          <w:p>
            <w:pPr>
              <w:ind w:left="400"/>
              <w:spacing w:after="0"/>
              <w:rPr>
                <w:sz w:val="20"/>
                <w:szCs w:val="20"/>
                <w:color w:val="auto"/>
              </w:rPr>
            </w:pPr>
            <w:r>
              <w:rPr>
                <w:rFonts w:ascii="Arial" w:cs="Arial" w:eastAsia="Arial" w:hAnsi="Arial"/>
                <w:sz w:val="18"/>
                <w:szCs w:val="18"/>
                <w:color w:val="auto"/>
                <w:w w:val="93"/>
              </w:rPr>
              <w:t>Certification of Principal Executive Officer Pursuant to Section 906 of the Sarbanes-Oxley Act of 2002+</w:t>
            </w:r>
          </w:p>
        </w:tc>
      </w:tr>
      <w:tr>
        <w:trPr>
          <w:trHeight w:val="216"/>
        </w:trPr>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32.2</w:t>
            </w: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right="4379" w:hanging="8"/>
        <w:spacing w:after="0" w:line="391" w:lineRule="auto"/>
        <w:tabs>
          <w:tab w:leader="none" w:pos="6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 + Indicates this document is filed as an exhibit herewith.</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0219"/>
          </w:cols>
          <w:pgMar w:left="240" w:top="419"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0" w:type="dxa"/>
            <w:vAlign w:val="bottom"/>
            <w:gridSpan w:val="2"/>
          </w:tcPr>
          <w:p>
            <w:pPr>
              <w:ind w:left="3600"/>
              <w:spacing w:after="0"/>
              <w:rPr>
                <w:sz w:val="20"/>
                <w:szCs w:val="20"/>
                <w:color w:val="auto"/>
              </w:rPr>
            </w:pPr>
            <w:r>
              <w:rPr>
                <w:rFonts w:ascii="Arial" w:cs="Arial" w:eastAsia="Arial" w:hAnsi="Arial"/>
                <w:sz w:val="18"/>
                <w:szCs w:val="18"/>
                <w:b w:val="1"/>
                <w:bCs w:val="1"/>
                <w:color w:val="auto"/>
                <w:w w:val="91"/>
              </w:rPr>
              <w:t>Exhibit 21</w:t>
            </w:r>
          </w:p>
        </w:tc>
      </w:tr>
      <w:tr>
        <w:trPr>
          <w:trHeight w:val="392"/>
        </w:trPr>
        <w:tc>
          <w:tcPr>
            <w:tcW w:w="9340" w:type="dxa"/>
            <w:vAlign w:val="bottom"/>
            <w:gridSpan w:val="4"/>
          </w:tcPr>
          <w:p>
            <w:pPr>
              <w:ind w:left="2540"/>
              <w:spacing w:after="0"/>
              <w:rPr>
                <w:sz w:val="20"/>
                <w:szCs w:val="20"/>
                <w:color w:val="auto"/>
              </w:rPr>
            </w:pPr>
            <w:r>
              <w:rPr>
                <w:rFonts w:ascii="Arial" w:cs="Arial" w:eastAsia="Arial" w:hAnsi="Arial"/>
                <w:sz w:val="18"/>
                <w:szCs w:val="18"/>
                <w:color w:val="auto"/>
              </w:rPr>
              <w:t>Subsidiaries of Integra LifeSciences Holdings Corporation</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Name of Subsidiary</w:t>
            </w:r>
          </w:p>
        </w:tc>
        <w:tc>
          <w:tcPr>
            <w:tcW w:w="540" w:type="dxa"/>
            <w:vAlign w:val="bottom"/>
          </w:tcPr>
          <w:p>
            <w:pPr>
              <w:spacing w:after="0"/>
              <w:rPr>
                <w:sz w:val="24"/>
                <w:szCs w:val="24"/>
                <w:color w:val="auto"/>
              </w:rPr>
            </w:pPr>
          </w:p>
        </w:tc>
        <w:tc>
          <w:tcPr>
            <w:tcW w:w="4400" w:type="dxa"/>
            <w:vAlign w:val="bottom"/>
            <w:gridSpan w:val="2"/>
          </w:tcPr>
          <w:p>
            <w:pPr>
              <w:ind w:left="400"/>
              <w:spacing w:after="0"/>
              <w:rPr>
                <w:sz w:val="20"/>
                <w:szCs w:val="20"/>
                <w:color w:val="auto"/>
              </w:rPr>
            </w:pPr>
            <w:r>
              <w:rPr>
                <w:rFonts w:ascii="Arial" w:cs="Arial" w:eastAsia="Arial" w:hAnsi="Arial"/>
                <w:sz w:val="18"/>
                <w:szCs w:val="18"/>
                <w:color w:val="auto"/>
              </w:rPr>
              <w:t>State or Country of Incorporation or Organization</w:t>
            </w:r>
          </w:p>
        </w:tc>
      </w:tr>
      <w:tr>
        <w:trPr>
          <w:trHeight w:val="195"/>
        </w:trPr>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Bimeco, Inc.</w:t>
            </w:r>
          </w:p>
        </w:tc>
        <w:tc>
          <w:tcPr>
            <w:tcW w:w="54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6"/>
                <w:szCs w:val="16"/>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Canada Microsurgical ULC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CardioDyne,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Cathtec, Incorporated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Caveangle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EndoSolutions,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Fiber Imaging Technologies,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6"/>
              </w:rPr>
              <w:t>GMS, Gesellschaft für Medizinische Sondentechnik 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ILS Services Switzerland Ltd.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CI,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Clinical Education Institute,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Healthcare Products LLC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(Canada) Holdings,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(France) LLC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(Ireland)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Corporation</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Holdings SAS</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NR Ireland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Sales (Ireland)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Services (France) SAS</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LifeSciences Shared Services (Ireland)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LS (Benelux) NV</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Luxtec,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ME GmbH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(International),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GmbH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Holdings (France) SA</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Holdings (UK)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Holdings B.V.</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Implants (France) SA</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Pty Ltd.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Neurosciences Pty Ltd.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Radionics,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Sales,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Selector Corporation</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Integra Spine,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IsoTis International SA</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IsoTis NV</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IsoTis OrthoBiologics,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IsoTis T.E. Facility B.V.</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IsoTis,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J. Jamner Surgical Instruments,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Jarit GmbH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Jarit Instruments,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LXU Healthcare, Inc. – Medical Specialty Products</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Meisterhand Instrumente GmbH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Miltex GmbH</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Miltex,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Minnesota Scientific,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Modex Therapeutics GmbH IL</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Newdeal SAS</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Newdeal,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Precise Dental Holding Corp.</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Precise Dental Internacional, S.A. de C.V.</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Precise Dental Products, Ltd.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Precision Dental International, Inc.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Spembly Cryosurgery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Spembly Medical Limited</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Theken Disc, LLC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Theken Spine, LLC</w:t>
            </w:r>
          </w:p>
        </w:tc>
        <w:tc>
          <w:tcPr>
            <w:tcW w:w="5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Therics, LLC</w:t>
            </w:r>
          </w:p>
        </w:tc>
        <w:tc>
          <w:tcPr>
            <w:tcW w:w="5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Ohio</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ectPr>
          <w:pgSz w:w="11900" w:h="16838" w:orient="portrait"/>
          <w:cols w:equalWidth="0" w:num="1">
            <w:col w:w="9879"/>
          </w:cols>
          <w:pgMar w:left="580" w:top="121" w:right="1440" w:bottom="1440" w:gutter="0" w:footer="0" w:header="0"/>
        </w:sectPr>
      </w:pPr>
    </w:p>
    <w:bookmarkStart w:id="108" w:name="page109"/>
    <w:bookmarkEnd w:id="108"/>
    <w:p>
      <w:pPr>
        <w:jc w:val="right"/>
        <w:ind w:right="559"/>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333-46024, 333-82233, 333-58235, 333-06577, 333-73512, 333-109042, 333-127488 and 333-155263) of Integra LifeSciences Holdings Corporation and Subsidiaries of our report dated March 2, 2009 relating to the consolidated financial statements, financial statement schedule, and the effectiveness of internal control over financial reporting, which appears in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ectPr>
          <w:pgSz w:w="11900" w:h="16838" w:orient="portrait"/>
          <w:cols w:equalWidth="0" w:num="1">
            <w:col w:w="9879"/>
          </w:cols>
          <w:pgMar w:left="580" w:top="121" w:right="1440" w:bottom="1440" w:gutter="0" w:footer="0" w:header="0"/>
        </w:sectPr>
      </w:pPr>
    </w:p>
    <w:bookmarkStart w:id="109" w:name="page110"/>
    <w:bookmarkEnd w:id="109"/>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March 2, 2009</w:t>
      </w:r>
    </w:p>
    <w:p>
      <w:pPr>
        <w:spacing w:after="0" w:line="225"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/s/ Stuart M. Essig</w:t>
      </w:r>
    </w:p>
    <w:p>
      <w:pPr>
        <w:spacing w:after="0" w:line="23"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-130810</wp:posOffset>
            </wp:positionV>
            <wp:extent cx="21266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110" w:name="page111"/>
    <w:bookmarkEnd w:id="110"/>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March 2, 2009</w:t>
      </w:r>
    </w:p>
    <w:p>
      <w:pPr>
        <w:spacing w:after="0" w:line="225"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/s/ John B. Henneman, III</w:t>
      </w:r>
    </w:p>
    <w:p>
      <w:pPr>
        <w:spacing w:after="0" w:line="2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-130810</wp:posOffset>
            </wp:positionV>
            <wp:extent cx="25044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9887"/>
          </w:cols>
          <w:pgMar w:left="572" w:top="121" w:right="1440" w:bottom="1440" w:gutter="0" w:footer="0" w:header="0"/>
        </w:sectPr>
      </w:pPr>
    </w:p>
    <w:bookmarkStart w:id="111" w:name="page112"/>
    <w:bookmarkEnd w:id="111"/>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President and Chief Executive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2008 (the “Report”) fully complies with the requirements of Section 13(a) or Section 15(d), as applicable, of the Securities Exchange Act of 1934, as amended; and</w:t>
      </w:r>
    </w:p>
    <w:p>
      <w:pPr>
        <w:spacing w:after="0" w:line="113"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March 2, 2009</w:t>
      </w:r>
    </w:p>
    <w:p>
      <w:pPr>
        <w:spacing w:after="0" w:line="225"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/s/ Stuart M. Essig</w:t>
      </w:r>
    </w:p>
    <w:p>
      <w:pPr>
        <w:spacing w:after="0" w:line="23"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-130810</wp:posOffset>
            </wp:positionV>
            <wp:extent cx="2126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87"/>
          </w:cols>
          <w:pgMar w:left="572" w:top="121" w:right="1440" w:bottom="1440" w:gutter="0" w:footer="0" w:header="0"/>
        </w:sectPr>
      </w:pPr>
    </w:p>
    <w:bookmarkStart w:id="112" w:name="page113"/>
    <w:bookmarkEnd w:id="112"/>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2008 (the “Report”) fully complies with the requirements of Section 13(a) or Section 15(d), as applicable, of the Securities Exchange Act of 1934, as amended; and</w:t>
      </w:r>
    </w:p>
    <w:p>
      <w:pPr>
        <w:spacing w:after="0" w:line="113"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March 2, 2009</w:t>
      </w:r>
    </w:p>
    <w:p>
      <w:pPr>
        <w:spacing w:after="0" w:line="225"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/s/ John B. Henneman, III</w:t>
      </w:r>
    </w:p>
    <w:p>
      <w:pPr>
        <w:spacing w:after="0" w:line="2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-130810</wp:posOffset>
            </wp:positionV>
            <wp:extent cx="25044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4128"/>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2019-12-10T12:37:07Z</dcterms:created>
  <dcterms:modified xsi:type="dcterms:W3CDTF">2019-12-10T12:37:07Z</dcterms:modified>
</cp:coreProperties>
</file>