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18" w:lineRule="exact"/>
        <w:rPr>
          <w:sz w:val="24"/>
          <w:szCs w:val="24"/>
          <w:color w:val="auto"/>
        </w:rPr>
      </w:pPr>
    </w:p>
    <w:p>
      <w:pPr>
        <w:ind w:left="720" w:hanging="462"/>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18" w:lineRule="exact"/>
        <w:rPr>
          <w:sz w:val="24"/>
          <w:szCs w:val="24"/>
          <w:color w:val="auto"/>
        </w:rPr>
      </w:pPr>
    </w:p>
    <w:p>
      <w:pPr>
        <w:ind w:left="720" w:hanging="462"/>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44"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79"/>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311 Enterprise Drive</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c>
          <w:tcPr>
            <w:tcW w:w="0" w:type="dxa"/>
            <w:vAlign w:val="bottom"/>
          </w:tcPr>
          <w:p>
            <w:pPr>
              <w:spacing w:after="0"/>
              <w:rPr>
                <w:sz w:val="1"/>
                <w:szCs w:val="1"/>
                <w:color w:val="auto"/>
              </w:rPr>
            </w:pPr>
          </w:p>
        </w:tc>
      </w:tr>
      <w:tr>
        <w:trPr>
          <w:trHeight w:val="270"/>
        </w:trPr>
        <w:tc>
          <w:tcPr>
            <w:tcW w:w="5080" w:type="dxa"/>
            <w:vAlign w:val="bottom"/>
          </w:tcPr>
          <w:p>
            <w:pPr>
              <w:jc w:val="center"/>
              <w:ind w:right="1559"/>
              <w:spacing w:after="0"/>
              <w:rPr>
                <w:sz w:val="20"/>
                <w:szCs w:val="20"/>
                <w:color w:val="auto"/>
              </w:rPr>
            </w:pPr>
            <w:r>
              <w:rPr>
                <w:rFonts w:ascii="Arial" w:cs="Arial" w:eastAsia="Arial" w:hAnsi="Arial"/>
                <w:sz w:val="18"/>
                <w:szCs w:val="18"/>
                <w:b w:val="1"/>
                <w:bCs w:val="1"/>
                <w:color w:val="auto"/>
                <w:w w:val="90"/>
              </w:rPr>
              <w:t>Plainsboro , New Jersey</w:t>
            </w:r>
          </w:p>
        </w:tc>
        <w:tc>
          <w:tcPr>
            <w:tcW w:w="3260" w:type="dxa"/>
            <w:vAlign w:val="bottom"/>
            <w:vMerge w:val="restart"/>
          </w:tcPr>
          <w:p>
            <w:pPr>
              <w:jc w:val="center"/>
              <w:ind w:left="164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83"/>
        </w:trPr>
        <w:tc>
          <w:tcPr>
            <w:tcW w:w="5080" w:type="dxa"/>
            <w:vAlign w:val="bottom"/>
            <w:vMerge w:val="restart"/>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80" w:type="dxa"/>
            <w:vAlign w:val="bottom"/>
            <w:vMerge w:val="continue"/>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69" w:right="239" w:bottom="1440" w:gutter="0" w:footer="0" w:header="0"/>
        </w:sectPr>
      </w:pPr>
    </w:p>
    <w:p>
      <w:pPr>
        <w:spacing w:after="0" w:line="275"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TITLE OF EACH CLASS</w:t>
      </w:r>
    </w:p>
    <w:p>
      <w:pPr>
        <w:spacing w:after="0" w:line="73"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73"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IART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3"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NASDAQ</w:t>
      </w:r>
    </w:p>
    <w:p>
      <w:pPr>
        <w:spacing w:after="0" w:line="200" w:lineRule="exact"/>
        <w:rPr>
          <w:sz w:val="24"/>
          <w:szCs w:val="24"/>
          <w:color w:val="auto"/>
        </w:rPr>
      </w:pPr>
    </w:p>
    <w:p>
      <w:pPr>
        <w:sectPr>
          <w:pgSz w:w="11900" w:h="16838" w:orient="portrait"/>
          <w:cols w:equalWidth="0" w:num="3">
            <w:col w:w="3340" w:space="720"/>
            <w:col w:w="1780" w:space="720"/>
            <w:col w:w="4860"/>
          </w:cols>
          <w:pgMar w:left="240" w:top="269" w:right="239" w:bottom="1440" w:gutter="0" w:footer="0" w:header="0"/>
          <w:type w:val="continuous"/>
        </w:sectPr>
      </w:pPr>
    </w:p>
    <w:p>
      <w:pPr>
        <w:spacing w:after="0" w:line="6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20"/>
          </w:cols>
          <w:pgMar w:left="240" w:top="269" w:right="239" w:bottom="1440" w:gutter="0" w:footer="0" w:header="0"/>
          <w:type w:val="continuous"/>
        </w:sectPr>
      </w:pPr>
    </w:p>
    <w:p>
      <w:pPr>
        <w:spacing w:after="0" w:line="75"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type w:val="continuous"/>
        </w:sectPr>
      </w:pPr>
    </w:p>
    <w:bookmarkStart w:id="1" w:name="page2"/>
    <w:bookmarkEnd w:id="1"/>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22, 2019 was 85,865,669.</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8"/>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6"/>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8"/>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8"/>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10"/>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Condensed Consolidated Statements of Operations and Comprehensive Income for the three and nine months ended September 30, 2019 and 2018</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EE"/>
            </w:tcBorders>
            <w:gridSpan w:val="2"/>
          </w:tcPr>
          <w:p>
            <w:pPr>
              <w:spacing w:after="0" w:line="183" w:lineRule="exact"/>
              <w:rPr>
                <w:rFonts w:ascii="Arial" w:cs="Arial" w:eastAsia="Arial" w:hAnsi="Arial"/>
                <w:sz w:val="16"/>
                <w:szCs w:val="16"/>
                <w:color w:val="0000EE"/>
                <w:w w:val="90"/>
              </w:rPr>
            </w:pPr>
            <w:hyperlink w:anchor="page3">
              <w:r>
                <w:rPr>
                  <w:rFonts w:ascii="Arial" w:cs="Arial" w:eastAsia="Arial" w:hAnsi="Arial"/>
                  <w:sz w:val="16"/>
                  <w:szCs w:val="16"/>
                  <w:color w:val="0000EE"/>
                  <w:w w:val="90"/>
                </w:rPr>
                <w:t>(Unaudited)</w:t>
              </w:r>
            </w:hyperlink>
          </w:p>
        </w:tc>
        <w:tc>
          <w:tcPr>
            <w:tcW w:w="8720" w:type="dxa"/>
            <w:vAlign w:val="bottom"/>
            <w:tcBorders>
              <w:top w:val="single" w:sz="8" w:color="0000EE"/>
            </w:tcBorders>
            <w:gridSpan w:val="14"/>
          </w:tcPr>
          <w:p>
            <w:pPr>
              <w:spacing w:after="0"/>
              <w:rPr>
                <w:sz w:val="15"/>
                <w:szCs w:val="15"/>
                <w:color w:val="auto"/>
              </w:rPr>
            </w:pPr>
          </w:p>
        </w:tc>
        <w:tc>
          <w:tcPr>
            <w:tcW w:w="640" w:type="dxa"/>
            <w:vAlign w:val="bottom"/>
            <w:gridSpan w:val="2"/>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 as of September 30, 2019 and December 31, 2018 (Unaudited)</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5"/>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Condensed Consolidated Statements of Cash Flows for the nine months ended September 30, 2019 and 2018 (Unaudited)</w:t>
              </w:r>
            </w:hyperlink>
          </w:p>
        </w:tc>
        <w:tc>
          <w:tcPr>
            <w:tcW w:w="226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rFonts w:ascii="Arial" w:cs="Arial" w:eastAsia="Arial" w:hAnsi="Arial"/>
                <w:sz w:val="16"/>
                <w:szCs w:val="16"/>
                <w:color w:val="0000EE"/>
                <w:w w:val="92"/>
              </w:rPr>
            </w:pPr>
            <w:hyperlink w:anchor="page6">
              <w:r>
                <w:rPr>
                  <w:rFonts w:ascii="Arial" w:cs="Arial" w:eastAsia="Arial" w:hAnsi="Arial"/>
                  <w:sz w:val="16"/>
                  <w:szCs w:val="16"/>
                  <w:color w:val="0000EE"/>
                  <w:w w:val="92"/>
                </w:rPr>
                <w:t>Condensed Consolidated Statements of Changes in Shareholder's Equity for the three and nine months ended September 30, 2019 and 2018 (Unaudited)</w:t>
              </w:r>
            </w:hyperlink>
          </w:p>
        </w:tc>
        <w:tc>
          <w:tcPr>
            <w:tcW w:w="1240" w:type="dxa"/>
            <w:vAlign w:val="bottom"/>
            <w:gridSpan w:val="4"/>
          </w:tcPr>
          <w:p>
            <w:pPr>
              <w:jc w:val="right"/>
              <w:ind w:right="20"/>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60" w:type="dxa"/>
            <w:vAlign w:val="bottom"/>
            <w:gridSpan w:val="17"/>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28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3"/>
          </w:tcPr>
          <w:p>
            <w:pPr>
              <w:spacing w:after="0"/>
              <w:rPr>
                <w:rFonts w:ascii="Arial" w:cs="Arial" w:eastAsia="Arial" w:hAnsi="Arial"/>
                <w:sz w:val="16"/>
                <w:szCs w:val="16"/>
                <w:color w:val="0000FF"/>
                <w:w w:val="92"/>
              </w:rPr>
            </w:pPr>
            <w:hyperlink w:anchor="page29">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2"/>
          </w:tcPr>
          <w:p>
            <w:pPr>
              <w:spacing w:after="0"/>
              <w:rPr>
                <w:rFonts w:ascii="Arial" w:cs="Arial" w:eastAsia="Arial" w:hAnsi="Arial"/>
                <w:sz w:val="16"/>
                <w:szCs w:val="16"/>
                <w:color w:val="0000FF"/>
                <w:w w:val="92"/>
              </w:rPr>
            </w:pPr>
            <w:hyperlink w:anchor="page40">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2"/>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4. Controls and Procedures</w:t>
              </w:r>
            </w:hyperlink>
          </w:p>
        </w:tc>
        <w:tc>
          <w:tcPr>
            <w:tcW w:w="574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9"/>
          </w:tcPr>
          <w:p>
            <w:pPr>
              <w:spacing w:after="0"/>
              <w:rPr>
                <w:rFonts w:ascii="Arial" w:cs="Arial" w:eastAsia="Arial" w:hAnsi="Arial"/>
                <w:sz w:val="16"/>
                <w:szCs w:val="16"/>
                <w:color w:val="0000FF"/>
                <w:w w:val="96"/>
              </w:rPr>
            </w:pPr>
            <w:hyperlink w:anchor="page42">
              <w:r>
                <w:rPr>
                  <w:rFonts w:ascii="Arial" w:cs="Arial" w:eastAsia="Arial" w:hAnsi="Arial"/>
                  <w:sz w:val="16"/>
                  <w:szCs w:val="16"/>
                  <w:color w:val="0000FF"/>
                  <w:w w:val="96"/>
                </w:rPr>
                <w:t>PART II. OTHER INFORMATION</w:t>
              </w:r>
            </w:hyperlink>
          </w:p>
        </w:tc>
        <w:tc>
          <w:tcPr>
            <w:tcW w:w="782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6"/>
          </w:tcPr>
          <w:p>
            <w:pPr>
              <w:spacing w:after="0"/>
              <w:rPr>
                <w:rFonts w:ascii="Arial" w:cs="Arial" w:eastAsia="Arial" w:hAnsi="Arial"/>
                <w:sz w:val="16"/>
                <w:szCs w:val="16"/>
                <w:color w:val="0000FF"/>
                <w:w w:val="88"/>
              </w:rPr>
            </w:pPr>
            <w:hyperlink w:anchor="page42">
              <w:r>
                <w:rPr>
                  <w:rFonts w:ascii="Arial" w:cs="Arial" w:eastAsia="Arial" w:hAnsi="Arial"/>
                  <w:sz w:val="16"/>
                  <w:szCs w:val="16"/>
                  <w:color w:val="0000FF"/>
                  <w:w w:val="88"/>
                </w:rPr>
                <w:t>Item 1. Legal Proceedings</w:t>
              </w:r>
            </w:hyperlink>
          </w:p>
        </w:tc>
        <w:tc>
          <w:tcPr>
            <w:tcW w:w="84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6"/>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1A. Risk Factors</w:t>
              </w:r>
            </w:hyperlink>
          </w:p>
        </w:tc>
        <w:tc>
          <w:tcPr>
            <w:tcW w:w="84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2"/>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4. Mine Safety Disclosures</w:t>
              </w:r>
            </w:hyperlink>
          </w:p>
        </w:tc>
        <w:tc>
          <w:tcPr>
            <w:tcW w:w="574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6"/>
          </w:tcPr>
          <w:p>
            <w:pPr>
              <w:spacing w:after="0"/>
              <w:rPr>
                <w:rFonts w:ascii="Arial" w:cs="Arial" w:eastAsia="Arial" w:hAnsi="Arial"/>
                <w:sz w:val="16"/>
                <w:szCs w:val="16"/>
                <w:color w:val="0000EE"/>
                <w:w w:val="92"/>
              </w:rPr>
            </w:pPr>
            <w:hyperlink w:anchor="page42">
              <w:r>
                <w:rPr>
                  <w:rFonts w:ascii="Arial" w:cs="Arial" w:eastAsia="Arial" w:hAnsi="Arial"/>
                  <w:sz w:val="16"/>
                  <w:szCs w:val="16"/>
                  <w:color w:val="0000EE"/>
                  <w:w w:val="92"/>
                </w:rPr>
                <w:t>Item 5. Other Information</w:t>
              </w:r>
            </w:hyperlink>
          </w:p>
        </w:tc>
        <w:tc>
          <w:tcPr>
            <w:tcW w:w="400" w:type="dxa"/>
            <w:vAlign w:val="bottom"/>
            <w:gridSpan w:val="2"/>
          </w:tcPr>
          <w:p>
            <w:pPr>
              <w:spacing w:after="0"/>
              <w:rPr>
                <w:sz w:val="24"/>
                <w:szCs w:val="24"/>
                <w:color w:val="auto"/>
              </w:rPr>
            </w:pPr>
          </w:p>
        </w:tc>
        <w:tc>
          <w:tcPr>
            <w:tcW w:w="80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46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3"/>
          </w:tcPr>
          <w:p>
            <w:pPr>
              <w:spacing w:after="0"/>
              <w:rPr>
                <w:rFonts w:ascii="Arial" w:cs="Arial" w:eastAsia="Arial" w:hAnsi="Arial"/>
                <w:sz w:val="16"/>
                <w:szCs w:val="16"/>
                <w:color w:val="0000FF"/>
                <w:w w:val="85"/>
              </w:rPr>
            </w:pPr>
            <w:hyperlink w:anchor="page42">
              <w:r>
                <w:rPr>
                  <w:rFonts w:ascii="Arial" w:cs="Arial" w:eastAsia="Arial" w:hAnsi="Arial"/>
                  <w:sz w:val="16"/>
                  <w:szCs w:val="16"/>
                  <w:color w:val="0000FF"/>
                  <w:w w:val="85"/>
                </w:rPr>
                <w:t>Item 6. Exhibits</w:t>
              </w:r>
            </w:hyperlink>
          </w:p>
        </w:tc>
        <w:tc>
          <w:tcPr>
            <w:tcW w:w="700" w:type="dxa"/>
            <w:vAlign w:val="bottom"/>
            <w:gridSpan w:val="3"/>
          </w:tcPr>
          <w:p>
            <w:pPr>
              <w:spacing w:after="0"/>
              <w:rPr>
                <w:sz w:val="24"/>
                <w:szCs w:val="24"/>
                <w:color w:val="auto"/>
              </w:rPr>
            </w:pPr>
          </w:p>
        </w:tc>
        <w:tc>
          <w:tcPr>
            <w:tcW w:w="84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3"/>
          </w:tcPr>
          <w:p>
            <w:pPr>
              <w:spacing w:after="0"/>
              <w:rPr>
                <w:rFonts w:ascii="Arial" w:cs="Arial" w:eastAsia="Arial" w:hAnsi="Arial"/>
                <w:sz w:val="16"/>
                <w:szCs w:val="16"/>
                <w:color w:val="0000FF"/>
                <w:w w:val="90"/>
              </w:rPr>
            </w:pPr>
            <w:hyperlink w:anchor="page44">
              <w:r>
                <w:rPr>
                  <w:rFonts w:ascii="Arial" w:cs="Arial" w:eastAsia="Arial" w:hAnsi="Arial"/>
                  <w:sz w:val="16"/>
                  <w:szCs w:val="16"/>
                  <w:color w:val="0000FF"/>
                  <w:w w:val="90"/>
                </w:rPr>
                <w:t>SIGNATURES</w:t>
              </w:r>
            </w:hyperlink>
          </w:p>
        </w:tc>
        <w:tc>
          <w:tcPr>
            <w:tcW w:w="9160" w:type="dxa"/>
            <w:vAlign w:val="bottom"/>
            <w:gridSpan w:val="1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Exhibit 31.1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7"/>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Exhibit 31.2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7"/>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Exhibit 32.1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Exhibit 32.2</w:t>
        </w:r>
      </w:hyperlink>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562"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379,095</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365,854</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1,122,430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1,089,126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142,636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415,219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425,032</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19,003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20,309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53,280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57,742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59,889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173,098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173,355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513,345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513,518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5,056</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15,944</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399,682</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342,177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1,064,750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1,012,236</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57,680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2,913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8,051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4,127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8,461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6,422</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33,697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32,887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(2,776)</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13,295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34,882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35,663</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Weighted average common shares outstanding (See Note 13):</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85,688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85,193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85,536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82,058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85,688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86,299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86,581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83,142</w:t>
            </w:r>
          </w:p>
        </w:tc>
      </w:tr>
      <w:tr>
        <w:trPr>
          <w:trHeight w:val="264"/>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(See Note 14)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(46,521)</w:t>
            </w:r>
          </w:p>
        </w:tc>
        <w:tc>
          <w:tcPr>
            <w:tcW w:w="24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12,330</w:t>
            </w:r>
          </w:p>
        </w:tc>
        <w:tc>
          <w:tcPr>
            <w:tcW w:w="2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33,731</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138,838</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$4,006 and $3,719</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281,119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265,737</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280,347</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92,091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90,160</w:t>
            </w: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883,813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775,082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319,384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300,112</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 -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1,040,350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1,079,496</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926,475</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6,805</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19,917</w:t>
            </w:r>
          </w:p>
        </w:tc>
      </w:tr>
      <w:tr>
        <w:trPr>
          <w:trHeight w:val="28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3,346,580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3,107,887</w:t>
            </w:r>
          </w:p>
        </w:tc>
      </w:tr>
      <w:tr>
        <w:trPr>
          <w:trHeight w:val="23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Current portion of borrowings under senior credit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22,500</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Current portion of lease liability - operating leases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11,835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76,050</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3,764</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75,693</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73,249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84,545</w:t>
            </w: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302,641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262,552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1,274,049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1,210,513</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securitization facility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121,200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Lease liability - operating leases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96,820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57,778</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118,366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80,048</w:t>
            </w: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1,961,606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1,732,091</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Commitments and contingencies (Refer to Note 16)</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Common stock; $0.01 par value; 240,000 authorized shares; 88,689 and 88,044 issued at September 30, 2019 and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December 31, 2018,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1,208,549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1,192,601</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0"/>
              </w:rPr>
              <w:t>Treasury stock, at cost; 2,869 shares and 2,881 shares at September 30, 2019 and December 31, 2018,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(120,615)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(87,615)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(45,443)</w:t>
            </w: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348,373</w:t>
            </w:r>
          </w:p>
        </w:tc>
      </w:tr>
      <w:tr>
        <w:trPr>
          <w:trHeight w:val="217"/>
        </w:trPr>
        <w:tc>
          <w:tcPr>
            <w:tcW w:w="786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1,384,974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1,375,796</w:t>
            </w: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3,346,580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3,107,887</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2018</w:t>
            </w:r>
          </w:p>
        </w:tc>
      </w:tr>
      <w:tr>
        <w:trPr>
          <w:trHeight w:val="3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34,882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35,663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81,584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83,053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in-process research and development expense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Non-cash impairment charges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4,941</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4,953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 and other</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business acquisitions: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(3,441)</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3,432</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142,249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156,995</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(52,056)</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note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provided for business 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(64,995)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borrowings of long-term indebtedness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215,800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Payments on debt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(460,000)</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the issuance of common stock, net of issuance costs</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349,590</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financing liabilities from business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exercised stock options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9,239</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taxes paid in net equity settlement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(used in) / provided by financing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73,226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(96,817)</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r>
      <w:tr>
        <w:trPr>
          <w:trHeight w:val="20"/>
        </w:trPr>
        <w:tc>
          <w:tcPr>
            <w:tcW w:w="7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25" w:right="2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1100"/>
        <w:spacing w:after="0"/>
        <w:tabs>
          <w:tab w:leader="none" w:pos="2880" w:val="left"/>
        </w:tabs>
        <w:rPr>
          <w:sz w:val="20"/>
          <w:szCs w:val="20"/>
          <w:color w:val="auto"/>
        </w:rPr>
      </w:pPr>
      <w:r>
        <w:rPr>
          <w:rFonts w:ascii="Arial" w:cs="Arial" w:eastAsia="Arial" w:hAnsi="Arial"/>
          <w:sz w:val="18"/>
          <w:szCs w:val="18"/>
          <w:color w:val="auto"/>
        </w:rPr>
        <w:t>69,143</w:t>
      </w:r>
      <w:r>
        <w:rPr>
          <w:sz w:val="20"/>
          <w:szCs w:val="20"/>
          <w:color w:val="auto"/>
        </w:rPr>
        <w:tab/>
      </w:r>
      <w:r>
        <w:rPr>
          <w:rFonts w:ascii="Arial" w:cs="Arial" w:eastAsia="Arial" w:hAnsi="Arial"/>
          <w:sz w:val="18"/>
          <w:szCs w:val="18"/>
          <w:color w:val="auto"/>
        </w:rPr>
        <w:t>31,056</w:t>
      </w:r>
    </w:p>
    <w:p>
      <w:pPr>
        <w:spacing w:after="0" w:line="63" w:lineRule="exact"/>
        <w:rPr>
          <w:sz w:val="20"/>
          <w:szCs w:val="20"/>
          <w:color w:val="auto"/>
        </w:rPr>
      </w:pPr>
    </w:p>
    <w:p>
      <w:pPr>
        <w:ind w:left="1000"/>
        <w:spacing w:after="0"/>
        <w:tabs>
          <w:tab w:leader="none" w:pos="2800" w:val="left"/>
        </w:tabs>
        <w:rPr>
          <w:sz w:val="20"/>
          <w:szCs w:val="20"/>
          <w:color w:val="auto"/>
        </w:rPr>
      </w:pPr>
      <w:r>
        <w:rPr>
          <w:rFonts w:ascii="Arial" w:cs="Arial" w:eastAsia="Arial" w:hAnsi="Arial"/>
          <w:sz w:val="16"/>
          <w:szCs w:val="16"/>
          <w:color w:val="auto"/>
        </w:rPr>
        <w:t>138,838</w:t>
      </w:r>
      <w:r>
        <w:rPr>
          <w:sz w:val="20"/>
          <w:szCs w:val="20"/>
          <w:color w:val="auto"/>
        </w:rPr>
        <w:tab/>
      </w:r>
      <w:r>
        <w:rPr>
          <w:rFonts w:ascii="Arial" w:cs="Arial" w:eastAsia="Arial" w:hAnsi="Arial"/>
          <w:sz w:val="16"/>
          <w:szCs w:val="16"/>
          <w:color w:val="auto"/>
        </w:rPr>
        <w:t>174,935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spacing w:after="0"/>
        <w:tabs>
          <w:tab w:leader="none" w:pos="980" w:val="left"/>
          <w:tab w:leader="none" w:pos="1820" w:val="left"/>
          <w:tab w:leader="none" w:pos="2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207,981</w:t>
        <w:tab/>
        <w:t>$</w:t>
      </w:r>
      <w:r>
        <w:rPr>
          <w:sz w:val="20"/>
          <w:szCs w:val="20"/>
          <w:color w:val="auto"/>
        </w:rPr>
        <w:tab/>
      </w:r>
      <w:r>
        <w:rPr>
          <w:rFonts w:ascii="Arial" w:cs="Arial" w:eastAsia="Arial" w:hAnsi="Arial"/>
          <w:sz w:val="16"/>
          <w:szCs w:val="16"/>
          <w:color w:val="auto"/>
        </w:rPr>
        <w:t>205,991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23837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00"/>
          </w:cols>
          <w:pgMar w:left="240" w:top="125" w:right="259" w:bottom="1440" w:gutter="0" w:footer="0" w:header="0"/>
          <w:type w:val="continuous"/>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8"/>
          </w:tcPr>
          <w:p>
            <w:pPr>
              <w:ind w:left="40"/>
              <w:spacing w:after="0"/>
              <w:rPr>
                <w:sz w:val="20"/>
                <w:szCs w:val="20"/>
                <w:color w:val="auto"/>
              </w:rPr>
            </w:pPr>
            <w:r>
              <w:rPr>
                <w:rFonts w:ascii="Arial" w:cs="Arial" w:eastAsia="Arial" w:hAnsi="Arial"/>
                <w:sz w:val="13"/>
                <w:szCs w:val="13"/>
                <w:b w:val="1"/>
                <w:bCs w:val="1"/>
                <w:color w:val="auto"/>
                <w:w w:val="95"/>
              </w:rPr>
              <w:t>Three Months Ended September 30, 2019</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20" w:type="dxa"/>
            <w:vAlign w:val="bottom"/>
          </w:tcPr>
          <w:p>
            <w:pPr>
              <w:spacing w:after="0"/>
              <w:rPr>
                <w:sz w:val="15"/>
                <w:szCs w:val="15"/>
                <w:color w:val="auto"/>
              </w:rPr>
            </w:pPr>
          </w:p>
        </w:tc>
        <w:tc>
          <w:tcPr>
            <w:tcW w:w="168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3"/>
                <w:szCs w:val="13"/>
                <w:b w:val="1"/>
                <w:bCs w:val="1"/>
                <w:color w:val="auto"/>
                <w:w w:val="87"/>
              </w:rPr>
              <w:t>Treasury Stock</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Additional Paid-</w:t>
            </w:r>
          </w:p>
        </w:tc>
        <w:tc>
          <w:tcPr>
            <w:tcW w:w="1340" w:type="dxa"/>
            <w:vAlign w:val="bottom"/>
            <w:gridSpan w:val="4"/>
          </w:tcPr>
          <w:p>
            <w:pPr>
              <w:ind w:left="80"/>
              <w:spacing w:after="0"/>
              <w:rPr>
                <w:sz w:val="20"/>
                <w:szCs w:val="20"/>
                <w:color w:val="auto"/>
              </w:rPr>
            </w:pPr>
            <w:r>
              <w:rPr>
                <w:rFonts w:ascii="Arial" w:cs="Arial" w:eastAsia="Arial" w:hAnsi="Arial"/>
                <w:sz w:val="13"/>
                <w:szCs w:val="13"/>
                <w:b w:val="1"/>
                <w:bCs w:val="1"/>
                <w:color w:val="auto"/>
              </w:rPr>
              <w:t>Accumulated Other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5"/>
                <w:szCs w:val="15"/>
                <w:color w:val="auto"/>
              </w:rPr>
            </w:pPr>
          </w:p>
        </w:tc>
        <w:tc>
          <w:tcPr>
            <w:tcW w:w="880" w:type="dxa"/>
            <w:vAlign w:val="bottom"/>
            <w:gridSpan w:val="2"/>
            <w:vMerge w:val="restart"/>
          </w:tcPr>
          <w:p>
            <w:pPr>
              <w:jc w:val="right"/>
              <w:ind w:right="49"/>
              <w:spacing w:after="0"/>
              <w:rPr>
                <w:sz w:val="20"/>
                <w:szCs w:val="20"/>
                <w:color w:val="auto"/>
              </w:rPr>
            </w:pPr>
            <w:r>
              <w:rPr>
                <w:rFonts w:ascii="Arial" w:cs="Arial" w:eastAsia="Arial" w:hAnsi="Arial"/>
                <w:sz w:val="13"/>
                <w:szCs w:val="13"/>
                <w:b w:val="1"/>
                <w:bCs w:val="1"/>
                <w:color w:val="auto"/>
                <w:w w:val="99"/>
              </w:rPr>
              <w:t>Total 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2"/>
              </w:rPr>
              <w:t>In Capital</w:t>
            </w:r>
          </w:p>
        </w:tc>
        <w:tc>
          <w:tcPr>
            <w:tcW w:w="1340" w:type="dxa"/>
            <w:vAlign w:val="bottom"/>
            <w:gridSpan w:val="4"/>
            <w:vMerge w:val="restart"/>
          </w:tcPr>
          <w:p>
            <w:pPr>
              <w:jc w:val="right"/>
              <w:ind w:right="180"/>
              <w:spacing w:after="0"/>
              <w:rPr>
                <w:sz w:val="20"/>
                <w:szCs w:val="20"/>
                <w:color w:val="auto"/>
              </w:rPr>
            </w:pPr>
            <w:r>
              <w:rPr>
                <w:rFonts w:ascii="Arial" w:cs="Arial" w:eastAsia="Arial" w:hAnsi="Arial"/>
                <w:sz w:val="13"/>
                <w:szCs w:val="13"/>
                <w:b w:val="1"/>
                <w:bCs w:val="1"/>
                <w:color w:val="auto"/>
                <w:w w:val="86"/>
              </w:rPr>
              <w:t>Comprehensive Loss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6"/>
          </w:tcPr>
          <w:p>
            <w:pPr>
              <w:ind w:left="40"/>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Balance, June 30, 2019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88,351</w:t>
            </w:r>
          </w:p>
        </w:tc>
        <w:tc>
          <w:tcPr>
            <w:tcW w:w="220" w:type="dxa"/>
            <w:vAlign w:val="bottom"/>
            <w:gridSpan w:val="2"/>
          </w:tcPr>
          <w:p>
            <w:pPr>
              <w:jc w:val="center"/>
              <w:ind w:lef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(120,107)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1,198,010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(68,700)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410,865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w w:val="99"/>
              </w:rPr>
              <w:t>1,420,951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 net of tax</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4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for vesting of share based</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4,665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4,674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gridSpan w:val="4"/>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3420" w:type="dxa"/>
            <w:vAlign w:val="bottom"/>
            <w:gridSpan w:val="2"/>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5,874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3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September 30, 2019</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88,689</w:t>
            </w:r>
          </w:p>
        </w:tc>
        <w:tc>
          <w:tcPr>
            <w:tcW w:w="220" w:type="dxa"/>
            <w:vAlign w:val="bottom"/>
            <w:tcBorders>
              <w:bottom w:val="single" w:sz="8" w:color="CCEEFF"/>
            </w:tcBorders>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(120,101)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1,208,549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(87,615)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383,255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9"/>
              </w:rPr>
              <w:t>1,384,974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8"/>
          </w:tcPr>
          <w:p>
            <w:pPr>
              <w:ind w:left="20"/>
              <w:spacing w:after="0"/>
              <w:rPr>
                <w:sz w:val="20"/>
                <w:szCs w:val="20"/>
                <w:color w:val="auto"/>
              </w:rPr>
            </w:pPr>
            <w:r>
              <w:rPr>
                <w:rFonts w:ascii="Arial" w:cs="Arial" w:eastAsia="Arial" w:hAnsi="Arial"/>
                <w:sz w:val="13"/>
                <w:szCs w:val="13"/>
                <w:b w:val="1"/>
                <w:bCs w:val="1"/>
                <w:color w:val="auto"/>
                <w:w w:val="99"/>
              </w:rPr>
              <w:t>Nine Months Ended September 30, 2019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gridSpan w:val="7"/>
          </w:tcPr>
          <w:p>
            <w:pPr>
              <w:spacing w:after="0"/>
              <w:rPr>
                <w:sz w:val="4"/>
                <w:szCs w:val="4"/>
                <w:color w:val="auto"/>
              </w:rPr>
            </w:pPr>
          </w:p>
        </w:tc>
        <w:tc>
          <w:tcPr>
            <w:tcW w:w="1680" w:type="dxa"/>
            <w:vAlign w:val="bottom"/>
            <w:tcBorders>
              <w:bottom w:val="single" w:sz="8" w:color="auto"/>
            </w:tcBorders>
            <w:gridSpan w:val="6"/>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29"/>
              <w:spacing w:after="0"/>
              <w:rPr>
                <w:sz w:val="20"/>
                <w:szCs w:val="20"/>
                <w:color w:val="auto"/>
              </w:rPr>
            </w:pPr>
            <w:r>
              <w:rPr>
                <w:rFonts w:ascii="Arial" w:cs="Arial" w:eastAsia="Arial" w:hAnsi="Arial"/>
                <w:sz w:val="13"/>
                <w:szCs w:val="13"/>
                <w:b w:val="1"/>
                <w:bCs w:val="1"/>
                <w:color w:val="auto"/>
                <w:w w:val="88"/>
              </w:rPr>
              <w:t>Common 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Additional Paid-</w:t>
            </w:r>
          </w:p>
        </w:tc>
        <w:tc>
          <w:tcPr>
            <w:tcW w:w="13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5"/>
              </w:rPr>
              <w:t>Accumulated Other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w w:val="85"/>
              </w:rPr>
              <w:t>Total 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2"/>
              </w:rPr>
              <w:t>In Capital</w:t>
            </w:r>
          </w:p>
        </w:tc>
        <w:tc>
          <w:tcPr>
            <w:tcW w:w="134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4"/>
              </w:rPr>
              <w:t>Comprehensive Loss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6"/>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6"/>
          </w:tcPr>
          <w:p>
            <w:pPr>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460" w:type="dxa"/>
            <w:vAlign w:val="bottom"/>
            <w:gridSpan w:val="3"/>
          </w:tcPr>
          <w:p>
            <w:pPr>
              <w:ind w:left="40"/>
              <w:spacing w:after="0"/>
              <w:rPr>
                <w:sz w:val="20"/>
                <w:szCs w:val="20"/>
                <w:color w:val="auto"/>
              </w:rPr>
            </w:pPr>
            <w:r>
              <w:rPr>
                <w:rFonts w:ascii="Arial" w:cs="Arial" w:eastAsia="Arial" w:hAnsi="Arial"/>
                <w:sz w:val="14"/>
                <w:szCs w:val="14"/>
                <w:color w:val="auto"/>
              </w:rPr>
              <w:t>Balance, December 31, 2018</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88,044</w:t>
            </w:r>
          </w:p>
        </w:tc>
        <w:tc>
          <w:tcPr>
            <w:tcW w:w="12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(2,881)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(120,615)</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1,192,601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(45,443)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348,373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1,375,796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33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34,882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34,882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460" w:type="dxa"/>
            <w:vAlign w:val="bottom"/>
            <w:gridSpan w:val="3"/>
          </w:tcPr>
          <w:p>
            <w:pPr>
              <w:ind w:left="40"/>
              <w:spacing w:after="0"/>
              <w:rPr>
                <w:sz w:val="20"/>
                <w:szCs w:val="20"/>
                <w:color w:val="auto"/>
              </w:rPr>
            </w:pPr>
            <w:r>
              <w:rPr>
                <w:rFonts w:ascii="Arial" w:cs="Arial" w:eastAsia="Arial" w:hAnsi="Arial"/>
                <w:sz w:val="14"/>
                <w:szCs w:val="14"/>
                <w:color w:val="auto"/>
              </w:rPr>
              <w:t>Other comprehensive loss, net of tax</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46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rPr>
              <w:t>Issuance of common stock for vesting of share based</w:t>
            </w: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677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4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460" w:type="dxa"/>
            <w:vAlign w:val="bottom"/>
            <w:gridSpan w:val="3"/>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460" w:type="dxa"/>
            <w:vAlign w:val="bottom"/>
            <w:gridSpan w:val="3"/>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15,791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15,791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4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September 30, 2019</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88,689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(2,869)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(120,101)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1,208,549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383,255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1,384,974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13"/>
          </w:tcPr>
          <w:p>
            <w:pPr>
              <w:jc w:val="right"/>
              <w:ind w:right="760"/>
              <w:spacing w:after="0"/>
              <w:rPr>
                <w:sz w:val="20"/>
                <w:szCs w:val="20"/>
                <w:color w:val="auto"/>
              </w:rPr>
            </w:pPr>
            <w:r>
              <w:rPr>
                <w:rFonts w:ascii="Arial" w:cs="Arial" w:eastAsia="Arial" w:hAnsi="Arial"/>
                <w:sz w:val="13"/>
                <w:szCs w:val="13"/>
                <w:b w:val="1"/>
                <w:bCs w:val="1"/>
                <w:color w:val="auto"/>
                <w:w w:val="92"/>
              </w:rPr>
              <w:t>Three Months Ended September 30, 2018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6"/>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4"/>
          </w:tcPr>
          <w:p>
            <w:pPr>
              <w:jc w:val="right"/>
              <w:ind w:right="250"/>
              <w:spacing w:after="0" w:line="138"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6"/>
          </w:tcPr>
          <w:p>
            <w:pPr>
              <w:jc w:val="right"/>
              <w:ind w:right="330"/>
              <w:spacing w:after="0" w:line="138" w:lineRule="exact"/>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91"/>
              </w:rPr>
              <w:t>Additional</w:t>
            </w:r>
          </w:p>
        </w:tc>
        <w:tc>
          <w:tcPr>
            <w:tcW w:w="1240" w:type="dxa"/>
            <w:vAlign w:val="bottom"/>
            <w:gridSpan w:val="4"/>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1"/>
                <w:szCs w:val="11"/>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4"/>
              </w:rPr>
              <w:t>Retained</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240" w:type="dxa"/>
            <w:vAlign w:val="bottom"/>
            <w:gridSpan w:val="4"/>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vMerge w:val="restart"/>
          </w:tcPr>
          <w:p>
            <w:pPr>
              <w:jc w:val="right"/>
              <w:ind w:right="209"/>
              <w:spacing w:after="0" w:line="135" w:lineRule="exact"/>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70"/>
        </w:trPr>
        <w:tc>
          <w:tcPr>
            <w:tcW w:w="3200" w:type="dxa"/>
            <w:vAlign w:val="bottom"/>
          </w:tcPr>
          <w:p>
            <w:pPr>
              <w:spacing w:after="0"/>
              <w:rPr>
                <w:sz w:val="6"/>
                <w:szCs w:val="6"/>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2"/>
            <w:vMerge w:val="restart"/>
          </w:tcPr>
          <w:p>
            <w:pPr>
              <w:jc w:val="right"/>
              <w:ind w:right="51"/>
              <w:spacing w:after="0"/>
              <w:rPr>
                <w:sz w:val="20"/>
                <w:szCs w:val="20"/>
                <w:color w:val="auto"/>
              </w:rPr>
            </w:pPr>
            <w:r>
              <w:rPr>
                <w:rFonts w:ascii="Arial" w:cs="Arial" w:eastAsia="Arial" w:hAnsi="Arial"/>
                <w:sz w:val="13"/>
                <w:szCs w:val="13"/>
                <w:b w:val="1"/>
                <w:bCs w:val="1"/>
                <w:color w:val="auto"/>
                <w:w w:val="92"/>
              </w:rPr>
              <w:t>Shares</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95"/>
              </w:rPr>
              <w:t>Paid-In Capital</w:t>
            </w:r>
          </w:p>
        </w:tc>
        <w:tc>
          <w:tcPr>
            <w:tcW w:w="12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5"/>
              </w:rPr>
              <w:t>(In thousands)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14"/>
                <w:szCs w:val="14"/>
                <w:color w:val="auto"/>
              </w:rPr>
              <w:t>Balance, June 30, 2018</w:t>
            </w:r>
          </w:p>
        </w:tc>
        <w:tc>
          <w:tcPr>
            <w:tcW w:w="820" w:type="dxa"/>
            <w:vAlign w:val="bottom"/>
            <w:gridSpan w:val="2"/>
          </w:tcPr>
          <w:p>
            <w:pPr>
              <w:jc w:val="right"/>
              <w:ind w:right="51"/>
              <w:spacing w:after="0"/>
              <w:rPr>
                <w:sz w:val="20"/>
                <w:szCs w:val="20"/>
                <w:color w:val="auto"/>
              </w:rPr>
            </w:pPr>
            <w:r>
              <w:rPr>
                <w:rFonts w:ascii="Arial" w:cs="Arial" w:eastAsia="Arial" w:hAnsi="Arial"/>
                <w:sz w:val="14"/>
                <w:szCs w:val="14"/>
                <w:color w:val="auto"/>
              </w:rPr>
              <w:t>87,772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(2,890)</w:t>
            </w:r>
          </w:p>
        </w:tc>
        <w:tc>
          <w:tcPr>
            <w:tcW w:w="34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(120,732)</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1"/>
              <w:spacing w:after="0"/>
              <w:rPr>
                <w:sz w:val="20"/>
                <w:szCs w:val="20"/>
                <w:color w:val="auto"/>
              </w:rPr>
            </w:pPr>
            <w:r>
              <w:rPr>
                <w:rFonts w:ascii="Arial" w:cs="Arial" w:eastAsia="Arial" w:hAnsi="Arial"/>
                <w:sz w:val="14"/>
                <w:szCs w:val="14"/>
                <w:color w:val="auto"/>
              </w:rPr>
              <w:t>1,177,125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(25,306)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309,941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1,341,905</w:t>
            </w:r>
          </w:p>
        </w:tc>
        <w:tc>
          <w:tcPr>
            <w:tcW w:w="0" w:type="dxa"/>
            <w:vAlign w:val="bottom"/>
          </w:tcPr>
          <w:p>
            <w:pPr>
              <w:spacing w:after="0"/>
              <w:rPr>
                <w:sz w:val="1"/>
                <w:szCs w:val="1"/>
                <w:color w:val="auto"/>
              </w:rPr>
            </w:pPr>
          </w:p>
        </w:tc>
      </w:tr>
      <w:tr>
        <w:trPr>
          <w:trHeight w:val="53"/>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13,295</w:t>
            </w:r>
          </w:p>
        </w:tc>
        <w:tc>
          <w:tcPr>
            <w:tcW w:w="0" w:type="dxa"/>
            <w:vAlign w:val="bottom"/>
          </w:tcPr>
          <w:p>
            <w:pPr>
              <w:spacing w:after="0"/>
              <w:rPr>
                <w:sz w:val="1"/>
                <w:szCs w:val="1"/>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53"/>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Issuance of common stock</w:t>
            </w:r>
          </w:p>
        </w:tc>
        <w:tc>
          <w:tcPr>
            <w:tcW w:w="82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5,499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5,502</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w w:val="94"/>
              </w:rPr>
              <w:t>Issuance of common stock for vesting of share based</w:t>
            </w:r>
          </w:p>
        </w:tc>
        <w:tc>
          <w:tcPr>
            <w:tcW w:w="820" w:type="dxa"/>
            <w:vAlign w:val="bottom"/>
            <w:gridSpan w:val="2"/>
            <w:vMerge w:val="restart"/>
          </w:tcPr>
          <w:p>
            <w:pPr>
              <w:jc w:val="right"/>
              <w:ind w:right="11"/>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01"/>
        </w:trPr>
        <w:tc>
          <w:tcPr>
            <w:tcW w:w="3200" w:type="dxa"/>
            <w:vAlign w:val="bottom"/>
            <w:vMerge w:val="restart"/>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5,559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5,559</w:t>
            </w: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4"/>
                <w:szCs w:val="14"/>
                <w:color w:val="auto"/>
              </w:rPr>
              <w:t>Balance, September 30, 2018</w:t>
            </w:r>
          </w:p>
        </w:tc>
        <w:tc>
          <w:tcPr>
            <w:tcW w:w="82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4"/>
                <w:szCs w:val="14"/>
                <w:color w:val="auto"/>
              </w:rPr>
              <w:t>88,016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(2,883)</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(120,727)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1,187,963</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(26,271)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323,236</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1,365,081</w:t>
            </w: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12"/>
          </w:tcPr>
          <w:p>
            <w:pPr>
              <w:jc w:val="right"/>
              <w:ind w:right="680"/>
              <w:spacing w:after="0"/>
              <w:rPr>
                <w:sz w:val="20"/>
                <w:szCs w:val="20"/>
                <w:color w:val="auto"/>
              </w:rPr>
            </w:pPr>
            <w:r>
              <w:rPr>
                <w:rFonts w:ascii="Arial" w:cs="Arial" w:eastAsia="Arial" w:hAnsi="Arial"/>
                <w:sz w:val="13"/>
                <w:szCs w:val="13"/>
                <w:b w:val="1"/>
                <w:bCs w:val="1"/>
                <w:color w:val="auto"/>
                <w:w w:val="89"/>
              </w:rPr>
              <w:t>Nine Months Ended September 30, 2018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5"/>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4"/>
          </w:tcPr>
          <w:p>
            <w:pPr>
              <w:jc w:val="right"/>
              <w:ind w:right="30"/>
              <w:spacing w:after="0" w:line="138"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4"/>
          </w:tcPr>
          <w:p>
            <w:pPr>
              <w:jc w:val="right"/>
              <w:ind w:right="90"/>
              <w:spacing w:after="0" w:line="138" w:lineRule="exact"/>
              <w:rPr>
                <w:sz w:val="20"/>
                <w:szCs w:val="20"/>
                <w:color w:val="auto"/>
              </w:rPr>
            </w:pPr>
            <w:r>
              <w:rPr>
                <w:rFonts w:ascii="Arial" w:cs="Arial" w:eastAsia="Arial" w:hAnsi="Arial"/>
                <w:sz w:val="13"/>
                <w:szCs w:val="13"/>
                <w:b w:val="1"/>
                <w:bCs w:val="1"/>
                <w:color w:val="auto"/>
                <w:w w:val="87"/>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Additional</w:t>
            </w:r>
          </w:p>
        </w:tc>
        <w:tc>
          <w:tcPr>
            <w:tcW w:w="13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rPr>
              <w:t>Accumulated Other</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gridSpan w:val="3"/>
            <w:vMerge w:val="restart"/>
          </w:tcPr>
          <w:p>
            <w:pPr>
              <w:jc w:val="right"/>
              <w:ind w:righ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vMerge w:val="restart"/>
          </w:tcPr>
          <w:p>
            <w:pPr>
              <w:jc w:val="right"/>
              <w:ind w:right="149"/>
              <w:spacing w:after="0" w:line="135" w:lineRule="exact"/>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70"/>
        </w:trPr>
        <w:tc>
          <w:tcPr>
            <w:tcW w:w="3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6"/>
                <w:szCs w:val="6"/>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4"/>
            <w:vMerge w:val="restart"/>
          </w:tcPr>
          <w:p>
            <w:pPr>
              <w:jc w:val="right"/>
              <w:ind w:right="168"/>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6"/>
                <w:szCs w:val="6"/>
                <w:color w:val="auto"/>
              </w:rPr>
            </w:pPr>
          </w:p>
        </w:tc>
        <w:tc>
          <w:tcPr>
            <w:tcW w:w="760" w:type="dxa"/>
            <w:vAlign w:val="bottom"/>
            <w:gridSpan w:val="4"/>
            <w:vMerge w:val="restart"/>
          </w:tcPr>
          <w:p>
            <w:pPr>
              <w:jc w:val="right"/>
              <w:ind w:right="173"/>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6"/>
                <w:szCs w:val="6"/>
                <w:color w:val="auto"/>
              </w:rPr>
            </w:pPr>
          </w:p>
        </w:tc>
        <w:tc>
          <w:tcPr>
            <w:tcW w:w="1220" w:type="dxa"/>
            <w:vAlign w:val="bottom"/>
            <w:gridSpan w:val="4"/>
            <w:vMerge w:val="restart"/>
          </w:tcPr>
          <w:p>
            <w:pPr>
              <w:jc w:val="right"/>
              <w:ind w:right="192"/>
              <w:spacing w:after="0"/>
              <w:rPr>
                <w:sz w:val="20"/>
                <w:szCs w:val="20"/>
                <w:color w:val="auto"/>
              </w:rPr>
            </w:pPr>
            <w:r>
              <w:rPr>
                <w:rFonts w:ascii="Arial" w:cs="Arial" w:eastAsia="Arial" w:hAnsi="Arial"/>
                <w:sz w:val="13"/>
                <w:szCs w:val="13"/>
                <w:b w:val="1"/>
                <w:bCs w:val="1"/>
                <w:color w:val="auto"/>
              </w:rPr>
              <w:t>Paid-In Capital</w:t>
            </w:r>
          </w:p>
        </w:tc>
        <w:tc>
          <w:tcPr>
            <w:tcW w:w="9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Earnings</w:t>
            </w: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81,306</w:t>
            </w:r>
          </w:p>
        </w:tc>
        <w:tc>
          <w:tcPr>
            <w:tcW w:w="140" w:type="dxa"/>
            <w:vAlign w:val="bottom"/>
          </w:tcPr>
          <w:p>
            <w:pPr>
              <w:spacing w:after="0"/>
              <w:rPr>
                <w:sz w:val="23"/>
                <w:szCs w:val="23"/>
                <w:color w:val="auto"/>
              </w:rPr>
            </w:pPr>
          </w:p>
        </w:tc>
        <w:tc>
          <w:tcPr>
            <w:tcW w:w="5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94"/>
              </w:rPr>
              <w:t>813</w:t>
            </w:r>
          </w:p>
        </w:tc>
        <w:tc>
          <w:tcPr>
            <w:tcW w:w="1000" w:type="dxa"/>
            <w:vAlign w:val="bottom"/>
            <w:gridSpan w:val="6"/>
          </w:tcPr>
          <w:p>
            <w:pPr>
              <w:jc w:val="right"/>
              <w:ind w:right="68"/>
              <w:spacing w:after="0"/>
              <w:rPr>
                <w:sz w:val="20"/>
                <w:szCs w:val="20"/>
                <w:color w:val="auto"/>
              </w:rPr>
            </w:pPr>
            <w:r>
              <w:rPr>
                <w:rFonts w:ascii="Arial" w:cs="Arial" w:eastAsia="Arial" w:hAnsi="Arial"/>
                <w:sz w:val="14"/>
                <w:szCs w:val="14"/>
                <w:color w:val="auto"/>
              </w:rPr>
              <w:t>(2,927)</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(121,644)</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   821,758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8"/>
              <w:spacing w:after="0"/>
              <w:rPr>
                <w:sz w:val="20"/>
                <w:szCs w:val="20"/>
                <w:color w:val="auto"/>
              </w:rPr>
            </w:pPr>
            <w:r>
              <w:rPr>
                <w:rFonts w:ascii="Arial" w:cs="Arial" w:eastAsia="Arial" w:hAnsi="Arial"/>
                <w:sz w:val="14"/>
                <w:szCs w:val="14"/>
                <w:color w:val="auto"/>
              </w:rPr>
              <w:t>(23,807)</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  285,186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962,306</w:t>
            </w:r>
          </w:p>
        </w:tc>
        <w:tc>
          <w:tcPr>
            <w:tcW w:w="0" w:type="dxa"/>
            <w:vAlign w:val="bottom"/>
          </w:tcPr>
          <w:p>
            <w:pPr>
              <w:spacing w:after="0"/>
              <w:rPr>
                <w:sz w:val="1"/>
                <w:szCs w:val="1"/>
                <w:color w:val="auto"/>
              </w:rPr>
            </w:pPr>
          </w:p>
        </w:tc>
      </w:tr>
      <w:tr>
        <w:trPr>
          <w:trHeight w:val="53"/>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3"/>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4"/>
                <w:szCs w:val="14"/>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35,663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35,663</w:t>
            </w:r>
          </w:p>
        </w:tc>
        <w:tc>
          <w:tcPr>
            <w:tcW w:w="0" w:type="dxa"/>
            <w:vAlign w:val="bottom"/>
          </w:tcPr>
          <w:p>
            <w:pPr>
              <w:spacing w:after="0"/>
              <w:rPr>
                <w:sz w:val="1"/>
                <w:szCs w:val="1"/>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4"/>
                <w:szCs w:val="14"/>
                <w:color w:val="auto"/>
              </w:rPr>
              <w:t>Adoption of Update No. 2014-09</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3"/>
          </w:tcPr>
          <w:p>
            <w:pPr>
              <w:jc w:val="right"/>
              <w:ind w:right="10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3"/>
          </w:tcPr>
          <w:p>
            <w:pPr>
              <w:jc w:val="right"/>
              <w:ind w:right="53"/>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1,854</w:t>
            </w:r>
          </w:p>
        </w:tc>
        <w:tc>
          <w:tcPr>
            <w:tcW w:w="26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53"/>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3"/>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gridSpan w:val="4"/>
          </w:tcPr>
          <w:p>
            <w:pPr>
              <w:spacing w:after="0"/>
              <w:rPr>
                <w:sz w:val="4"/>
                <w:szCs w:val="4"/>
                <w:color w:val="auto"/>
              </w:rPr>
            </w:pPr>
          </w:p>
        </w:tc>
        <w:tc>
          <w:tcPr>
            <w:tcW w:w="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4"/>
                <w:szCs w:val="14"/>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4"/>
                <w:szCs w:val="14"/>
                <w:color w:val="auto"/>
              </w:rPr>
              <w:t>(2,464)</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597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3"/>
          </w:tcPr>
          <w:p>
            <w:pPr>
              <w:jc w:val="right"/>
              <w:ind w:right="10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3"/>
          </w:tcPr>
          <w:p>
            <w:pPr>
              <w:jc w:val="right"/>
              <w:ind w:right="53"/>
              <w:spacing w:after="0"/>
              <w:rPr>
                <w:sz w:val="20"/>
                <w:szCs w:val="20"/>
                <w:color w:val="auto"/>
              </w:rPr>
            </w:pPr>
            <w:r>
              <w:rPr>
                <w:rFonts w:ascii="Arial" w:cs="Arial" w:eastAsia="Arial" w:hAnsi="Arial"/>
                <w:sz w:val="14"/>
                <w:szCs w:val="14"/>
                <w:color w:val="auto"/>
                <w:w w:val="99"/>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8,671</w:t>
            </w:r>
          </w:p>
        </w:tc>
        <w:tc>
          <w:tcPr>
            <w:tcW w:w="3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8,677</w:t>
            </w:r>
          </w:p>
        </w:tc>
        <w:tc>
          <w:tcPr>
            <w:tcW w:w="0" w:type="dxa"/>
            <w:vAlign w:val="bottom"/>
          </w:tcPr>
          <w:p>
            <w:pPr>
              <w:spacing w:after="0"/>
              <w:rPr>
                <w:sz w:val="1"/>
                <w:szCs w:val="1"/>
                <w:color w:val="auto"/>
              </w:rPr>
            </w:pPr>
          </w:p>
        </w:tc>
      </w:tr>
      <w:tr>
        <w:trPr>
          <w:trHeight w:val="53"/>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8"/>
              </w:rPr>
              <w:t>Issuance of common stock through employee stock</w:t>
            </w:r>
          </w:p>
        </w:tc>
        <w:tc>
          <w:tcPr>
            <w:tcW w:w="2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gridSpan w:val="3"/>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99"/>
              </w:rPr>
              <w:t>—</w:t>
            </w: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34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01"/>
        </w:trPr>
        <w:tc>
          <w:tcPr>
            <w:tcW w:w="3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purchase plan</w:t>
            </w:r>
          </w:p>
        </w:tc>
        <w:tc>
          <w:tcPr>
            <w:tcW w:w="24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40" w:type="dxa"/>
            <w:vAlign w:val="bottom"/>
            <w:gridSpan w:val="3"/>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900" w:type="dxa"/>
            <w:vAlign w:val="bottom"/>
            <w:gridSpan w:val="4"/>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00" w:type="dxa"/>
            <w:vAlign w:val="bottom"/>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2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offering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September 30, 2018</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(7,414)</w:t>
            </w:r>
          </w:p>
        </w:tc>
      </w:tr>
      <w:tr>
        <w:trPr>
          <w:trHeight w:val="31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6,038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349,538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349,598</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15,775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15,775</w:t>
            </w:r>
          </w:p>
        </w:tc>
      </w:tr>
      <w:tr>
        <w:trPr>
          <w:trHeight w:val="53"/>
        </w:trPr>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98"/>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88,016</w:t>
            </w:r>
          </w:p>
        </w:tc>
        <w:tc>
          <w:tcPr>
            <w:tcW w:w="1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(2,883)</w:t>
            </w:r>
          </w:p>
        </w:tc>
        <w:tc>
          <w:tcPr>
            <w:tcW w:w="1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   (120,727)</w:t>
            </w: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  1,187,963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(26,271)</w:t>
            </w:r>
          </w:p>
        </w:tc>
        <w:tc>
          <w:tcPr>
            <w:tcW w:w="1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9"/>
              </w:rPr>
              <w:t>$  323,236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1,365,081</w:t>
            </w:r>
          </w:p>
        </w:tc>
      </w:tr>
      <w:tr>
        <w:trPr>
          <w:trHeight w:val="39"/>
        </w:trPr>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-530860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-187960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360"/>
            <w:col w:w="7980"/>
          </w:cols>
          <w:pgMar w:left="240" w:top="125"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September 30, 2019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2018 included in the Company’s Annual Report on Form 10-K. The December 31, 2018 consolidated balance sheet was derived from audited financial statements, but does not include all disclosures required by accounting principles generally accepted in the United States. Operating results for the three and nine month period ended September 30, 2019 are not necessarily indicative of the results to be expected for the entire year.</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pension assets and liabilities,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Offering</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 (the New Lease Standard)</w:t>
      </w:r>
      <w:r>
        <w:rPr>
          <w:rFonts w:ascii="Arial" w:cs="Arial" w:eastAsia="Arial" w:hAnsi="Arial"/>
          <w:sz w:val="17"/>
          <w:szCs w:val="17"/>
          <w:color w:val="auto"/>
        </w:rPr>
        <w:t>. The New Lease Standard requires that lessees recognize virtually all of its leases on the balance sheet by recording a right-of-use asset and lease liability (other than leases that meet the definition of a "short-term lease"). This update became effective for all annual periods and interim reporting periods beginning after December 15, 2018.</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adopted the New Lease Standard as of January 1, 2019 using a modified retrospective transition. Under this method, financial results reported in periods prior to January 1, 2019 are unchanged. The Company elected the ‘package of practical expedients’ which permits the company not to reassess the prior conclusions about lease identification, lease classification and initial direct costs under the new standard. The Company also elected the use-of-hindsight practical expedient. As most of the leases do not provide an implicit rate, the Company used our collateralized incremental borrowing rate based on the information available at the lease implementation date in determining the present value of the lease payments. The adoption of the New Lease Standard had an initial impact on the consolidated balance sheet due to the recognition of $76.4 million of lease liabilities with corresponding right-of-use assets ("ROU") of $67.3 million for operating leases. The difference between lease liabilities and right-of-use assets is primarily attributed to unamortized lease incentives which will be amortized over the term of each respective lease.</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is intended to improve financial reporting by requiring timelier recording of credit losses on loans and other financial instruments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is effective for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fiscal years, and interim periods within those fiscal years, beginning after December 15, 2019. The Company is evaluating the impact, if any, that this pronouncement will have on the financial position and results of operations.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The new guidance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adoption is not expected to have a material impact on the Condensed and Consolidated Financial Statements.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w:t>
      </w:r>
      <w:r>
        <w:rPr>
          <w:rFonts w:ascii="Arial" w:cs="Arial" w:eastAsia="Arial" w:hAnsi="Arial"/>
          <w:sz w:val="17"/>
          <w:szCs w:val="17"/>
          <w:color w:val="auto"/>
        </w:rPr>
        <w:t>, relating to a customer's accounting for implementation, set-up, and other upfront costs incurred in a cloud computing arrangement that is hosted by a vendor (e.g.,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Early application is permitted. The Company can choose to adopt the new guidance (1) prospectively to eligible costs incurred on or after the date this guidance is first applied or (2) retrospectively. The Company is evaluating the impact, if any, that this pronouncement will have on the financial position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 external ventricular drainage (EVD) catheter with Endexo® technology, a permanent additive designed to reduce the potential for catheter obstruction due to thrombus 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Arkis Acquisition has been accounted for using the acquisition method of accounting. This method requires that assets acquired and liabilities assumed in a business combination to be recognized at their fair values as of the acquisition date. As of September 30, 2019, certain amounts relating to the valuation of intangible assets and tax related matters have not been finalized. The finalization of these matters may result in changes to goodwill.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Preliminary Valuation as of</w:t>
            </w: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CerebroFlo developed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Enabling technology license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50,377</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30,600</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 measure the risk inherent in each future cash flow stream, the assessment of each asset’s life cycle, and competitive trends impacting the asset and each cash flow stream.</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our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 Adverse changes in assumptions utilized in our contingent consideration fair value estimates could result in an increase in our contingent consideration obligation and a corresponding charge to operating results.</w:t>
      </w:r>
    </w:p>
    <w:p>
      <w:pPr>
        <w:spacing w:after="0" w:line="7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part of the acquisition, the Company is required to pay the former shareholders of Arkis up to $25.5 million based on the timing of certain development milestones of $10 million and commercial sales milestones of $15.5 million, respectively. The Company used a probability weighted income approach to calculate the fair value of the contingent consideration that</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considered the possible outcomes of scenarios related to each specified milestone. The Company estimated the fair value of the contingent consideration to be $13.1 million at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11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in-process research and development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The total upfront payment of $1.7 million was expensed as a component of in-process research and development expense and the future milestone and option payments will be recorded if the corresponding events become probable.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for services.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 sales, the Company retains control until the product has been used or implanted, at which time revenue is recognized.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thirty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2019</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4,193</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9,371</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September 30, 2019</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9,371</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92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2019</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12,716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4,766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September 30, 2019</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11,134</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the short-term portion of the contract liability of $4.0 million and the long-term portion of $7.1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the Company is expected to recognize approximately 42.0% of our unsatisfied (or partially unsatisfied) performance obligations as revenue through 2020, with the remaining balance to be recognized in 2021 and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nine months ended September 30, 2019 and 2018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8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62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3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2019</w:t>
            </w: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September 30, 2018</w:t>
            </w:r>
          </w:p>
        </w:tc>
      </w:tr>
      <w:tr>
        <w:trPr>
          <w:trHeight w:val="256"/>
        </w:trPr>
        <w:tc>
          <w:tcPr>
            <w:tcW w:w="3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40" w:type="dxa"/>
            <w:vAlign w:val="bottom"/>
            <w:gridSpan w:val="4"/>
            <w:shd w:val="clear" w:color="auto" w:fill="CCEEFF"/>
          </w:tcPr>
          <w:p>
            <w:pPr>
              <w:jc w:val="right"/>
              <w:ind w:right="1074"/>
              <w:spacing w:after="0"/>
              <w:rPr>
                <w:sz w:val="20"/>
                <w:szCs w:val="20"/>
                <w:color w:val="auto"/>
              </w:rPr>
            </w:pPr>
            <w:r>
              <w:rPr>
                <w:rFonts w:ascii="Arial" w:cs="Arial" w:eastAsia="Arial" w:hAnsi="Arial"/>
                <w:sz w:val="14"/>
                <w:szCs w:val="14"/>
                <w:b w:val="1"/>
                <w:bCs w:val="1"/>
                <w:color w:val="auto"/>
              </w:rPr>
              <w:t>(amounts in thousands)</w:t>
            </w: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180,103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171,680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523,929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509,166</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Tools and Instruments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72,881</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67,355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212,881</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205,488</w:t>
            </w: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252,984</w:t>
            </w: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239,035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736,810</w:t>
            </w: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714,654</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3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Wound Reconstruction and Care</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82,213</w:t>
            </w:r>
          </w:p>
        </w:tc>
        <w:tc>
          <w:tcPr>
            <w:tcW w:w="2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80,472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239,458</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230,809</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65,299</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65,438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23,046</w:t>
            </w:r>
          </w:p>
        </w:tc>
        <w:tc>
          <w:tcPr>
            <w:tcW w:w="2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25,823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80,863</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78,225</w:t>
            </w: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126,111</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126,819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385,620</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374,472</w:t>
            </w:r>
          </w:p>
        </w:tc>
      </w:tr>
      <w:tr>
        <w:trPr>
          <w:trHeight w:val="257"/>
        </w:trPr>
        <w:tc>
          <w:tcPr>
            <w:tcW w:w="39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379,095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365,854</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1,122,430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1,089,126</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Prior period amounts were reclassified between categories within the Orthopedics and Tissue Technologies segment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Adoption of ASC Topic 606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applied to all contracts which were not completed as of January 1, 2018.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adoption in the year of implementation of Topic 606 to the Company's consolidated statement of operations for the three and nine months ended September 30, 2018 was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40" w:lineRule="exact"/>
        <w:rPr>
          <w:sz w:val="20"/>
          <w:szCs w:val="20"/>
          <w:color w:val="auto"/>
        </w:rPr>
      </w:pPr>
    </w:p>
    <w:tbl>
      <w:tblPr>
        <w:tblLayout w:type="fixed"/>
        <w:tblInd w:w="5500" w:type="dxa"/>
        <w:tblCellMar>
          <w:top w:w="0" w:type="dxa"/>
          <w:left w:w="0" w:type="dxa"/>
          <w:bottom w:w="0" w:type="dxa"/>
          <w:right w:w="0" w:type="dxa"/>
        </w:tblCellMar>
      </w:tblPr>
      <w:tr>
        <w:trPr>
          <w:trHeight w:val="192"/>
        </w:trPr>
        <w:tc>
          <w:tcPr>
            <w:tcW w:w="3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Three Months Ended September 30, 2018</w:t>
            </w:r>
          </w:p>
        </w:tc>
        <w:tc>
          <w:tcPr>
            <w:tcW w:w="2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52"/>
        </w:trPr>
        <w:tc>
          <w:tcPr>
            <w:tcW w:w="13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As Reported</w:t>
            </w:r>
          </w:p>
        </w:tc>
        <w:tc>
          <w:tcPr>
            <w:tcW w:w="1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Excluding Impact of</w:t>
            </w:r>
          </w:p>
        </w:tc>
        <w:tc>
          <w:tcPr>
            <w:tcW w:w="12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 Reported</w:t>
            </w:r>
          </w:p>
        </w:tc>
        <w:tc>
          <w:tcPr>
            <w:tcW w:w="1600" w:type="dxa"/>
            <w:vAlign w:val="bottom"/>
          </w:tcPr>
          <w:p>
            <w:pPr>
              <w:jc w:val="center"/>
              <w:ind w:left="68"/>
              <w:spacing w:after="0" w:line="153" w:lineRule="exact"/>
              <w:rPr>
                <w:sz w:val="20"/>
                <w:szCs w:val="20"/>
                <w:color w:val="auto"/>
              </w:rPr>
            </w:pPr>
            <w:r>
              <w:rPr>
                <w:rFonts w:ascii="Arial" w:cs="Arial" w:eastAsia="Arial" w:hAnsi="Arial"/>
                <w:sz w:val="14"/>
                <w:szCs w:val="14"/>
                <w:b w:val="1"/>
                <w:bCs w:val="1"/>
                <w:color w:val="auto"/>
                <w:w w:val="94"/>
              </w:rPr>
              <w:t>Excluding Impact of</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Topic 606</w:t>
            </w:r>
          </w:p>
        </w:tc>
        <w:tc>
          <w:tcPr>
            <w:tcW w:w="12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280"/>
              <w:spacing w:after="0"/>
              <w:rPr>
                <w:sz w:val="20"/>
                <w:szCs w:val="20"/>
                <w:color w:val="auto"/>
              </w:rPr>
            </w:pPr>
            <w:r>
              <w:rPr>
                <w:rFonts w:ascii="Arial" w:cs="Arial" w:eastAsia="Arial" w:hAnsi="Arial"/>
                <w:sz w:val="18"/>
                <w:szCs w:val="18"/>
                <w:color w:val="auto"/>
              </w:rPr>
              <w:t>Total revenue, net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365,854</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w w:val="86"/>
              </w:rPr>
              <w:t>368,990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1,089,126</w:t>
            </w:r>
          </w:p>
        </w:tc>
        <w:tc>
          <w:tcPr>
            <w:tcW w:w="4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1,089,153</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1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143,245</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143,918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425,032</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424,969</w:t>
            </w: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(2,776)</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13,295</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35,663</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35,731</w:t>
            </w:r>
          </w:p>
        </w:tc>
      </w:tr>
      <w:tr>
        <w:trPr>
          <w:trHeight w:val="729"/>
        </w:trPr>
        <w:tc>
          <w:tcPr>
            <w:tcW w:w="430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30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4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w w:val="90"/>
              </w:rPr>
              <w:t>December 31, 2018</w:t>
            </w:r>
          </w:p>
        </w:tc>
      </w:tr>
      <w:tr>
        <w:trPr>
          <w:trHeight w:val="196"/>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179,885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47,715</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52,747</w:t>
            </w:r>
          </w:p>
        </w:tc>
      </w:tr>
      <w:tr>
        <w:trPr>
          <w:trHeight w:val="237"/>
        </w:trPr>
        <w:tc>
          <w:tcPr>
            <w:tcW w:w="4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302,622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280,347</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2019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Surgical</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625,760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300,715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926,475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Arkis Acquisition</w:t>
            </w:r>
          </w:p>
        </w:tc>
        <w:tc>
          <w:tcPr>
            <w:tcW w:w="1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27,297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27,297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Goodwill at September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647,214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298,068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945,282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1"/>
              </w:rPr>
              <w:t>September 30, 2019</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7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873,973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(201,067)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672,906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221,580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(114,498)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107,082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103,463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76,030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tradename</w:t>
            </w:r>
          </w:p>
        </w:tc>
        <w:tc>
          <w:tcPr>
            <w:tcW w:w="1720" w:type="dxa"/>
            <w:vAlign w:val="bottom"/>
          </w:tcPr>
          <w:p>
            <w:pPr>
              <w:jc w:val="center"/>
              <w:ind w:right="135"/>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160,841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8"/>
              </w:rPr>
              <w:t>4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10,727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1,405,305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(364,955)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1,040,350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2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855,679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(167,384)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688,295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231,448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(106,859)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124,589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104,061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Codman tradename</w:t>
            </w:r>
          </w:p>
        </w:tc>
        <w:tc>
          <w:tcPr>
            <w:tcW w:w="1620" w:type="dxa"/>
            <w:vAlign w:val="bottom"/>
          </w:tcPr>
          <w:p>
            <w:pPr>
              <w:jc w:val="center"/>
              <w:ind w:right="156"/>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162,054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8"/>
              </w:rPr>
              <w:t>4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10,958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1,398,921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1,079,496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third quarter in accordance with ASC Topic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tests goodwill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During the third quarter of 2019 the Company began with the qualitative evaluation, which was sufficient to find no impairment.</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intangible assets with indefinite lives, the Company elected to bypass the qualitative evaluation for its Codman tradename intangible asset and perform a quantitative test during the third quarter 2019. In performing this test, the Company utilized a discount rate of 12.5%.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Lived Intangible Assets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an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third quarter of 2018, the Company recorded an impairment charge of $4.9 million in cost of goods sold related to completed technology assets acquired from Koby Ventures II, L.P dba Metasurg ("Metasurg Technology") due to recent contract negotiations and revised future projections. The remaining net book value of these intangible assets total $2.3 million as of September 30, 2018. Metasurg Technology is included in the Orthopedic and Tissue Technology segment. Of the total impairment charge of $4.9 million, $2.5 million was related to an out-of-period adjustment included in the three and nine months ended September 30, 2018. The out-of-period adjustment is attributed to the timing of performing the impairment test based on the contract termination associated with the intangible asset. The Company determined that the adjustment was not material to the consolidated financial statements for any previously reported annual or interim period and the adjustment to correct the misstatements is not material to the three or nine months ended September 30, 2018.</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a contract manufacturing customer of the private label product line received a notification from the FDA ordering them to remove their product from the market. During the second quarter of 2019, the Company recorded an impairment charge of $5.8 million in intangible asset amortization in the consolidated statement of operations related to the customer relationship intangible asset acquired from TEI Biosciences, Inc. and TEI Medical Inc. (collectively "TEI") due to revised future projections based on a pending contract termination.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$16.6 million for the remainder of 2019, $66.6 million in 2020, $65.5 million in 2021, $62.0 million in 2022, $61.1 million in 2023, $60.3 million in 2024 and $549.0 million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Fiscal Quarter</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Consolidated Total Leverage Ratio</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358"/>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Execution of May 2018 Amendment through March 31, 2019</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5.50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June 30, 2019 through March 31, 2020</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r>
      <w:tr>
        <w:trPr>
          <w:trHeight w:val="243"/>
        </w:trPr>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June 30, 2020 through March 31, 2021</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4.50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30, 2021 and thereafter</w:t>
            </w: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Eurodollar Rate (as defined in the Senior Credit Facility) in effect from time to time plus the applicable rate (ranging from 1.00% to 1.75%), or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plus the applicable rate (ranging from 0% to 0.75%),</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2019, the Company was in compliance with all such covenants. In connection with the May 2018 Amendment, the Company capitalized $4.2 million of financing costs and wrote off $0.8 million of previously capitalized financing costs during the second quarter of 2018.</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2019 and December 31, 2018, there was $440.0 million and $345.0 million outstanding, respectively, under the revolving credit component of the Senior Credit Facility at weighted average interest rates of 3.4% and 4.0%, respectively. At September 30, 2019 and December 31, 2018, there was $888.8 million and $900.0 million outstanding, respectively, under the Term Loan component of the Senior Credit Facility at a weighted average interest rate of 3.4% and 3.9%, respectively. At September 30, 2019, $45.0 million of the Term Loan component of the Senior Credit Facility is classified as current on the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2019, the Company was in compliance with the covenants and none of the termination events had occurred. At September 30, 2019, the Company had $110.0 million of outstanding borrowings under its Securitization Facility at a weighted average interest rate of 3.1%.</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and Term Loan components at September 30, 2019 were approximately $430.1 million and, $875.7 million, respectively. The fair value of the outstanding borrowing of the Securitization Facility at September 30, 2019 was approximately $109.1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September 30, 2019 and December 31, 2018 totaled $0.8 million. There were no amounts drawn as of September 30,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69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67,500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708,750</w:t>
            </w:r>
          </w:p>
        </w:tc>
      </w:tr>
      <w:tr>
        <w:trPr>
          <w:trHeight w:val="237"/>
        </w:trPr>
        <w:tc>
          <w:tcPr>
            <w:tcW w:w="2520" w:type="dxa"/>
            <w:vAlign w:val="bottom"/>
          </w:tcPr>
          <w:p>
            <w:pPr>
              <w:spacing w:after="0"/>
              <w:rPr>
                <w:sz w:val="20"/>
                <w:szCs w:val="20"/>
                <w:color w:val="auto"/>
              </w:rPr>
            </w:pPr>
          </w:p>
        </w:tc>
        <w:tc>
          <w:tcPr>
            <w:tcW w:w="662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888,750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May 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September 30, 2019 and December 31, 2018 (amounts in thousands):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Fixed</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82"/>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Hedged Item</w:t>
            </w:r>
          </w:p>
        </w:tc>
        <w:tc>
          <w:tcPr>
            <w:tcW w:w="1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Designation Date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Effective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 Date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Interest Rate</w:t>
            </w:r>
          </w:p>
        </w:tc>
        <w:tc>
          <w:tcPr>
            <w:tcW w:w="140" w:type="dxa"/>
            <w:vAlign w:val="bottom"/>
          </w:tcPr>
          <w:p>
            <w:pPr>
              <w:spacing w:after="0"/>
              <w:rPr>
                <w:sz w:val="15"/>
                <w:szCs w:val="15"/>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3"/>
        </w:trPr>
        <w:tc>
          <w:tcPr>
            <w:tcW w:w="2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78"/>
              </w:rPr>
              <w:t>Assets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2"/>
        </w:trPr>
        <w:tc>
          <w:tcPr>
            <w:tcW w:w="2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1"/>
              </w:rPr>
              <w:t>(Liabilities)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5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July 12, 2016</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2020</w:t>
            </w:r>
          </w:p>
        </w:tc>
        <w:tc>
          <w:tcPr>
            <w:tcW w:w="820" w:type="dxa"/>
            <w:vAlign w:val="bottom"/>
          </w:tcPr>
          <w:p>
            <w:pPr>
              <w:jc w:val="right"/>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2021</w:t>
            </w:r>
          </w:p>
        </w:tc>
        <w:tc>
          <w:tcPr>
            <w:tcW w:w="82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(769)</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(3,647)</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(3,612)</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July 1, 2019</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July 1, 2019</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2024</w:t>
            </w:r>
          </w:p>
        </w:tc>
        <w:tc>
          <w:tcPr>
            <w:tcW w:w="82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(2,268)</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2025</w:t>
            </w:r>
          </w:p>
        </w:tc>
        <w:tc>
          <w:tcPr>
            <w:tcW w:w="820" w:type="dxa"/>
            <w:vAlign w:val="bottom"/>
          </w:tcPr>
          <w:p>
            <w:pPr>
              <w:jc w:val="right"/>
              <w:spacing w:after="0"/>
              <w:rPr>
                <w:sz w:val="20"/>
                <w:szCs w:val="20"/>
                <w:color w:val="auto"/>
              </w:rPr>
            </w:pPr>
            <w:r>
              <w:rPr>
                <w:rFonts w:ascii="Arial" w:cs="Arial" w:eastAsia="Arial" w:hAnsi="Arial"/>
                <w:sz w:val="14"/>
                <w:szCs w:val="14"/>
                <w:color w:val="auto"/>
              </w:rPr>
              <w:t>3.220%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(6,798)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55"/>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2025</w:t>
            </w:r>
          </w:p>
        </w:tc>
        <w:tc>
          <w:tcPr>
            <w:tcW w:w="820" w:type="dxa"/>
            <w:vAlign w:val="bottom"/>
          </w:tcPr>
          <w:p>
            <w:pPr>
              <w:jc w:val="right"/>
              <w:spacing w:after="0"/>
              <w:rPr>
                <w:sz w:val="20"/>
                <w:szCs w:val="20"/>
                <w:color w:val="auto"/>
              </w:rPr>
            </w:pPr>
            <w:r>
              <w:rPr>
                <w:rFonts w:ascii="Arial" w:cs="Arial" w:eastAsia="Arial" w:hAnsi="Arial"/>
                <w:sz w:val="14"/>
                <w:szCs w:val="14"/>
                <w:color w:val="auto"/>
              </w:rPr>
              <w:t>3.209%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(6,896)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(2,568)</w:t>
            </w:r>
          </w:p>
        </w:tc>
        <w:tc>
          <w:tcPr>
            <w:tcW w:w="0" w:type="dxa"/>
            <w:vAlign w:val="bottom"/>
          </w:tcPr>
          <w:p>
            <w:pPr>
              <w:spacing w:after="0"/>
              <w:rPr>
                <w:sz w:val="1"/>
                <w:szCs w:val="1"/>
                <w:color w:val="auto"/>
              </w:rPr>
            </w:pPr>
          </w:p>
        </w:tc>
      </w:tr>
      <w:tr>
        <w:trPr>
          <w:trHeight w:val="55"/>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2027</w:t>
            </w:r>
          </w:p>
        </w:tc>
        <w:tc>
          <w:tcPr>
            <w:tcW w:w="820" w:type="dxa"/>
            <w:vAlign w:val="bottom"/>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(6,629)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55"/>
        </w:trPr>
        <w:tc>
          <w:tcPr>
            <w:tcW w:w="23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48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w w:val="96"/>
              </w:rPr>
              <w:t>Total interest rate derivatives designated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1,475,000</w:t>
            </w: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(57,185)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91"/>
        </w:trPr>
        <w:tc>
          <w:tcPr>
            <w:tcW w:w="24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as cash flow hedge</w:t>
            </w:r>
          </w:p>
        </w:tc>
        <w:tc>
          <w:tcPr>
            <w:tcW w:w="140" w:type="dxa"/>
            <w:vAlign w:val="bottom"/>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80" w:type="dxa"/>
            <w:vAlign w:val="bottom"/>
            <w:tcBorders>
              <w:bottom w:val="single" w:sz="8" w:color="CCEEFF"/>
            </w:tcBorders>
            <w:gridSpan w:val="2"/>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2019, interest rate swaps with an aggregate notional amount of $150 million matured.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September 30, 2019 (dollar amounts in thousands):</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680" w:type="dxa"/>
            <w:vAlign w:val="bottom"/>
            <w:gridSpan w:val="2"/>
          </w:tcPr>
          <w:p>
            <w:pPr>
              <w:jc w:val="right"/>
              <w:ind w:right="210"/>
              <w:spacing w:after="0" w:line="153" w:lineRule="exact"/>
              <w:rPr>
                <w:sz w:val="20"/>
                <w:szCs w:val="20"/>
                <w:color w:val="auto"/>
              </w:rPr>
            </w:pPr>
            <w:r>
              <w:rPr>
                <w:rFonts w:ascii="Arial" w:cs="Arial" w:eastAsia="Arial" w:hAnsi="Arial"/>
                <w:sz w:val="14"/>
                <w:szCs w:val="14"/>
                <w:b w:val="1"/>
                <w:bCs w:val="1"/>
                <w:color w:val="auto"/>
              </w:rPr>
              <w:t>Aggregate Notional</w:t>
            </w:r>
          </w:p>
        </w:tc>
        <w:tc>
          <w:tcPr>
            <w:tcW w:w="180" w:type="dxa"/>
            <w:vAlign w:val="bottom"/>
          </w:tcPr>
          <w:p>
            <w:pPr>
              <w:spacing w:after="0"/>
              <w:rPr>
                <w:sz w:val="13"/>
                <w:szCs w:val="13"/>
                <w:color w:val="auto"/>
              </w:rPr>
            </w:pPr>
          </w:p>
        </w:tc>
        <w:tc>
          <w:tcPr>
            <w:tcW w:w="152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8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64,710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66,667</w:t>
            </w:r>
          </w:p>
        </w:tc>
        <w:tc>
          <w:tcPr>
            <w:tcW w:w="180" w:type="dxa"/>
            <w:vAlign w:val="bottom"/>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48,533</w:t>
            </w:r>
          </w:p>
        </w:tc>
        <w:tc>
          <w:tcPr>
            <w:tcW w:w="180" w:type="dxa"/>
            <w:vAlign w:val="bottom"/>
            <w:shd w:val="clear" w:color="auto" w:fill="CCEEFF"/>
          </w:tcPr>
          <w:p>
            <w:pPr>
              <w:spacing w:after="0"/>
              <w:rPr>
                <w:sz w:val="23"/>
                <w:szCs w:val="23"/>
                <w:color w:val="auto"/>
              </w:rPr>
            </w:pPr>
          </w:p>
        </w:tc>
        <w:tc>
          <w:tcPr>
            <w:tcW w:w="15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145,598</w:t>
            </w:r>
          </w:p>
        </w:tc>
        <w:tc>
          <w:tcPr>
            <w:tcW w:w="180" w:type="dxa"/>
            <w:vAlign w:val="bottom"/>
            <w:shd w:val="clear" w:color="auto" w:fill="CCEEFF"/>
          </w:tcPr>
          <w:p>
            <w:pPr>
              <w:spacing w:after="0"/>
              <w:rPr>
                <w:sz w:val="23"/>
                <w:szCs w:val="23"/>
                <w:color w:val="auto"/>
              </w:rPr>
            </w:pPr>
          </w:p>
        </w:tc>
        <w:tc>
          <w:tcPr>
            <w:tcW w:w="15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September 30, 2019, the Company settled a cross-currency swap designated as a cash flow hedge of an intercompany loan with an aggregate notional amount of $33.3 million. The original maturity date was October 2, 2020, however, as the intercompany loan settlement was consummated, the cross-currency swap was settled simultaneously. As a result of the settlement, the Company recorded a loss of $0.4 million in other income, net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2018 (dollar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Fixed Rate</w:t>
            </w:r>
          </w:p>
        </w:tc>
        <w:tc>
          <w:tcPr>
            <w:tcW w:w="1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Aggregate Notional</w:t>
            </w:r>
          </w:p>
        </w:tc>
        <w:tc>
          <w:tcPr>
            <w:tcW w:w="180" w:type="dxa"/>
            <w:vAlign w:val="bottom"/>
          </w:tcPr>
          <w:p>
            <w:pPr>
              <w:spacing w:after="0"/>
              <w:rPr>
                <w:sz w:val="13"/>
                <w:szCs w:val="13"/>
                <w:color w:val="auto"/>
              </w:rPr>
            </w:pPr>
          </w:p>
        </w:tc>
        <w:tc>
          <w:tcPr>
            <w:tcW w:w="142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9"/>
                <w:szCs w:val="9"/>
                <w:color w:val="auto"/>
              </w:rPr>
            </w:pPr>
          </w:p>
        </w:tc>
        <w:tc>
          <w:tcPr>
            <w:tcW w:w="142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97,065</w:t>
            </w:r>
          </w:p>
        </w:tc>
        <w:tc>
          <w:tcPr>
            <w:tcW w:w="10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4.38%</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4.46%</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4.52%</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cross-currency swaps are carried on the consolidated balance sheet at fair value, and changes in the fair values are recorded as unrealized gains or losses in AOCI. For the three and nine months ended September 30, 2019, the Company recorded gains of $5.7 million and $3.9 million, respectively, in other income, net for the foreign currency rate translation to offset the losses recognized on the intercompany loans. For the three and nine months ended September 30, 2018, the Company recorded loss of $2.6 million and gain of $2.2 million in other income, net for the foreign currency rate translation to offset the gains or losses recognized on the intercompany loans.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nine months ended September 30, 2019, the Company recorded a gain of $9.7 million and gain of $15.4 million, respectively, in AOCI related to the change in fair value of the cross-currency swaps. For the three and nine months ended September 30, 2018, the Company recorded losses of $3.1 million and gains of $3.0 million in AOCI related to the change in fair value of the cross-currency swaps.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2019, the Company recorded gains of $1.8 million and $5.5 million in other income, net included in the consolidated statements of operations related to the interest rate differential of the cross-currency swaps. For the three and nine months ended September 30, 2018, the Company recorded gains of $1.9 million and $5.9 million in other income, net included in the consolidated statements of operations related to the interest rate differential of the cross-currency swap.</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an estimated gain of $6.5 million is expected to be reclassified within the next twelve months to other income, net from AOCI. As of September 30, 2019, the Company does not expect any gains or losses will be reclassified into earnings as a result of the discontinuance of these cash flow hedges because the original forecasted transaction will not occur.</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w:t>
      </w:r>
    </w:p>
    <w:p>
      <w:pPr>
        <w:spacing w:after="0" w:line="7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September 30, 2019 and December 31, 2018, respectively (dollar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September 30,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Effective Date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Fixed Rate</w:t>
            </w:r>
          </w:p>
        </w:tc>
        <w:tc>
          <w:tcPr>
            <w:tcW w:w="1800" w:type="dxa"/>
            <w:vAlign w:val="bottom"/>
            <w:gridSpan w:val="2"/>
          </w:tcPr>
          <w:p>
            <w:pPr>
              <w:jc w:val="right"/>
              <w:ind w:right="270"/>
              <w:spacing w:after="0" w:line="153" w:lineRule="exact"/>
              <w:rPr>
                <w:sz w:val="20"/>
                <w:szCs w:val="20"/>
                <w:color w:val="auto"/>
              </w:rPr>
            </w:pPr>
            <w:r>
              <w:rPr>
                <w:rFonts w:ascii="Arial" w:cs="Arial" w:eastAsia="Arial" w:hAnsi="Arial"/>
                <w:sz w:val="14"/>
                <w:szCs w:val="14"/>
                <w:b w:val="1"/>
                <w:bCs w:val="1"/>
                <w:color w:val="auto"/>
              </w:rPr>
              <w:t>Aggregate Notional</w:t>
            </w:r>
          </w:p>
        </w:tc>
        <w:tc>
          <w:tcPr>
            <w:tcW w:w="14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14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4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Asset (Liability)</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70,738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6,141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82,000</w:t>
            </w:r>
          </w:p>
        </w:tc>
        <w:tc>
          <w:tcPr>
            <w:tcW w:w="14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51,760</w:t>
            </w:r>
          </w:p>
        </w:tc>
        <w:tc>
          <w:tcPr>
            <w:tcW w:w="140" w:type="dxa"/>
            <w:vAlign w:val="bottom"/>
            <w:shd w:val="clear" w:color="auto" w:fill="CCEEFF"/>
          </w:tcPr>
          <w:p>
            <w:pPr>
              <w:spacing w:after="0"/>
              <w:rPr>
                <w:sz w:val="23"/>
                <w:szCs w:val="23"/>
                <w:color w:val="auto"/>
              </w:rPr>
            </w:pPr>
          </w:p>
        </w:tc>
        <w:tc>
          <w:tcPr>
            <w:tcW w:w="14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4,532</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38,820</w:t>
            </w:r>
          </w:p>
        </w:tc>
        <w:tc>
          <w:tcPr>
            <w:tcW w:w="140" w:type="dxa"/>
            <w:vAlign w:val="bottom"/>
            <w:shd w:val="clear" w:color="auto" w:fill="CCEEFF"/>
          </w:tcPr>
          <w:p>
            <w:pPr>
              <w:spacing w:after="0"/>
              <w:rPr>
                <w:sz w:val="23"/>
                <w:szCs w:val="23"/>
                <w:color w:val="auto"/>
              </w:rPr>
            </w:pPr>
          </w:p>
        </w:tc>
        <w:tc>
          <w:tcPr>
            <w:tcW w:w="14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2,911</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GBP</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140" w:type="dxa"/>
            <w:vAlign w:val="bottom"/>
            <w:shd w:val="clear" w:color="auto" w:fill="CCEEFF"/>
          </w:tcPr>
          <w:p>
            <w:pPr>
              <w:spacing w:after="0"/>
              <w:rPr>
                <w:sz w:val="23"/>
                <w:szCs w:val="23"/>
                <w:color w:val="auto"/>
              </w:rPr>
            </w:pPr>
          </w:p>
        </w:tc>
        <w:tc>
          <w:tcPr>
            <w:tcW w:w="14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11,678</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167,500</w:t>
            </w:r>
          </w:p>
        </w:tc>
        <w:tc>
          <w:tcPr>
            <w:tcW w:w="14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165,172</w:t>
            </w:r>
          </w:p>
        </w:tc>
        <w:tc>
          <w:tcPr>
            <w:tcW w:w="140" w:type="dxa"/>
            <w:vAlign w:val="bottom"/>
            <w:shd w:val="clear" w:color="auto" w:fill="CCEEFF"/>
          </w:tcPr>
          <w:p>
            <w:pPr>
              <w:spacing w:after="0"/>
              <w:rPr>
                <w:sz w:val="23"/>
                <w:szCs w:val="2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GBP</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14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18,701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AOCI. For the three and nine months ended September 30, 2019, the Company recorded gains of $17.1 million and $26.6 million in AOCI related to the change in fair value of the cross-currency swaps.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and nine months ended September 30, 2019, the Company recorded gains of $2.5 million and $7.2 million in interest income included in the consolidated statements of operations related to the interest rate differential of the cross-currency swaps.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gain that is expected to be reclassified to interest income from AOCI as of September 30, 2019 within the next twelve months is $9.6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terms of the derivative instruments. The fair value of the interest rate swaps and the cross-currency swaps was developed using a market approach based on publicly available market yield curves and the terms of the related swap. The Company performs ongoing assessments of counterparty credit risk.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December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jc w:val="right"/>
              <w:ind w:right="1171"/>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54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September 30, 2019</w:t>
            </w:r>
          </w:p>
        </w:tc>
        <w:tc>
          <w:tcPr>
            <w:tcW w:w="280" w:type="dxa"/>
            <w:vAlign w:val="bottom"/>
          </w:tcPr>
          <w:p>
            <w:pPr>
              <w:spacing w:after="0"/>
              <w:rPr>
                <w:sz w:val="22"/>
                <w:szCs w:val="22"/>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gridSpan w:val="3"/>
          </w:tcPr>
          <w:p>
            <w:pPr>
              <w:jc w:val="right"/>
              <w:ind w:right="121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gridSpan w:val="5"/>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4,654</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6,453</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7,615</w:t>
            </w: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9,552</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8,888</w:t>
            </w:r>
          </w:p>
        </w:tc>
      </w:tr>
      <w:tr>
        <w:trPr>
          <w:trHeight w:val="243"/>
        </w:trPr>
        <w:tc>
          <w:tcPr>
            <w:tcW w:w="7880" w:type="dxa"/>
            <w:vAlign w:val="bottom"/>
            <w:gridSpan w:val="5"/>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5,350</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662</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18,347</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1,774</w:t>
            </w:r>
          </w:p>
        </w:tc>
      </w:tr>
      <w:tr>
        <w:trPr>
          <w:trHeight w:val="237"/>
        </w:trPr>
        <w:tc>
          <w:tcPr>
            <w:tcW w:w="78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35,082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28,281</w:t>
            </w:r>
          </w:p>
        </w:tc>
      </w:tr>
      <w:tr>
        <w:trPr>
          <w:trHeight w:val="67"/>
        </w:trPr>
        <w:tc>
          <w:tcPr>
            <w:tcW w:w="2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78"/>
        </w:trPr>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880" w:type="dxa"/>
            <w:vAlign w:val="bottom"/>
            <w:gridSpan w:val="5"/>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0"/>
        </w:trPr>
        <w:tc>
          <w:tcPr>
            <w:tcW w:w="280" w:type="dxa"/>
            <w:vAlign w:val="bottom"/>
            <w:shd w:val="clear" w:color="auto" w:fill="CCEEFF"/>
          </w:tcPr>
          <w:p>
            <w:pPr>
              <w:spacing w:after="0"/>
              <w:rPr>
                <w:sz w:val="23"/>
                <w:szCs w:val="23"/>
                <w:color w:val="auto"/>
              </w:rPr>
            </w:pPr>
          </w:p>
        </w:tc>
        <w:tc>
          <w:tcPr>
            <w:tcW w:w="7600" w:type="dxa"/>
            <w:vAlign w:val="bottom"/>
            <w:gridSpan w:val="4"/>
            <w:shd w:val="clear" w:color="auto" w:fill="CCEEFF"/>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gridSpan w:val="5"/>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51,878</w:t>
            </w:r>
          </w:p>
        </w:tc>
        <w:tc>
          <w:tcPr>
            <w:tcW w:w="2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9,385</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10,445</w:t>
            </w: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9,199</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11,294</w:t>
            </w:r>
          </w:p>
        </w:tc>
      </w:tr>
      <w:tr>
        <w:trPr>
          <w:trHeight w:val="237"/>
        </w:trPr>
        <w:tc>
          <w:tcPr>
            <w:tcW w:w="78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66,453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31,124</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September 30, 2019 and December 31, 2018, the notional amount related to the Company’s interest rate swaps were $1.3 billion and $1.5 billion,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nine months ended September 30, 2019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226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17,136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18,701</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(38,628)</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8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22,344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26,930</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14,452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16,678</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7"/>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(54,841)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(57,186)</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Arial" w:cs="Arial" w:eastAsia="Arial" w:hAnsi="Arial"/>
                <w:sz w:val="16"/>
                <w:szCs w:val="16"/>
                <w:color w:val="auto"/>
              </w:rPr>
              <w:t>Net Investment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18,701</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(12,865)</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19,560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(38,628)</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26,930</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(10,252)</w:t>
            </w:r>
          </w:p>
        </w:tc>
        <w:tc>
          <w:tcPr>
            <w:tcW w:w="226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16,678</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date of grant for directors and generally expire eight years from the grant 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there were approximately $5.3 million of total unrecognized compensation costs related to unvested stock options. These costs are expected to be recognized over a weighted-average period of approximately three years. There were 202,752 stock options granted during the nine months ended September 30, 2019. For the nine months ended September 30, 2019, the weighted average grant date fair value for stock options was $18.74 per option.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Performance stock and restricted stock awards generally have requisite service periods of three years. Performance stock units are subject to graded vesting conditions based on revenue goals of the Company. The Company expenses their fair value over the requisite service period. The Company expenses the fair value of restricted stock awards on a straight-line basis over the requisite service period. As of September 30, 2019, there were approximately $28.1 million of total unrecognized compensation costs related to these unvested awards. The Company expects to recognize these costs over a weighted-average period of approximately two years. The Company granted 318,410 restricted stock awards and 118,903 performance stock awards during the nine months ended September 30, 2019. For the nine months ended September 30, 2019, the weighted average grant date fair value for restricted stock awards and performance stock units was $55.19 and $55.91 per award,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DEFINED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nine months ended September 30, 2019 were $1.0 million and $2.1 million, respectively. The components of the net periodic benefit costs other than the service cost component of $0.7 million and $2.0 million for the three and nine months ended September 30, 2019, respectively, are included in other income, net in the consolidated statements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nine months ended September 30, 2018 were $0.5 million and $1.7 million, respectively. The components of the net periodic benefit costs other than the service cost component of $0.7 million and $1.4 million for the three and nine months ended September 30, 2018, respectively, are included in other income, net in the consolidated statements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plan assets were $28.6 million and $31.1 million as of September 30, 2019 and December 31, 2018, respectively. The net plan assets of the pension plans are invested in common trusts as of September 30, 2019 and December 31, 2018.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September 30, 2019.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3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lease expense for the nine months ended September 30, 2019 and September 30, 2018, was $14.2 million and $11.8 million respectively, which includes $0.2 million, in related party operating lease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September 30, 2019 were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297180</wp:posOffset>
            </wp:positionV>
            <wp:extent cx="1423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September 30, 2019</w:t>
            </w:r>
          </w:p>
        </w:tc>
      </w:tr>
      <w:tr>
        <w:trPr>
          <w:trHeight w:val="152"/>
        </w:trPr>
        <w:tc>
          <w:tcPr>
            <w:tcW w:w="9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20" w:type="dxa"/>
            <w:vAlign w:val="bottom"/>
            <w:shd w:val="clear" w:color="auto" w:fill="CCEEFF"/>
          </w:tcPr>
          <w:p>
            <w:pPr>
              <w:jc w:val="center"/>
              <w:ind w:right="35"/>
              <w:spacing w:after="0" w:line="153" w:lineRule="exact"/>
              <w:rPr>
                <w:sz w:val="20"/>
                <w:szCs w:val="20"/>
                <w:color w:val="auto"/>
              </w:rPr>
            </w:pPr>
            <w:r>
              <w:rPr>
                <w:rFonts w:ascii="Arial" w:cs="Arial" w:eastAsia="Arial" w:hAnsi="Arial"/>
                <w:sz w:val="14"/>
                <w:szCs w:val="14"/>
                <w:b w:val="1"/>
                <w:bCs w:val="1"/>
                <w:color w:val="auto"/>
                <w:w w:val="90"/>
              </w:rPr>
              <w:t>(In thousands, except lease term</w:t>
            </w:r>
          </w:p>
        </w:tc>
      </w:tr>
      <w:tr>
        <w:trPr>
          <w:trHeight w:val="192"/>
        </w:trPr>
        <w:tc>
          <w:tcPr>
            <w:tcW w:w="9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14"/>
                <w:szCs w:val="14"/>
                <w:b w:val="1"/>
                <w:bCs w:val="1"/>
                <w:color w:val="auto"/>
                <w:w w:val="92"/>
              </w:rPr>
              <w:t>and discount rate)</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ROU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95"/>
              <w:spacing w:after="0"/>
              <w:rPr>
                <w:sz w:val="20"/>
                <w:szCs w:val="20"/>
                <w:color w:val="auto"/>
              </w:rPr>
            </w:pPr>
            <w:r>
              <w:rPr>
                <w:rFonts w:ascii="Arial" w:cs="Arial" w:eastAsia="Arial" w:hAnsi="Arial"/>
                <w:sz w:val="18"/>
                <w:szCs w:val="18"/>
                <w:color w:val="auto"/>
              </w:rPr>
              <w:t>97,738</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95"/>
              <w:spacing w:after="0"/>
              <w:rPr>
                <w:sz w:val="20"/>
                <w:szCs w:val="20"/>
                <w:color w:val="auto"/>
              </w:rPr>
            </w:pPr>
            <w:r>
              <w:rPr>
                <w:rFonts w:ascii="Arial" w:cs="Arial" w:eastAsia="Arial" w:hAnsi="Arial"/>
                <w:sz w:val="18"/>
                <w:szCs w:val="18"/>
                <w:color w:val="auto"/>
              </w:rPr>
              <w:t>11,835</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96,820</w:t>
            </w:r>
          </w:p>
        </w:tc>
      </w:tr>
      <w:tr>
        <w:trPr>
          <w:trHeight w:val="297"/>
        </w:trPr>
        <w:tc>
          <w:tcPr>
            <w:tcW w:w="9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108,655</w:t>
            </w:r>
          </w:p>
        </w:tc>
      </w:tr>
      <w:tr>
        <w:trPr>
          <w:trHeight w:val="311"/>
        </w:trPr>
        <w:tc>
          <w:tcPr>
            <w:tcW w:w="9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12.9</w:t>
            </w: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120" w:type="dxa"/>
            <w:vAlign w:val="bottom"/>
          </w:tcPr>
          <w:p>
            <w:pPr>
              <w:spacing w:after="0"/>
              <w:rPr>
                <w:sz w:val="21"/>
                <w:szCs w:val="21"/>
                <w:color w:val="auto"/>
              </w:rPr>
            </w:pPr>
          </w:p>
        </w:tc>
        <w:tc>
          <w:tcPr>
            <w:tcW w:w="2120" w:type="dxa"/>
            <w:vAlign w:val="bottom"/>
          </w:tcPr>
          <w:p>
            <w:pPr>
              <w:jc w:val="right"/>
              <w:ind w:right="95"/>
              <w:spacing w:after="0"/>
              <w:rPr>
                <w:sz w:val="20"/>
                <w:szCs w:val="20"/>
                <w:color w:val="auto"/>
              </w:rPr>
            </w:pPr>
            <w:r>
              <w:rPr>
                <w:rFonts w:ascii="Arial" w:cs="Arial" w:eastAsia="Arial" w:hAnsi="Arial"/>
                <w:sz w:val="18"/>
                <w:szCs w:val="18"/>
                <w:color w:val="auto"/>
              </w:rPr>
              <w:t>2.8</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for the nine months ended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238125</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September 30, 2019</w:t>
            </w:r>
          </w:p>
        </w:tc>
      </w:tr>
      <w:tr>
        <w:trPr>
          <w:trHeight w:val="256"/>
        </w:trPr>
        <w:tc>
          <w:tcPr>
            <w:tcW w:w="92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10,680</w:t>
            </w:r>
          </w:p>
        </w:tc>
      </w:tr>
      <w:tr>
        <w:trPr>
          <w:trHeight w:val="324"/>
        </w:trPr>
        <w:tc>
          <w:tcPr>
            <w:tcW w:w="9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8"/>
                <w:szCs w:val="18"/>
                <w:color w:val="auto"/>
              </w:rPr>
              <w:t>41,860</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September 30, 2019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13,585</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13,937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102,743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104,467</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158,267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161,249</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52,594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11,835</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96,820</w:t>
            </w:r>
          </w:p>
        </w:tc>
      </w:tr>
      <w:tr>
        <w:trPr>
          <w:trHeight w:val="27"/>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2018, the Company entered into an operating lease with a term of 18 years for a new corporate headquarters in Princeton, NJ. The lease commenced during the second quarter of 2019 and the Company recorded a ROU asset and lease liability of $35.6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2018 were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13,806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13,233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100,675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102,399</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166,498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169,702</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0"/>
        <w:spacing w:after="0" w:line="522" w:lineRule="auto"/>
        <w:rPr>
          <w:sz w:val="20"/>
          <w:szCs w:val="20"/>
          <w:color w:val="auto"/>
        </w:rPr>
      </w:pPr>
      <w:r>
        <w:rPr>
          <w:rFonts w:ascii="Arial" w:cs="Arial" w:eastAsia="Arial" w:hAnsi="Arial"/>
          <w:sz w:val="18"/>
          <w:szCs w:val="18"/>
          <w:color w:val="auto"/>
        </w:rPr>
        <w:t xml:space="preserve">Total operating lease expense for the year ended December 31, 2018 was $16.3 million and included $0.3 million, in related party lease expense. There were no future minimum lease payments under capital leases at December 31, 2018. </w:t>
      </w:r>
      <w:r>
        <w:rPr>
          <w:rFonts w:ascii="Arial" w:cs="Arial" w:eastAsia="Arial" w:hAnsi="Arial"/>
          <w:sz w:val="18"/>
          <w:szCs w:val="18"/>
          <w:b w:val="1"/>
          <w:bCs w:val="1"/>
          <w:i w:val="1"/>
          <w:iCs w:val="1"/>
          <w:color w:val="auto"/>
        </w:rPr>
        <w:t>Related Party Leases</w:t>
      </w: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and December 31, 2018, there were 2.9 million shares of treasury stock outstanding with a cost of $120.1 million and $120.6 million, respectively, at a weighted average cost per share of $41.87.</w:t>
      </w:r>
    </w:p>
    <w:p>
      <w:pPr>
        <w:spacing w:after="0" w:line="17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December 11, 2018, the Board of Directors (the "Board")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As of September 30, 2019, there remained $225.0 million available for repurchase under this authorization. This stock repurchase authorization replaces the previous $150.0 million stock repurchase authorization, approved by the Board in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nine months ended September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2"/>
                <w:szCs w:val="22"/>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75"/>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September 30, 2019 and 2018 were (0.4)% and (20.6)%, respectively. For the three months ended September 30, 2019, the increase in the rate is primarily driven by the impact of the Rebound transaction, which resulted in a $59.9 million in– process research and development (IPR&amp;D) expense. This amount is not deductible for tax purposes. Additionally, the Company recorded a tax expense of $1.6 million of tax reform–related adjustments, due to updates in IRS guidance.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effective income tax rates for the nine months ended September 30, 2019 and 2018 were (3.5)% and (8.4)%, respectively. For the nine months ended September 30, 2019, the increase in the rate is primarily driven by the impact of the Rebound transaction, which resulted in a $59.9 million IPR&amp;D expense. This amount is not deductible for tax purposes. Additionally, the Company recorded a tax expense of $1.6 million for tax reform-related adjustments due to updates in IRS guidance. This was offset by a tax benefit of $10.8 million ($0.13 per share) related to a federal tax holiday in Switzerland, which was finalized during the quarter ended March 31, 2019. The Company received a federal tax credit in Switzerland of 12 million CHF, which may be used over a seven year period, ending in 2024. The nine months ended September 30, 2018, included an additional tax benefit of $1.2 million related to share–based compensation, when compared to the same period in 2019.</w:t>
      </w:r>
    </w:p>
    <w:p>
      <w:pPr>
        <w:sectPr>
          <w:pgSz w:w="11900" w:h="16838" w:orient="portrait"/>
          <w:cols w:equalWidth="0" w:num="1">
            <w:col w:w="11420"/>
          </w:cols>
          <w:pgMar w:left="240" w:top="12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September 30, 2019,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September 30,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computes EPS in accordance with Accounting Standards Codification (“ASC”) Topic 260, “Earnings Per Share” (“ASC 260”) and related guidance, which requires two calculations of EPS to be disclosed: basic and diluted. Basic EPS is computed by dividing net (loss) by the weighted average ordinary shares outstanding during a period. Diluted EPS is based on the treasury stock method and includes the effect from potential issuance of ordinary shares, such as shares issuable pursuant to the exercise of stock options and restricted stock units. Ordinary share equivalents have been excluded where their inclusion would be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35,663</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82,058</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34,882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35,663</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82,058</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1,084</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8"/>
              </w:rPr>
              <w:t>Weighted average common shares for diluted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83,142</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r>
      <w:tr>
        <w:trPr>
          <w:trHeight w:val="675"/>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(27,610)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34,882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35,663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unrealized gain (loss) on derivatives, net of tax</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14,419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33,731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2018 and September 30, 2019 are presented in the table below, net of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Gains and Losses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3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on Derivatives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(45,443)</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(27,728)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14,444</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2019, the Company reclassified gains of $7.2 million and $7.8 million from accumulated other comprehensive loss to other income, net, and interest income,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116"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legal functions, (ii) brand management, and (iii) share-based compensation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nine months ended September 30, 2019 and 2018 are as follows: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7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0"/>
        </w:trPr>
        <w:tc>
          <w:tcPr>
            <w:tcW w:w="3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0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252,984</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239,035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736,810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714,654</w:t>
            </w:r>
          </w:p>
        </w:tc>
      </w:tr>
      <w:tr>
        <w:trPr>
          <w:trHeight w:val="27"/>
        </w:trPr>
        <w:tc>
          <w:tcPr>
            <w:tcW w:w="3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126,111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126,819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385,620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374,472</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379,095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365,854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1,122,430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1,089,126</w:t>
            </w:r>
          </w:p>
        </w:tc>
      </w:tr>
      <w:tr>
        <w:trPr>
          <w:trHeight w:val="67"/>
        </w:trPr>
        <w:tc>
          <w:tcPr>
            <w:tcW w:w="378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0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101,129</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91,871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291,750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272,480</w:t>
            </w:r>
          </w:p>
        </w:tc>
      </w:tr>
      <w:tr>
        <w:trPr>
          <w:trHeight w:val="27"/>
        </w:trPr>
        <w:tc>
          <w:tcPr>
            <w:tcW w:w="3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105,094</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0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131,512</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127,386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404,414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377,574</w:t>
            </w:r>
          </w:p>
        </w:tc>
      </w:tr>
      <w:tr>
        <w:trPr>
          <w:trHeight w:val="27"/>
        </w:trPr>
        <w:tc>
          <w:tcPr>
            <w:tcW w:w="3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0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(147,043)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(98,441)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(325,394)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(284,740)</w:t>
            </w:r>
          </w:p>
        </w:tc>
      </w:tr>
      <w:tr>
        <w:trPr>
          <w:trHeight w:val="27"/>
        </w:trPr>
        <w:tc>
          <w:tcPr>
            <w:tcW w:w="3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23,677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76,890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196"/>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266,280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260,870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796,397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769,509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49,242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47,472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148,753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150,650</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108,304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21,494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20,490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62,470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60,663</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379,095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365,854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1,122,430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1,089,126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nine-month period ended September 30, 2019 and 2018 to reflect the change in estimates, additions, payments, transfers and the time value of money during the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nine months ended September 30, 2019 and 2018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Contingent Consideration Liability</w:t>
            </w:r>
          </w:p>
        </w:tc>
        <w:tc>
          <w:tcPr>
            <w:tcW w:w="120" w:type="dxa"/>
            <w:vAlign w:val="bottom"/>
          </w:tcPr>
          <w:p>
            <w:pPr>
              <w:spacing w:after="0"/>
              <w:rPr>
                <w:sz w:val="13"/>
                <w:szCs w:val="13"/>
                <w:color w:val="auto"/>
              </w:rPr>
            </w:pPr>
          </w:p>
        </w:tc>
        <w:tc>
          <w:tcPr>
            <w:tcW w:w="204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Contingent Consideration</w:t>
            </w:r>
          </w:p>
        </w:tc>
        <w:tc>
          <w:tcPr>
            <w:tcW w:w="0" w:type="dxa"/>
            <w:vAlign w:val="bottom"/>
          </w:tcPr>
          <w:p>
            <w:pPr>
              <w:spacing w:after="0"/>
              <w:rPr>
                <w:sz w:val="1"/>
                <w:szCs w:val="1"/>
                <w:color w:val="auto"/>
              </w:rPr>
            </w:pPr>
          </w:p>
        </w:tc>
      </w:tr>
      <w:tr>
        <w:trPr>
          <w:trHeight w:val="149"/>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Related to Acquisition of Arkis (See</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97"/>
              <w:spacing w:after="0"/>
              <w:rPr>
                <w:sz w:val="20"/>
                <w:szCs w:val="20"/>
                <w:color w:val="auto"/>
              </w:rPr>
            </w:pPr>
            <w:r>
              <w:rPr>
                <w:rFonts w:ascii="Arial" w:cs="Arial" w:eastAsia="Arial" w:hAnsi="Arial"/>
                <w:sz w:val="14"/>
                <w:szCs w:val="14"/>
                <w:b w:val="1"/>
                <w:bCs w:val="1"/>
                <w:color w:val="auto"/>
                <w:w w:val="96"/>
              </w:rPr>
              <w:t>Note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of Derma Sciences</w:t>
            </w:r>
          </w:p>
        </w:tc>
        <w:tc>
          <w:tcPr>
            <w:tcW w:w="0" w:type="dxa"/>
            <w:vAlign w:val="bottom"/>
          </w:tcPr>
          <w:p>
            <w:pPr>
              <w:spacing w:after="0"/>
              <w:rPr>
                <w:sz w:val="1"/>
                <w:szCs w:val="1"/>
                <w:color w:val="auto"/>
              </w:rPr>
            </w:pPr>
          </w:p>
        </w:tc>
      </w:tr>
      <w:tr>
        <w:trPr>
          <w:trHeight w:val="264"/>
        </w:trPr>
        <w:tc>
          <w:tcPr>
            <w:tcW w:w="68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ind w:right="397"/>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center"/>
              <w:ind w:right="40"/>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Balance as of January 1, 2019</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acquisition of Arkis</w:t>
            </w:r>
          </w:p>
        </w:tc>
        <w:tc>
          <w:tcPr>
            <w:tcW w:w="4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Balance as of September 30, 2019</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Contingent Considerations</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Liability Related to</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Acquisition of</w:t>
            </w:r>
          </w:p>
        </w:tc>
        <w:tc>
          <w:tcPr>
            <w:tcW w:w="120" w:type="dxa"/>
            <w:vAlign w:val="bottom"/>
          </w:tcPr>
          <w:p>
            <w:pPr>
              <w:spacing w:after="0"/>
              <w:rPr>
                <w:sz w:val="12"/>
                <w:szCs w:val="12"/>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Liabilities Related to Acquisition of</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Confluent Surgical,</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0"/>
              </w:rPr>
              <w:t>Derma Sciences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Short-term</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Long-term</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59"/>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22,478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change in fair value of contingent consideration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15, 2014, the Company acquired all outstanding shares of Confluent Surgical, Inc., ("Confluent Surgical"). The purchase price included contingent consideration. The potential maximum undiscounted contingent consideration of $30.0 million consisted of $25.0 million upon obtaining certain U.S. governmental approvals (the "U.S. Contingent Consideration") and $5.0 million upon obtaining certain European governmental approvals, both related to the completion of the transition of the Confluent Surgical business. The fair values of contingent consideration related to the acquisition of Confluent Surgical were estimated using a discounted cash flow model using a discount rate of 2.2%. During the first quarter of 2018, the Company received the U.S. governmental approvals and adjusted the related contingent consideration liability to $19.0 million, which the Company paid in April 2018. During the third quarter of 2018, the Company received certain European governmental approvals. The Company paid the remaining $5.0 million of contingent consideration related to Confluent Surgical in October of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September 30, 2019, December 31, 2018 and September 30, 2018 was $0.2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the acceleration of the payment of $26.5 million by BioD.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2018 included in our Annual Report on Form 10-K.</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Our actual results could differ materially from those anticipated in these forward-looking statements as a result of many factors, including but not limited to those set forth under the heading “Risk Factors” in our Annual Report on Form 10-K for the year ended December 31, 2018, and under the heading "Risk Factors" in this report. We undertake no obligation to publicly update or revise any forward-looking statements, whether as a result of new information, future events or otherwise.</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Integra, headquartered in Plainsboro,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the repair of nerves and tendons. The company has expanded its base regenerative technology business to include surgical instruments, neurosurgical products, advanced wound care, and orthopedic hardware through a combination of several global acquisitions and by developing products internally to further meet the needs of its customers.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segment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and small bone fixation and joint replacement hardware products for both upper extremities and lower extremities. This business also includes private label sales of a broad set of our regenerative and wound care medicine technologies.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facilities located in the United States (the "U.S."), Canada, France, Germany, Ireland, Switzerland, and Puerto Rico. We also source most of our handheld surgical instruments, specialty metal and pyrocarbon implants, and dural sealant products through specialized third-party vendors.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focus on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this end, our executive leadership team has established the following key priorities aligned to the following areas of focus:</w:t>
      </w:r>
    </w:p>
    <w:p>
      <w:pPr>
        <w:spacing w:after="0" w:line="22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i w:val="1"/>
          <w:iCs w:val="1"/>
          <w:color w:val="auto"/>
        </w:rPr>
        <w:t xml:space="preserve">Strategic Acquisitions. </w:t>
      </w:r>
      <w:r>
        <w:rPr>
          <w:rFonts w:ascii="Arial" w:cs="Arial" w:eastAsia="Arial" w:hAnsi="Arial"/>
          <w:sz w:val="18"/>
          <w:szCs w:val="18"/>
          <w:color w:val="auto"/>
        </w:rPr>
        <w:t>An important part of our strategy is pursuing strategic transactions and licensing agreements that increase relevant scale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areas in which we compete. In 2019, integrating the Codman Neurosurgery business, which was acquired from Johnson and Johnson in 2017, remains a top priority. In the third quarter 2019, the Company completed all substantial Codman transition services activities. This acquisition expanded our portfolio of neurosurgery products and established us as the world leader in neurosurgery. It has also enabled us to bring our entire Integra portfolio to a global market.</w:t>
      </w:r>
    </w:p>
    <w:p>
      <w:pPr>
        <w:spacing w:after="0" w:line="188"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key product franchises. Our product development efforts focus on regenerative technologies and other projects with the potential for significant returns on investment. In 2018, we achieved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significant milestones in research and development by successfully launching nine new products. In the first half of 2019, we launched an incremental ten new products.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87"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w:t>
      </w:r>
      <w:r>
        <w:rPr>
          <w:rFonts w:ascii="Arial" w:cs="Arial" w:eastAsia="Arial" w:hAnsi="Arial"/>
          <w:sz w:val="18"/>
          <w:szCs w:val="18"/>
          <w:i w:val="1"/>
          <w:iCs w:val="1"/>
          <w:color w:val="auto"/>
        </w:rPr>
        <w:t xml:space="preserve"> </w:t>
      </w:r>
      <w:r>
        <w:rPr>
          <w:rFonts w:ascii="Arial" w:cs="Arial" w:eastAsia="Arial" w:hAnsi="Arial"/>
          <w:sz w:val="18"/>
          <w:szCs w:val="18"/>
          <w:color w:val="auto"/>
        </w:rPr>
        <w:t>is a core part of our strategy to create specialization and greater focus on reaching our customers and addressing their needs. Internationally, we have increased our commercial resources significantly in all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93"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We aspire to be ranked as a best-in-class provider and are committed to strengthen our relationships with all customers. We</w:t>
      </w:r>
      <w:r>
        <w:rPr>
          <w:rFonts w:ascii="Arial" w:cs="Arial" w:eastAsia="Arial" w:hAnsi="Arial"/>
          <w:sz w:val="18"/>
          <w:szCs w:val="18"/>
          <w:i w:val="1"/>
          <w:iCs w:val="1"/>
          <w:color w:val="auto"/>
        </w:rPr>
        <w:t xml:space="preserve"> </w:t>
      </w:r>
      <w:r>
        <w:rPr>
          <w:rFonts w:ascii="Arial" w:cs="Arial" w:eastAsia="Arial" w:hAnsi="Arial"/>
          <w:sz w:val="18"/>
          <w:szCs w:val="18"/>
          <w:color w:val="auto"/>
        </w:rPr>
        <w:t>strive to consistently deliver outstanding customer service and continue to invest in technologies, systems and processes to improve the way our customers do business with us. Additionally, we expect to build on the success of our professional education programs to drive continued customer appreciation of our growing portfolio of medical technologies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collecting clinical evidence to support our existing products and new product launches, and to ensure that we obtain market access for broader and more cost-effective solutions. In 2018, we launched the CUSA® Clarity ultrasonic tissue ablation platform in Japan, Xtrasorb® Gentle Tack Silicone Foam Dressing, SurgiMend® MP Collagen Matrix, and Integra® Meshed Dermal Regeneration Template outside the U.S., and AmnioExcel® Plus Amniotic Allograft Membrane, Integra® XT Revision Total Ankle Replacement System, and Irrigating forceps in the U.S.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we launched 10 new products. These include our new electrosurgery generator and irrigator system, a next generation ICP monitoring platform and an innovative customer-centric toolkit for our Certas™ Plus Programmable Valve along with additional shunt configurations. In addition, we launched the Panta® II TTC Arthrodesis Nail System in the U.S. The Panta II system is our new fusion nail used in ankle fixation. We also launched a Small Post Baseplate in our Reverse Shoulder System that accommodates smaller patients. We launched DuraGen® in Japan. DuraGen is the first and only non-autologous collagen xenograft approved for use as a dural substitute in Japan. We initiated the limited market release of enhancements to our Salto Talaris® Total Ankle System. We are focused on the development of core clinical applications in our our electromechanical technologies portfolio. We continue to work with several instrument partners to bring new surgical instrument patterns to the market. This enables us to add new instruments with minimal expense and invest in ongoing development, such as our Duo LED Surgical Headlight System. Also during 2019, we updated our CUSA Clarity platform to incorporate new ultrasonic tips and integrated electrosurgical capabilities. We continue to work on advanced shoulder products and are developing a pyrocarbon shoulder hemiarthroplasty product to add to our orthopedic reconstruction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June 22, 2015, the FDA issued an Untitled Letter (the "Untitled Letter") alleging that BioD Logic LLC's ("BioD") morselized amniotic membrane tissue based products do not meet the criteria for regulation as HCT/Ps solely under Section 361 of the Public Health Services Act ("Section 361") and that, as a result, the morselized amniotic membrane tissue products would be regulated as a Drug or Biologic. Since the issuance of the Untitled Letter, BioD and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into the high-risk category. As of September 30, 2019,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from BioD morselized amniotic membrane based products for the nine months ended September 30, 2019 were less than 1.0% of consolidated revenues.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March 7, 2019, TEI Biosciences, Inc. a subsidiary of the Company received a Warning Letter (the “Warning Letter”), dated March 6, 2019, from the United States Food and Drug Administration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has provided detailed responses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will not be granted until the violations have been corrected. Additionally, premarket approval applications for Class III 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The Company submitted its initial response to the FDA Warning Letter on March 28, 2019 and provides regular progress reports to the FDA. We cannot, however, give any assurances that the FDA will be satisfied with our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of products manufactured in the TEI Boston facility for the nine months ended September 30, 2019 were approximately 4.0% of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 (loss) for the three months ended September 30, 2019 was $(27.6) million, or $(0.32) per diluted share, as compared to $13.3 million or $0.15 per diluted share for the three months ended September 30, 2018. Net income for the nine months ended September 30, 2019 was $34.9 million, or $0.40 per diluted share, as compared to $35.7 million or $0.43 per diluted share for the nine months ended September 30, 2018.</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income for the three months ended September 30, 2019 from the same period last year resulted from an increase in in-process research and development expense attributed to the Rebound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54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96"/>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r>
              <w:rPr>
                <w:rFonts w:ascii="Arial" w:cs="Arial" w:eastAsia="Arial" w:hAnsi="Arial"/>
                <w:sz w:val="10"/>
                <w:szCs w:val="10"/>
                <w:color w:val="auto"/>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23,515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76,108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5,353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11,885</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 medical device regulation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Litigation (settlement) charges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3,139</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4,941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4,941</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82,712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96,073</w:t>
            </w:r>
          </w:p>
        </w:tc>
      </w:tr>
      <w:tr>
        <w:trPr>
          <w:trHeight w:val="20"/>
        </w:trPr>
        <w:tc>
          <w:tcPr>
            <w:tcW w:w="5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3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Company included $59.9 million of in-process research and development expense within acquisition and integration-related charges as a result of the Rebound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-281305</wp:posOffset>
            </wp:positionV>
            <wp:extent cx="3850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In-process research and development expense</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59,889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82,712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00" w:type="dxa"/>
            <w:vAlign w:val="bottom"/>
          </w:tcPr>
          <w:p>
            <w:pPr>
              <w:spacing w:after="0"/>
              <w:rPr>
                <w:sz w:val="22"/>
                <w:szCs w:val="22"/>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252,984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239,035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736,810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714,654</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300" w:type="dxa"/>
            <w:vAlign w:val="bottom"/>
          </w:tcPr>
          <w:p>
            <w:pPr>
              <w:spacing w:after="0"/>
              <w:rPr>
                <w:sz w:val="21"/>
                <w:szCs w:val="21"/>
                <w:color w:val="auto"/>
              </w:rPr>
            </w:pP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126,111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126,819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385,620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374,472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379,095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365,854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1,122,430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1,089,126</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142,636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143,245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415,219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425,032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236,459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222,609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707,211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664,094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as Compared to Three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September 30, 2019, total revenues increased by $13.2 million to $379.1 million from $365.9 million for the same period in 2018. Domestic revenues increased $5.4 million, or 2.1%, to $266.3 million and were 70.2% of total revenues for the three months ended September 30, 2019. International revenues increased by $7.9 million to $112.8 million for the three months ended September 30, 2019 compared to $105.0 million during the same period in the prior year. The net increase of $13.2 million was a result of growth in primarily the Codman Specialty Surgical segment of $16.9 million offset by a $2.4 million unfavorable impact of foreign exchange, which mainly impacts the Codman Specialty Surgical segment and a $1.3 million unfavorable impact due to discontinued and divested products.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Codman Specialty Surgical revenues were $253.0 million, an increase of 5.8% from the prior-year period. The increase primarily resulted from sales of our programmable valve and dural repair products, which increased mid-single-digits compared to the prior year driven by new product introductions and sales of DuraGen in Japan. Additionally, sales of CUSA capital and related disposables increased high-single digits compared to the prior year. Precision Tools and Instruments revenues increased high-single digits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 last year primarily due to increase in revenue in our Mayfield product line and surgical instrument products.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Orthopedics and Tissue Technologies revenues were $126.1 million, a decrease of 0.6% from the prior-year period. In our Wound Reconstruction and Care portfolio, sales of our plastics and reconstructive surgery products grew double digits, and sales of our outpatient wound care products increased mid-single digits. These increases were offset by declines in our private label business which decreased by low-double digits over the prior period. Extremity Orthopedic sales increased low-single digits compared to the same period last year driven by strong double-digit growth of our ankle and shoulder products.</w:t>
      </w:r>
    </w:p>
    <w:p>
      <w:pPr>
        <w:spacing w:after="0" w:line="15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Gross margin increased to $236.5 million for the three-month period ended September 30, 2019, an increase of $13.9 million from $222.6 million for the same period last year. Gross margin as a percentage of total revenue increased to 62.4% for the third quarter of 2019 from 60.8% in the same period last year. This increase primarily related to a reduction in Codman acquisition and integration costs in the current period compared to the same period last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3"/>
              <w:spacing w:after="0"/>
              <w:rPr>
                <w:sz w:val="20"/>
                <w:szCs w:val="20"/>
                <w:color w:val="auto"/>
              </w:rPr>
            </w:pPr>
            <w:r>
              <w:rPr>
                <w:rFonts w:ascii="Arial" w:cs="Arial" w:eastAsia="Arial" w:hAnsi="Arial"/>
                <w:sz w:val="14"/>
                <w:szCs w:val="14"/>
                <w:b w:val="1"/>
                <w:bCs w:val="1"/>
                <w:color w:val="auto"/>
              </w:rPr>
              <w:t>2018</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In-process research and development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in-process research and development expense and amortization expenses, increased $58.1 million, or 29.2%, to $257.0 million in the three months ended September 30, 2019, compared to $198.9 million in the same period last year. This increase was driven by the $59.9 million of in-process research and development expense in the third quarter of 2019 due to the Rebound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16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3"/>
              </w:rPr>
              <w:t>Three Months Ended September 30,</w:t>
            </w:r>
          </w:p>
        </w:tc>
        <w:tc>
          <w:tcPr>
            <w:tcW w:w="720" w:type="dxa"/>
            <w:vAlign w:val="bottom"/>
            <w:tcBorders>
              <w:bottom w:val="single" w:sz="8" w:color="auto"/>
            </w:tcBorders>
          </w:tcPr>
          <w:p>
            <w:pPr>
              <w:spacing w:after="0"/>
              <w:rPr>
                <w:sz w:val="16"/>
                <w:szCs w:val="16"/>
                <w:color w:val="auto"/>
              </w:rPr>
            </w:pPr>
          </w:p>
        </w:tc>
      </w:tr>
      <w:tr>
        <w:trPr>
          <w:trHeight w:val="264"/>
        </w:trPr>
        <w:tc>
          <w:tcPr>
            <w:tcW w:w="3480" w:type="dxa"/>
            <w:vAlign w:val="bottom"/>
          </w:tcPr>
          <w:p>
            <w:pPr>
              <w:spacing w:after="0"/>
              <w:rPr>
                <w:sz w:val="22"/>
                <w:szCs w:val="22"/>
                <w:color w:val="auto"/>
              </w:rPr>
            </w:pPr>
          </w:p>
        </w:tc>
        <w:tc>
          <w:tcPr>
            <w:tcW w:w="5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22"/>
                <w:szCs w:val="22"/>
                <w:color w:val="auto"/>
              </w:rPr>
            </w:pPr>
          </w:p>
        </w:tc>
      </w:tr>
      <w:tr>
        <w:trPr>
          <w:trHeight w:val="196"/>
        </w:trPr>
        <w:tc>
          <w:tcPr>
            <w:tcW w:w="34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Borders>
              <w:top w:val="single" w:sz="8" w:color="auto"/>
            </w:tcBorders>
          </w:tcPr>
          <w:p>
            <w:pPr>
              <w:spacing w:after="0"/>
              <w:rPr>
                <w:sz w:val="17"/>
                <w:szCs w:val="17"/>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18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2,913</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w w:val="98"/>
              </w:rPr>
              <w:t>(13,962)</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(14,478)</w:t>
            </w:r>
          </w:p>
        </w:tc>
      </w:tr>
      <w:tr>
        <w:trPr>
          <w:trHeight w:val="27"/>
        </w:trPr>
        <w:tc>
          <w:tcPr>
            <w:tcW w:w="34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4,127</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r>
      <w:tr>
        <w:trPr>
          <w:trHeight w:val="459"/>
        </w:trPr>
        <w:tc>
          <w:tcPr>
            <w:tcW w:w="3480" w:type="dxa"/>
            <w:vAlign w:val="bottom"/>
          </w:tcPr>
          <w:p>
            <w:pPr>
              <w:spacing w:after="0"/>
              <w:rPr>
                <w:sz w:val="24"/>
                <w:szCs w:val="24"/>
                <w:color w:val="auto"/>
              </w:rPr>
            </w:pPr>
          </w:p>
        </w:tc>
        <w:tc>
          <w:tcPr>
            <w:tcW w:w="4060" w:type="dxa"/>
            <w:vAlign w:val="bottom"/>
          </w:tcPr>
          <w:p>
            <w:pPr>
              <w:jc w:val="right"/>
              <w:ind w:right="1656"/>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for the three months ended September 30, 2019 decreased by $0.5 million, primarily resulting from a decrease in our weighted average interest rate and a decrease in the outstanding balance of our Senior Credit Facility compared to the same period in 2018. The weighted average interest rate for the three months ended September 30, 2019 decreased nominally to 3.4% compared to 3.7% for the same period in the prior year.</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for the three months ended September 30, 2019 increased by $2.8 million compared to 2018 primarily due to the interest rate differential on cross-currency swaps designated as net investment hedges that were entered into during the fourth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three months ended September 30, 2019, increased by $2.4 million compared to the same period last year primarily driven from a legal settlement received during the three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330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3"/>
              </w:rPr>
              <w:t>Three Months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3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r>
      <w:tr>
        <w:trPr>
          <w:trHeight w:val="196"/>
        </w:trPr>
        <w:tc>
          <w:tcPr>
            <w:tcW w:w="7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7"/>
                <w:szCs w:val="17"/>
                <w:color w:val="auto"/>
              </w:rPr>
            </w:pPr>
          </w:p>
        </w:tc>
      </w:tr>
      <w:tr>
        <w:trPr>
          <w:trHeight w:val="256"/>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89"/>
              </w:rPr>
              <w:t>(27,509)</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4"/>
              </w:rPr>
              <w:t>11,024</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20" w:type="dxa"/>
            <w:vAlign w:val="bottom"/>
          </w:tcPr>
          <w:p>
            <w:pPr>
              <w:spacing w:after="0"/>
              <w:rPr>
                <w:sz w:val="21"/>
                <w:szCs w:val="21"/>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101</w:t>
            </w:r>
          </w:p>
        </w:tc>
        <w:tc>
          <w:tcPr>
            <w:tcW w:w="12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(2,271)</w:t>
            </w:r>
          </w:p>
        </w:tc>
      </w:tr>
      <w:tr>
        <w:trPr>
          <w:trHeight w:val="27"/>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(0.4)%</w:t>
            </w:r>
          </w:p>
        </w:tc>
        <w:tc>
          <w:tcPr>
            <w:tcW w:w="1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7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September 30, 2019 and 2018 were (0.4)% and (20.6)%, respectively. For the three months ended September 30, 2019, the increase in the rate is primarily driven by the impact of the Rebound transaction, which resulted in a $59.9 million in-process research and development expense. This amount is not deductible for tax purposes. Additionally, the Company recorded a tax expense of $1.6 million of tax reform-related adjustments, due to updates in IRS guidance.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18.9%, driven primarily by the excess tax benefit from share-based compensation, the Switzerland tax holiday, and a favorable jurisdictional mix of pretax income in foreign operations relative to U.S.-based operations. This estimate could be revised in the future as additional information is presented to the Company.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4" w:lineRule="exact"/>
        <w:rPr>
          <w:sz w:val="20"/>
          <w:szCs w:val="20"/>
          <w:color w:val="auto"/>
        </w:rPr>
      </w:pPr>
    </w:p>
    <w:p>
      <w:pPr>
        <w:ind w:right="3940"/>
        <w:spacing w:after="0" w:line="362" w:lineRule="auto"/>
        <w:rPr>
          <w:sz w:val="20"/>
          <w:szCs w:val="20"/>
          <w:color w:val="auto"/>
        </w:rPr>
      </w:pPr>
      <w:r>
        <w:rPr>
          <w:rFonts w:ascii="Arial" w:cs="Arial" w:eastAsia="Arial" w:hAnsi="Arial"/>
          <w:sz w:val="18"/>
          <w:szCs w:val="18"/>
          <w:b w:val="1"/>
          <w:bCs w:val="1"/>
          <w:color w:val="auto"/>
        </w:rPr>
        <w:t>Nine Months Ended September 30, 2019 as Compared to Nine Months Ended September 30, 2018 Revenues and Gross Margin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nine months ended September 30, 2019, total revenues increased by $33.3 million to $1,122.4 million from $1,089.1 million during the prior-year period. Domestic revenues increased $26.8 million, or 3.5%, to $796.3 million and were 71% of total revenues. International revenues increased by $6.4 million to $326.1 million for nine months ended September 30, 2019 compared to $319.6 million during the same period in the prior year. The net increase of $33.3 million was a result of growth in both segments of $51.4 million offset by a $11.7 million unfavorable impact of foreign exchange, which mainly impacts the Codman Specialty Surgical segment and a $6.4 million unfavorable impact due to discontinued and divested products.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Codman Specialty Surgical revenues were $736.8 million, an increase of 3.1% from the prior-year period. Growth in Codman Specialty Surgical revenues were driven by sales of our dural repair, CUSA capital and related disposables, and programmable valve products. Precision Tools and Instruments revenues increased low-single digits compared to the prior period.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Orthopedics and Tissue Technologies revenues were $385.6 million, an increase of 3.0% from the prior-year period. In our Wound Reconstruction and Care portfolio, sales of our core tissue products including PriMatrix and SurgiMend increased low and mid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double-digits. Our private label business sales increased by low-single digits over the prior period. Extremity Orthopedic sales were flat compared to the same period last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increased to $707.2 million for the nine-month period ended September 30, 2019, an increase from $664.1 million for the same period last year. Gross margin as a percentage of total revenue increased to 63.0% for the year to date period from 61.0% for the same period last year. This increase primarily related to a reduction in Codman acquisition and integration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6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Nine Months Ended September 30,</w:t>
            </w:r>
          </w:p>
        </w:tc>
      </w:tr>
      <w:tr>
        <w:trPr>
          <w:trHeight w:val="258"/>
        </w:trPr>
        <w:tc>
          <w:tcPr>
            <w:tcW w:w="8780" w:type="dxa"/>
            <w:vAlign w:val="bottom"/>
          </w:tcPr>
          <w:p>
            <w:pPr>
              <w:spacing w:after="0"/>
              <w:rPr>
                <w:sz w:val="22"/>
                <w:szCs w:val="22"/>
                <w:color w:val="auto"/>
              </w:rPr>
            </w:pPr>
          </w:p>
        </w:tc>
        <w:tc>
          <w:tcPr>
            <w:tcW w:w="1520" w:type="dxa"/>
            <w:vAlign w:val="bottom"/>
          </w:tcPr>
          <w:p>
            <w:pPr>
              <w:jc w:val="right"/>
              <w:ind w:right="695"/>
              <w:spacing w:after="0"/>
              <w:rPr>
                <w:sz w:val="20"/>
                <w:szCs w:val="20"/>
                <w:color w:val="auto"/>
              </w:rPr>
            </w:pPr>
            <w:r>
              <w:rPr>
                <w:rFonts w:ascii="Arial" w:cs="Arial" w:eastAsia="Arial" w:hAnsi="Arial"/>
                <w:sz w:val="14"/>
                <w:szCs w:val="14"/>
                <w:b w:val="1"/>
                <w:bCs w:val="1"/>
                <w:color w:val="auto"/>
              </w:rPr>
              <w:t>2019</w:t>
            </w: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5"/>
        </w:trPr>
        <w:tc>
          <w:tcPr>
            <w:tcW w:w="8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20" w:type="dxa"/>
            <w:vAlign w:val="bottom"/>
          </w:tcPr>
          <w:p>
            <w:pPr>
              <w:jc w:val="right"/>
              <w:ind w:right="275"/>
              <w:spacing w:after="0"/>
              <w:rPr>
                <w:sz w:val="20"/>
                <w:szCs w:val="20"/>
                <w:color w:val="auto"/>
              </w:rPr>
            </w:pPr>
            <w:r>
              <w:rPr>
                <w:rFonts w:ascii="Arial" w:cs="Arial" w:eastAsia="Arial" w:hAnsi="Arial"/>
                <w:sz w:val="18"/>
                <w:szCs w:val="18"/>
                <w:color w:val="auto"/>
              </w:rPr>
              <w:t>4.7%</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 expense</w:t>
            </w:r>
          </w:p>
        </w:tc>
        <w:tc>
          <w:tcPr>
            <w:tcW w:w="15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5.5%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jc w:val="right"/>
              <w:ind w:right="275"/>
              <w:spacing w:after="0"/>
              <w:rPr>
                <w:sz w:val="20"/>
                <w:szCs w:val="20"/>
                <w:color w:val="auto"/>
              </w:rPr>
            </w:pPr>
            <w:r>
              <w:rPr>
                <w:rFonts w:ascii="Arial" w:cs="Arial" w:eastAsia="Arial" w:hAnsi="Arial"/>
                <w:sz w:val="18"/>
                <w:szCs w:val="18"/>
                <w:color w:val="auto"/>
              </w:rPr>
              <w:t>45.7%</w:t>
            </w: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8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15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57.8%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8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operating expenses, which consist of selling, general and administrative expenses, research and development expenses, in-process research and development expense and amortization expenses, increased $62.3 million, or 10.6%, to $649.5 million for the first nine months of 2019, compared to $587.2 million in the same period last year. This increase was primarily driven by the $59.9 million in the third quarter of 2019 due to the Rebound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9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9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8,051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(40,495)</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(50,750)</w:t>
            </w:r>
          </w:p>
        </w:tc>
      </w:tr>
      <w:tr>
        <w:trPr>
          <w:trHeight w:val="27"/>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8,461</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6,422</w:t>
            </w:r>
          </w:p>
        </w:tc>
      </w:tr>
      <w:tr>
        <w:trPr>
          <w:trHeight w:val="27"/>
        </w:trPr>
        <w:tc>
          <w:tcPr>
            <w:tcW w:w="9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for the nine month period ended September 30, 2019 decreased by $10.3 million primarily resulting from a decrease in our weighted average interest rate and a decrease in the outstanding balance of our Senior Credit Facility compared to the same period in 2018. The weighted average interest rate for the three months ended September 30, 2019 decreased nominally to 3.4% compared to 3.7% for the same period in the prior year.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nine month period ended September 30, 2019 increased by $7.7 million compared to 2018 primarily due to the interest rate differential on cross-currency swaps designated as net investment hedges that were entered into during the fourth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nine months ended September 30, 2019, increased by $2.0 million compared to the same period last year primarily driven from a legal settlement received during the nine months ended September 30,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left="579"/>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7"/>
                <w:szCs w:val="17"/>
                <w:color w:val="auto"/>
              </w:rPr>
            </w:pP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33,697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32,887</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(2,776)</w:t>
            </w: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nine months ended September 30, 2019 and 2018 were (3.5)% and (8.4)%, respectively.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nine months ended September 30, 2019, the increase in the rate is primarily driven by the impact of the Rebound transaction, which resulted in a $59.9 million in-process research and development expense. This amount is not deductible for tax purposes. Additionally, the Company recorded a tax expense of $1.6 million for tax reform-related adjustments due to updates in IRS guidance. This was offset by a tax benefit of $10.8 million ($0.13 per share) related to a federal tax holiday in Switzerland, which was finalized during the quarter ended March 31, 2019. The Company received a federal tax credit in Switzerland of 12 million CHF, which may be used over a seven year period, ending in 2024. The nine months ended September 30, 2018, included an additional tax benefit of $1.2 million related to share-based compensation, when compared to the same period in 2019.</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18.9%, driven primarily by the excess tax benefit from share-based compensation, the Switzerland tax holiday, and a favorable jurisdictional mix of taxable income in foreign operations relative to U.S.-based operations. This estimate could be revised in the future as additional information is presented to the Company.</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266,280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260,870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796,397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769,509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49,242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47,472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148,753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150,650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21,494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20,490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62,470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60,663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379,095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365,854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1,122,430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1,089,126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Domestic revenues increased to $266.3 million, or 70% of total revenues, for the three months ended September 30, 2019 from $260.9 million, or 71% of total revenues for the three months ended September 30, 2018. Growth in domestic revenues was driven by dural repair, programmable valves and our core tissue products. European sales increased by $1.8 million for the three months ended September 30, 2019 compared to the same period last year, resulting primarily from sales of our core tissue products offset by unfavorable impacts of foreign exchange. Sales to customers in Asia Pacific and the Rest of the World for the three months ended September 30, 2019 increased by $6.1 million compared to the same period last year primarily driven by increases in dural repair products partially offset by unfavorable impacts of foreign exchange. Foreign exchange fluctuations on international revenues in total had an unfavorable impact of $2.4 million for the three months ended September 30, 2019 compared to the same period in 2018.</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Domestic revenues increased to $796.4 million, or 71% of total revenues, for the nine months ended September 30, 2019 from $769.5 million, or 71% of total revenues. Growth in domestic revenues was driven by programmable valves and our core tissue products. European sales decreased by $1.9 million for the nine months ended September 30, 2019 compared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same period last year, resulting primarily from unfavorable impacts of foreign exchange. Sales to customers in Asia Pacific and the Rest of the World for the nine months ended September 30, 2019 increased by $8.3 million, primarily driven by increases in our dural repair, and Wound Reconstruction and Care portfolio products partially offset by unfavorable impacts of foreign exchange. Foreign exchange fluctuations on international revenues had an unfavorable impact of $11.7 million on revenues for the nine months ended September 30, 2019 compared to the same period in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had cash and cash equivalents totaling approximately $208.0 million and $138.8 million at September 30, 2019 and December 31, 2018 respectively, which are valued based on Level 1 measurements in the fair value hierarchy. At September 30, 2019, our non-U.S. subsidiaries held approximately $177.1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5"/>
              </w:rPr>
              <w:t>142,249</w:t>
            </w:r>
          </w:p>
        </w:tc>
        <w:tc>
          <w:tcPr>
            <w:tcW w:w="11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156,995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88"/>
              </w:rPr>
              <w:t>(142,059)</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(24,375)</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73,226</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(96,817)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(4,273)</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generated operating cash flows of $142.2 million for the nine months ended September 30, 2019, a decrease of $14.7 million from $157.0 million for the same period in 2018. Net income after non-cash adjustments increased for the nine months ended September 30, 2019 by approximately $44.9 million compared to the same period in 2018, which resulted primarily from increased sales and an improvement in our gross margin compared to 2018. The changes in assets and liabilities, net of business acquisitions, decreased cash flows from operating activities by $50.0 million for the nine months ended September 30, 2019 compared to an increase of $9.6 million for the same period in 2018. The decrease in 2019 is primarily driven by increased investment in inventories related to new product launches and legal entity manufacturing changes associated with the Codman Neurosurgery acquisition integration. In addition, decreases are driven by growth in accounts receivable in foreign jurisdictions with increased payment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we paid $47.3 million for capital expenditures, most of which were directed to our new Mansfield, Massachusetts facility, Princeton, New Jersey facility and commercial expansion. Further, we paid $95.5 million for the Arkis Acquisition and Rebound Transaction, net of cash acquired.</w:t>
      </w:r>
    </w:p>
    <w:p>
      <w:pPr>
        <w:spacing w:after="0" w:line="7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nine months ended September 30, 2018, we paid $52.1 million for capital expenditures, most of which were directed to the expansion of a manufacturing facility and commercial expansion. We received $26.7 million from the Codman Neurosurgery acquisition as a working capital adjustment.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cash from financing activities in the nine months ended September 30, 2019 were $215.8 million from borrowings under our Senior Credit Facility and Securitization Facility and $6.9 million in proceeds from the exercise of stock options. These were offset by repayments of $143.3 million on the revolving portion of our Senior Credit Facility and Securitization Facility and $6.2 million cash taxes paid in net equity settlement.</w:t>
      </w:r>
    </w:p>
    <w:p>
      <w:pPr>
        <w:spacing w:after="0" w:line="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principal sources of cash from financing activities in the nine months ended September 30, 2018 were $349.6 million from the issuance of common stock and $50.0 million in borrowings under our Senior Credit Facility. These were offset by repayments of $460.0 million on the revolving portion of our Senior Credit Facility and $33.8 million in net cash paid for financing liabilities from business acquisitions.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first quarterly installment of the Company's Term Loan component of its Senior Credit Facility was paid on September 30, 2019. The Company has classified $45.0 million as a current liability in the Company's consolidated balance sheet to reflect payments due within a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and Related Hedging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amended and restated Senior Credit Agreement and Note 7 -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$150.0 million stock repurchase authorization, approved by the Board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September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off–balance sheet financing arrangements during the nine months ended September 30, 2019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 2019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2020-2021</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2022-2023</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888.9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776.3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 (1)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(2)</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 (4)</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104.4</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1,713.2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1,276.3</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106.3</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7"/>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672"/>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left="840" w:right="40" w:hanging="293"/>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19" w:lineRule="exact"/>
        <w:rPr>
          <w:rFonts w:ascii="Arial" w:cs="Arial" w:eastAsia="Arial" w:hAnsi="Arial"/>
          <w:sz w:val="18"/>
          <w:szCs w:val="18"/>
          <w:color w:val="auto"/>
        </w:rPr>
      </w:pPr>
    </w:p>
    <w:p>
      <w:pPr>
        <w:ind w:left="840" w:right="20" w:hanging="293"/>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71" w:lineRule="exact"/>
        <w:rPr>
          <w:rFonts w:ascii="Arial" w:cs="Arial" w:eastAsia="Arial" w:hAnsi="Arial"/>
          <w:sz w:val="18"/>
          <w:szCs w:val="18"/>
          <w:color w:val="auto"/>
        </w:rPr>
      </w:pPr>
    </w:p>
    <w:p>
      <w:pPr>
        <w:jc w:val="both"/>
        <w:ind w:left="840" w:right="20" w:hanging="293"/>
        <w:spacing w:after="0" w:line="194" w:lineRule="auto"/>
        <w:tabs>
          <w:tab w:leader="none" w:pos="840" w:val="left"/>
        </w:tabs>
        <w:numPr>
          <w:ilvl w:val="0"/>
          <w:numId w:val="9"/>
        </w:numPr>
        <w:rPr>
          <w:rFonts w:ascii="Arial" w:cs="Arial" w:eastAsia="Arial" w:hAnsi="Arial"/>
          <w:sz w:val="35"/>
          <w:szCs w:val="35"/>
          <w:color w:val="auto"/>
          <w:vertAlign w:val="superscript"/>
        </w:rPr>
      </w:pPr>
      <w:r>
        <w:rPr>
          <w:rFonts w:ascii="Arial" w:cs="Arial" w:eastAsia="Arial" w:hAnsi="Arial"/>
          <w:sz w:val="18"/>
          <w:szCs w:val="18"/>
          <w:color w:val="auto"/>
        </w:rPr>
        <w:t>During 2018, the Company entered into an operating lease with a term of 18 years for a new corporate headquarters in Princeton, NJ which commenced during the second quarter of 2019. The Company recorded a ROU asset and lease liability of $35.6 million. The gross payments over the lease term of approximately $67.0 million are included in the table above.</w:t>
      </w:r>
    </w:p>
    <w:p>
      <w:pPr>
        <w:spacing w:after="0" w:line="2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has excluded its contingent consideration obligation related to a prior and current year acquisitions from the contractual obligations table above; this liability had a total estimated fair value of $13.3 million at September 30, 2019. This liability has been excluded because the amount to be paid and the potential payment date is not fixed.</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has excluded its option to acquire Integrated Shoulder Collaboration Inc., which becomes mandatory upon achievement of a certain sales threshold, for an amount not to exceed $80.0 million. This liability has been excluded because the amount to be paid and the potential payment date is not fixed.</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$0.7 million at September 30, 2019. This liability for uncertain tax benefits has been excluded because we cannot make a reliable estimate of the period in which the uncertain tax benefits may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2018 have not materially changed.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October 1, 2018, the Company entered into cross-currency swap agreements designated as net investment hedges to partially offset the effects of foreign currency translation on foreign subsidiaries. The total notional amount of our instruments designated as net investment hedges at September 30, 2019 were $354.5 million and GBP 128.3 million. Under the terms of</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these contracts, which have been designated as net investment hedges, we will make interest payments in GBP and receive interest in U.S. dollars and GBP. Upon the maturity of these contracts, the Company will pay the notional amounts in EUR, GBP and CHF and receive U.S. dollars and GBP from the counterparties.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2, 2017, we entered into cross currency swap agreements to convert a notional amount of $300.0 million equivalent to 291.2 million of Swiss Franc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the nine month period ended September 30, 2019, the Company settled a cross-currency swap designated as a cash flow hedge of an intercompany loan with an aggregate notional amount of $33.3 million. The original termination date was October 2, 2020, however, as the intercompany loan settlement was consummated, the cross-currency swap was settled simultaneously. As a result of the settlement, the Company recorded a loss of $0.4 million in other income, net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notional amount of our cross-currency swap agreements designated as cash flow hedges at September 30, 2019 were $266.7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2019 would increase interest income by approximately $2.1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use interest rate derivative instruments to manage our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cash flow exposure to changes in interest rates. These interest rate swaps fix the interest rate on a portion of our expected LIBOR-indexed floating-rate borrowings.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notional amount of interest rate swaps in effect as of September 30, 2019 was $900 million. Based on our outstanding borrowings at September 30, 2019, a 100 basis points change in interest rates would have impacted interest expense on the unhedged portion of the debt by $5.3 million on an annualized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2019. Based upon this evaluation, our principal executive officer and principal financial officer concluded that our disclosure controls and procedures were effective as of September 30, 2019 to provide such reasonable assurance.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2019 that have materially affected, or are reasonably likely to materially affect, our internal control over financial reporting.</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the acceleration of the payment of $26.5 million by BioD.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risk factors included in our Annual Report on Form 10-K for the fiscal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nine months ended September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5">
        <w:r>
          <w:rPr>
            <w:rFonts w:ascii="Arial" w:cs="Arial" w:eastAsia="Arial" w:hAnsi="Arial"/>
            <w:sz w:val="18"/>
            <w:szCs w:val="18"/>
            <w:color w:val="auto"/>
          </w:rPr>
          <w:t>45.</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125" w:right="1440"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460"/>
              <w:spacing w:after="0"/>
              <w:rPr>
                <w:sz w:val="20"/>
                <w:szCs w:val="20"/>
                <w:color w:val="auto"/>
              </w:rPr>
            </w:pPr>
            <w:r>
              <w:rPr>
                <w:rFonts w:ascii="Arial" w:cs="Arial" w:eastAsia="Arial" w:hAnsi="Arial"/>
                <w:sz w:val="18"/>
                <w:szCs w:val="18"/>
                <w:color w:val="auto"/>
              </w:rPr>
              <w:t>October 25,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8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8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460"/>
              <w:spacing w:after="0"/>
              <w:rPr>
                <w:sz w:val="20"/>
                <w:szCs w:val="20"/>
                <w:color w:val="auto"/>
              </w:rPr>
            </w:pPr>
            <w:r>
              <w:rPr>
                <w:rFonts w:ascii="Arial" w:cs="Arial" w:eastAsia="Arial" w:hAnsi="Arial"/>
                <w:sz w:val="18"/>
                <w:szCs w:val="18"/>
                <w:color w:val="auto"/>
              </w:rPr>
              <w:t>October 25,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Carrie L. Anderson</w:t>
            </w:r>
          </w:p>
        </w:tc>
      </w:tr>
      <w:tr>
        <w:trPr>
          <w:trHeight w:val="27"/>
        </w:trPr>
        <w:tc>
          <w:tcPr>
            <w:tcW w:w="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70"/>
        </w:trPr>
        <w:tc>
          <w:tcPr>
            <w:tcW w:w="8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270"/>
        </w:trPr>
        <w:tc>
          <w:tcPr>
            <w:tcW w:w="8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460"/>
              <w:spacing w:after="0"/>
              <w:rPr>
                <w:sz w:val="20"/>
                <w:szCs w:val="20"/>
                <w:color w:val="auto"/>
              </w:rPr>
            </w:pPr>
            <w:r>
              <w:rPr>
                <w:rFonts w:ascii="Arial" w:cs="Arial" w:eastAsia="Arial" w:hAnsi="Arial"/>
                <w:sz w:val="18"/>
                <w:szCs w:val="18"/>
                <w:color w:val="auto"/>
              </w:rPr>
              <w:t>October 25,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Jeffrey A. Mosebrook</w:t>
            </w:r>
          </w:p>
        </w:tc>
      </w:tr>
      <w:tr>
        <w:trPr>
          <w:trHeight w:val="27"/>
        </w:trPr>
        <w:tc>
          <w:tcPr>
            <w:tcW w:w="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70"/>
        </w:trPr>
        <w:tc>
          <w:tcPr>
            <w:tcW w:w="8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Vice President, Corporate Controller</w:t>
            </w:r>
          </w:p>
        </w:tc>
      </w:tr>
      <w:tr>
        <w:trPr>
          <w:trHeight w:val="270"/>
        </w:trPr>
        <w:tc>
          <w:tcPr>
            <w:tcW w:w="8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817"/>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jc w:val="right"/>
              <w:ind w:right="20"/>
              <w:spacing w:after="0"/>
              <w:rPr>
                <w:sz w:val="20"/>
                <w:szCs w:val="20"/>
                <w:color w:val="auto"/>
              </w:rPr>
            </w:pPr>
            <w:r>
              <w:rPr>
                <w:rFonts w:ascii="Arial" w:cs="Arial" w:eastAsia="Arial" w:hAnsi="Arial"/>
                <w:sz w:val="18"/>
                <w:szCs w:val="18"/>
                <w:color w:val="auto"/>
                <w:w w:val="91"/>
              </w:rPr>
              <w:t>Exhibits</w:t>
            </w:r>
          </w:p>
        </w:tc>
        <w:tc>
          <w:tcPr>
            <w:tcW w:w="2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74"/>
        </w:trPr>
        <w:tc>
          <w:tcPr>
            <w:tcW w:w="6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Principal Executive Officer Pursuant to Section 302 of the Sarbanes-Oxley Act of 2002</w:t>
              </w:r>
            </w:hyperlink>
          </w:p>
        </w:tc>
        <w:tc>
          <w:tcPr>
            <w:tcW w:w="2120" w:type="dxa"/>
            <w:vAlign w:val="bottom"/>
          </w:tcPr>
          <w:p>
            <w:pPr>
              <w:spacing w:after="0"/>
              <w:rPr>
                <w:sz w:val="24"/>
                <w:szCs w:val="24"/>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Principal Financial Officer Pursuant to Section 302 of the 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Principal Executive Officer Pursuant to Section 906 of the Sarbanes-Oxley Act of 2002</w:t>
              </w:r>
            </w:hyperlink>
          </w:p>
        </w:tc>
        <w:tc>
          <w:tcPr>
            <w:tcW w:w="2120" w:type="dxa"/>
            <w:vAlign w:val="bottom"/>
          </w:tcPr>
          <w:p>
            <w:pPr>
              <w:spacing w:after="0"/>
              <w:rPr>
                <w:sz w:val="24"/>
                <w:szCs w:val="24"/>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Principal Financial Officer Pursuant to Section 906 of the Sarbanes-Oxley Act of 2002</w:t>
              </w:r>
            </w:hyperlink>
          </w:p>
        </w:tc>
      </w:tr>
      <w:tr>
        <w:trPr>
          <w:trHeight w:val="20"/>
        </w:trPr>
        <w:tc>
          <w:tcPr>
            <w:tcW w:w="1540" w:type="dxa"/>
            <w:vAlign w:val="bottom"/>
            <w:gridSpan w:val="4"/>
          </w:tcPr>
          <w:p>
            <w:pPr>
              <w:spacing w:after="0" w:line="20" w:lineRule="exact"/>
              <w:rPr>
                <w:sz w:val="1"/>
                <w:szCs w:val="1"/>
                <w:color w:val="auto"/>
              </w:rPr>
            </w:pPr>
          </w:p>
        </w:tc>
        <w:tc>
          <w:tcPr>
            <w:tcW w:w="740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546"/>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9580" w:type="dxa"/>
            <w:vAlign w:val="bottom"/>
            <w:gridSpan w:val="3"/>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95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95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958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958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95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2019 filed on October 25, 2019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October 25, 2019</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25, 2019</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2019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October 25, 2019</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2019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25, 2019</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lowerRoman"/>
      <w:start w:val="1"/>
    </w:lvl>
    <w:lvl w:ilvl="1">
      <w:lvlJc w:val="left"/>
      <w:lvlText w:val="%2."/>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2019-12-28T04:29:25Z</dcterms:created>
  <dcterms:modified xsi:type="dcterms:W3CDTF">2019-12-28T04:29:25Z</dcterms:modified>
</cp:coreProperties>
</file>