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18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COMMISSION FILE NO. 0-26224</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2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DELAWARE</w:t>
            </w:r>
          </w:p>
        </w:tc>
        <w:tc>
          <w:tcPr>
            <w:tcW w:w="5120" w:type="dxa"/>
            <w:vAlign w:val="bottom"/>
            <w:gridSpan w:val="2"/>
          </w:tcPr>
          <w:p>
            <w:pPr>
              <w:jc w:val="right"/>
              <w:ind w:right="1790"/>
              <w:spacing w:after="0"/>
              <w:rPr>
                <w:sz w:val="20"/>
                <w:szCs w:val="20"/>
                <w:color w:val="auto"/>
              </w:rPr>
            </w:pPr>
            <w:r>
              <w:rPr>
                <w:rFonts w:ascii="Arial" w:cs="Arial" w:eastAsia="Arial" w:hAnsi="Arial"/>
                <w:sz w:val="18"/>
                <w:szCs w:val="18"/>
                <w:color w:val="auto"/>
              </w:rPr>
              <w:t>51-0317849</w:t>
            </w:r>
          </w:p>
        </w:tc>
      </w:tr>
      <w:tr>
        <w:trPr>
          <w:trHeight w:val="344"/>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(STATE OR OTHER JURISDICTION OF</w:t>
            </w:r>
          </w:p>
        </w:tc>
        <w:tc>
          <w:tcPr>
            <w:tcW w:w="480" w:type="dxa"/>
            <w:vAlign w:val="bottom"/>
          </w:tcPr>
          <w:p>
            <w:pPr>
              <w:spacing w:after="0"/>
              <w:rPr>
                <w:sz w:val="24"/>
                <w:szCs w:val="24"/>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IDENTIFICATION NO.)</w:t>
            </w:r>
          </w:p>
        </w:tc>
      </w:tr>
      <w:tr>
        <w:trPr>
          <w:trHeight w:val="337"/>
        </w:trPr>
        <w:tc>
          <w:tcPr>
            <w:tcW w:w="4600" w:type="dxa"/>
            <w:vAlign w:val="bottom"/>
          </w:tcPr>
          <w:p>
            <w:pPr>
              <w:jc w:val="center"/>
              <w:spacing w:after="0"/>
              <w:rPr>
                <w:sz w:val="20"/>
                <w:szCs w:val="20"/>
                <w:color w:val="auto"/>
              </w:rPr>
            </w:pPr>
            <w:r>
              <w:rPr>
                <w:rFonts w:ascii="Arial" w:cs="Arial" w:eastAsia="Arial" w:hAnsi="Arial"/>
                <w:sz w:val="18"/>
                <w:szCs w:val="18"/>
                <w:color w:val="auto"/>
                <w:w w:val="94"/>
              </w:rPr>
              <w:t>311 ENTERPRISE DRIVE</w:t>
            </w:r>
          </w:p>
        </w:tc>
        <w:tc>
          <w:tcPr>
            <w:tcW w:w="4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5"/>
              </w:rPr>
              <w:t>PLAINSBORO, NEW JERSEY</w:t>
            </w:r>
          </w:p>
        </w:tc>
        <w:tc>
          <w:tcPr>
            <w:tcW w:w="5120" w:type="dxa"/>
            <w:vAlign w:val="bottom"/>
            <w:gridSpan w:val="2"/>
          </w:tcPr>
          <w:p>
            <w:pPr>
              <w:jc w:val="right"/>
              <w:ind w:right="2010"/>
              <w:spacing w:after="0"/>
              <w:rPr>
                <w:sz w:val="20"/>
                <w:szCs w:val="20"/>
                <w:color w:val="auto"/>
              </w:rPr>
            </w:pPr>
            <w:r>
              <w:rPr>
                <w:rFonts w:ascii="Arial" w:cs="Arial" w:eastAsia="Arial" w:hAnsi="Arial"/>
                <w:sz w:val="18"/>
                <w:szCs w:val="18"/>
                <w:color w:val="auto"/>
              </w:rPr>
              <w:t>08536</w:t>
            </w:r>
          </w:p>
        </w:tc>
      </w:tr>
      <w:tr>
        <w:trPr>
          <w:trHeight w:val="344"/>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(ADDRESS OF PRINCIPAL</w:t>
            </w:r>
          </w:p>
        </w:tc>
        <w:tc>
          <w:tcPr>
            <w:tcW w:w="480" w:type="dxa"/>
            <w:vAlign w:val="bottom"/>
          </w:tcPr>
          <w:p>
            <w:pPr>
              <w:spacing w:after="0"/>
              <w:rPr>
                <w:sz w:val="24"/>
                <w:szCs w:val="24"/>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96"/>
              </w:rPr>
              <w:t>EXECUTIVE OFFICES)</w:t>
            </w:r>
          </w:p>
        </w:tc>
        <w:tc>
          <w:tcPr>
            <w:tcW w:w="480" w:type="dxa"/>
            <w:vAlign w:val="bottom"/>
          </w:tcPr>
          <w:p>
            <w:pPr>
              <w:spacing w:after="0"/>
              <w:rPr>
                <w:sz w:val="20"/>
                <w:szCs w:val="20"/>
                <w:color w:val="auto"/>
              </w:rPr>
            </w:pPr>
          </w:p>
        </w:tc>
        <w:tc>
          <w:tcPr>
            <w:tcW w:w="4640" w:type="dxa"/>
            <w:vAlign w:val="bottom"/>
          </w:tcPr>
          <w:p>
            <w:pPr>
              <w:spacing w:after="0"/>
              <w:rPr>
                <w:sz w:val="20"/>
                <w:szCs w:val="20"/>
                <w:color w:val="auto"/>
              </w:rPr>
            </w:pPr>
          </w:p>
        </w:tc>
      </w:tr>
    </w:tbl>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ind w:left="340" w:right="23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ind w:left="340" w:right="379"/>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38" w:lineRule="exact"/>
        <w:rPr>
          <w:sz w:val="20"/>
          <w:szCs w:val="20"/>
          <w:color w:val="auto"/>
        </w:rPr>
      </w:pPr>
    </w:p>
    <w:p>
      <w:pPr>
        <w:ind w:left="880"/>
        <w:spacing w:after="0" w:line="207" w:lineRule="exact"/>
        <w:tabs>
          <w:tab w:leader="none" w:pos="4500" w:val="left"/>
          <w:tab w:leader="none" w:pos="7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85" w:lineRule="exact"/>
        <w:rPr>
          <w:sz w:val="20"/>
          <w:szCs w:val="20"/>
          <w:color w:val="auto"/>
        </w:rPr>
      </w:pPr>
    </w:p>
    <w:p>
      <w:pPr>
        <w:ind w:left="340" w:right="61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May 4, 2007 was 27,484,805.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6174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20" w:type="dxa"/>
            <w:vAlign w:val="bottom"/>
            <w:gridSpan w:val="10"/>
          </w:tcPr>
          <w:p>
            <w:pPr>
              <w:jc w:val="center"/>
              <w:ind w:right="1160"/>
              <w:spacing w:after="0"/>
              <w:rPr>
                <w:sz w:val="20"/>
                <w:szCs w:val="20"/>
                <w:color w:val="auto"/>
              </w:rPr>
            </w:pPr>
            <w:r>
              <w:rPr>
                <w:rFonts w:ascii="Arial" w:cs="Arial" w:eastAsia="Arial" w:hAnsi="Arial"/>
                <w:sz w:val="18"/>
                <w:szCs w:val="18"/>
                <w:b w:val="1"/>
                <w:bCs w:val="1"/>
                <w:color w:val="auto"/>
              </w:rPr>
              <w:t>INTEGRA LIFESCIENCES HOLDINGS CORPORATION</w:t>
            </w:r>
          </w:p>
        </w:tc>
        <w:tc>
          <w:tcPr>
            <w:tcW w:w="118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gridSpan w:val="8"/>
          </w:tcPr>
          <w:p>
            <w:pPr>
              <w:jc w:val="center"/>
              <w:ind w:right="1840"/>
              <w:spacing w:after="0"/>
              <w:rPr>
                <w:sz w:val="20"/>
                <w:szCs w:val="20"/>
                <w:color w:val="auto"/>
              </w:rPr>
            </w:pPr>
            <w:r>
              <w:rPr>
                <w:rFonts w:ascii="Arial" w:cs="Arial" w:eastAsia="Arial" w:hAnsi="Arial"/>
                <w:sz w:val="18"/>
                <w:szCs w:val="18"/>
                <w:b w:val="1"/>
                <w:bCs w:val="1"/>
                <w:color w:val="auto"/>
              </w:rPr>
              <w:t>INDEX</w:t>
            </w:r>
          </w:p>
        </w:tc>
        <w:tc>
          <w:tcPr>
            <w:tcW w:w="11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Page Number</w:t>
            </w:r>
          </w:p>
        </w:tc>
      </w:tr>
      <w:tr>
        <w:trPr>
          <w:trHeight w:val="304"/>
        </w:trPr>
        <w:tc>
          <w:tcPr>
            <w:tcW w:w="7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7840" w:type="dxa"/>
            <w:vAlign w:val="bottom"/>
            <w:gridSpan w:val="19"/>
          </w:tcPr>
          <w:p>
            <w:pPr>
              <w:ind w:left="60"/>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1180" w:type="dxa"/>
            <w:vAlign w:val="bottom"/>
          </w:tcPr>
          <w:p>
            <w:pPr>
              <w:spacing w:after="0"/>
              <w:rPr>
                <w:sz w:val="24"/>
                <w:szCs w:val="24"/>
                <w:color w:val="auto"/>
              </w:rPr>
            </w:pPr>
          </w:p>
        </w:tc>
      </w:tr>
      <w:tr>
        <w:trPr>
          <w:trHeight w:val="331"/>
        </w:trPr>
        <w:tc>
          <w:tcPr>
            <w:tcW w:w="2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940" w:type="dxa"/>
            <w:vAlign w:val="bottom"/>
            <w:tcBorders>
              <w:top w:val="single" w:sz="8" w:color="0000EE"/>
            </w:tcBorders>
            <w:gridSpan w:val="3"/>
          </w:tcPr>
          <w:p>
            <w:pPr>
              <w:spacing w:after="0"/>
              <w:rPr>
                <w:sz w:val="24"/>
                <w:szCs w:val="24"/>
                <w:color w:val="auto"/>
              </w:rPr>
            </w:pPr>
          </w:p>
        </w:tc>
        <w:tc>
          <w:tcPr>
            <w:tcW w:w="554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85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2007 and 2006</w:t>
              </w:r>
            </w:hyperlink>
          </w:p>
        </w:tc>
        <w:tc>
          <w:tcPr>
            <w:tcW w:w="118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1020" w:type="dxa"/>
            <w:vAlign w:val="bottom"/>
            <w:gridSpan w:val="2"/>
          </w:tcPr>
          <w:p>
            <w:pPr>
              <w:spacing w:after="0"/>
              <w:rPr>
                <w:sz w:val="17"/>
                <w:szCs w:val="17"/>
                <w:color w:val="auto"/>
              </w:rPr>
            </w:pPr>
          </w:p>
        </w:tc>
        <w:tc>
          <w:tcPr>
            <w:tcW w:w="1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85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2007 and December 31, 2006 (Unaudited)</w:t>
              </w:r>
            </w:hyperlink>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854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2007 and 2006</w:t>
              </w:r>
            </w:hyperlink>
          </w:p>
        </w:tc>
        <w:tc>
          <w:tcPr>
            <w:tcW w:w="118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960" w:type="dxa"/>
            <w:vAlign w:val="bottom"/>
          </w:tcPr>
          <w:p>
            <w:pPr>
              <w:spacing w:after="0"/>
              <w:rPr>
                <w:sz w:val="17"/>
                <w:szCs w:val="17"/>
                <w:color w:val="auto"/>
              </w:rPr>
            </w:pPr>
          </w:p>
        </w:tc>
        <w:tc>
          <w:tcPr>
            <w:tcW w:w="1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854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854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331"/>
        </w:trPr>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540" w:type="dxa"/>
            <w:vAlign w:val="bottom"/>
            <w:gridSpan w:val="4"/>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331"/>
        </w:trPr>
        <w:tc>
          <w:tcPr>
            <w:tcW w:w="2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Item 4. Controls and Procedures</w:t>
              </w:r>
            </w:hyperlink>
          </w:p>
        </w:tc>
        <w:tc>
          <w:tcPr>
            <w:tcW w:w="6220" w:type="dxa"/>
            <w:vAlign w:val="bottom"/>
            <w:gridSpan w:val="10"/>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547"/>
        </w:trPr>
        <w:tc>
          <w:tcPr>
            <w:tcW w:w="7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PART II.</w:t>
              </w:r>
            </w:hyperlink>
          </w:p>
        </w:tc>
        <w:tc>
          <w:tcPr>
            <w:tcW w:w="120" w:type="dxa"/>
            <w:vAlign w:val="bottom"/>
            <w:tcBorders>
              <w:bottom w:val="single" w:sz="8" w:color="0000EE"/>
            </w:tcBorders>
          </w:tcPr>
          <w:p>
            <w:pPr>
              <w:spacing w:after="0"/>
              <w:rPr>
                <w:sz w:val="24"/>
                <w:szCs w:val="24"/>
                <w:color w:val="auto"/>
              </w:rPr>
            </w:pPr>
          </w:p>
        </w:tc>
        <w:tc>
          <w:tcPr>
            <w:tcW w:w="18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OTHER INFORMATION</w:t>
              </w:r>
            </w:hyperlink>
          </w:p>
        </w:tc>
        <w:tc>
          <w:tcPr>
            <w:tcW w:w="5840" w:type="dxa"/>
            <w:vAlign w:val="bottom"/>
            <w:gridSpan w:val="9"/>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854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331"/>
        </w:trPr>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660" w:type="dxa"/>
            <w:vAlign w:val="bottom"/>
            <w:gridSpan w:val="12"/>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3640" w:type="dxa"/>
            <w:vAlign w:val="bottom"/>
            <w:gridSpan w:val="6"/>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331"/>
        </w:trPr>
        <w:tc>
          <w:tcPr>
            <w:tcW w:w="854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547"/>
        </w:trPr>
        <w:tc>
          <w:tcPr>
            <w:tcW w:w="1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7400" w:type="dxa"/>
            <w:vAlign w:val="bottom"/>
            <w:gridSpan w:val="14"/>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547"/>
        </w:trPr>
        <w:tc>
          <w:tcPr>
            <w:tcW w:w="8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EXHIBITS</w:t>
              </w:r>
            </w:hyperlink>
          </w:p>
        </w:tc>
        <w:tc>
          <w:tcPr>
            <w:tcW w:w="7720" w:type="dxa"/>
            <w:vAlign w:val="bottom"/>
            <w:gridSpan w:val="18"/>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331"/>
        </w:trPr>
        <w:tc>
          <w:tcPr>
            <w:tcW w:w="40" w:type="dxa"/>
            <w:vAlign w:val="bottom"/>
          </w:tcPr>
          <w:p>
            <w:pPr>
              <w:spacing w:after="0"/>
              <w:rPr>
                <w:sz w:val="24"/>
                <w:szCs w:val="24"/>
                <w:color w:val="auto"/>
              </w:rPr>
            </w:pPr>
          </w:p>
        </w:tc>
        <w:tc>
          <w:tcPr>
            <w:tcW w:w="8500" w:type="dxa"/>
            <w:vAlign w:val="bottom"/>
            <w:gridSpan w:val="21"/>
          </w:tcPr>
          <w:p>
            <w:pPr>
              <w:spacing w:after="0"/>
              <w:rPr>
                <w:sz w:val="20"/>
                <w:szCs w:val="20"/>
                <w:color w:val="auto"/>
              </w:rPr>
            </w:pPr>
            <w:r>
              <w:rPr>
                <w:rFonts w:ascii="Arial" w:cs="Arial" w:eastAsia="Arial" w:hAnsi="Arial"/>
                <w:sz w:val="18"/>
                <w:szCs w:val="18"/>
                <w:color w:val="0000EE"/>
              </w:rPr>
              <w:t>Exhibit 10.5</w:t>
            </w:r>
          </w:p>
        </w:tc>
        <w:tc>
          <w:tcPr>
            <w:tcW w:w="1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640" w:type="dxa"/>
            <w:vAlign w:val="bottom"/>
            <w:gridSpan w:val="1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50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31.1</w:t>
            </w:r>
          </w:p>
        </w:tc>
        <w:tc>
          <w:tcPr>
            <w:tcW w:w="11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580" w:type="dxa"/>
            <w:vAlign w:val="bottom"/>
            <w:gridSpan w:val="7"/>
          </w:tcPr>
          <w:p>
            <w:pPr>
              <w:jc w:val="right"/>
              <w:ind w:right="180"/>
              <w:spacing w:after="0"/>
              <w:rPr>
                <w:sz w:val="20"/>
                <w:szCs w:val="20"/>
                <w:color w:val="auto"/>
              </w:rPr>
            </w:pPr>
            <w:r>
              <w:rPr>
                <w:rFonts w:ascii="Arial" w:cs="Arial" w:eastAsia="Arial" w:hAnsi="Arial"/>
                <w:sz w:val="18"/>
                <w:szCs w:val="18"/>
                <w:color w:val="auto"/>
                <w:w w:val="94"/>
              </w:rPr>
              <w:t>Three Months Ended March 31,</w:t>
            </w:r>
          </w:p>
        </w:tc>
        <w:tc>
          <w:tcPr>
            <w:tcW w:w="13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29"/>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123,032</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77,135</w:t>
            </w:r>
          </w:p>
        </w:tc>
        <w:tc>
          <w:tcPr>
            <w:tcW w:w="1360" w:type="dxa"/>
            <w:vAlign w:val="bottom"/>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27,937</w:t>
            </w:r>
          </w:p>
        </w:tc>
        <w:tc>
          <w:tcPr>
            <w:tcW w:w="1360" w:type="dxa"/>
            <w:vAlign w:val="bottom"/>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3,173</w:t>
            </w:r>
          </w:p>
        </w:tc>
        <w:tc>
          <w:tcPr>
            <w:tcW w:w="136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31,120</w:t>
            </w:r>
          </w:p>
        </w:tc>
        <w:tc>
          <w:tcPr>
            <w:tcW w:w="1360" w:type="dxa"/>
            <w:vAlign w:val="bottom"/>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c>
          <w:tcPr>
            <w:tcW w:w="136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63,511</w:t>
            </w:r>
          </w:p>
        </w:tc>
        <w:tc>
          <w:tcPr>
            <w:tcW w:w="1360" w:type="dxa"/>
            <w:vAlign w:val="bottom"/>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16,503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13,624</w:t>
            </w:r>
          </w:p>
        </w:tc>
        <w:tc>
          <w:tcPr>
            <w:tcW w:w="136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w:t>
            </w:r>
          </w:p>
        </w:tc>
        <w:tc>
          <w:tcPr>
            <w:tcW w:w="1360" w:type="dxa"/>
            <w:vAlign w:val="bottom"/>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(2,759)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(1,682)</w:t>
            </w:r>
          </w:p>
        </w:tc>
        <w:tc>
          <w:tcPr>
            <w:tcW w:w="136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13,759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12,998</w:t>
            </w:r>
          </w:p>
        </w:tc>
        <w:tc>
          <w:tcPr>
            <w:tcW w:w="136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4,293</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9,074</w:t>
            </w:r>
          </w:p>
        </w:tc>
        <w:tc>
          <w:tcPr>
            <w:tcW w:w="22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8,705</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29"/>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1360" w:type="dxa"/>
            <w:vAlign w:val="bottom"/>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36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28,371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29,585</w:t>
            </w:r>
          </w:p>
        </w:tc>
        <w:tc>
          <w:tcPr>
            <w:tcW w:w="1360" w:type="dxa"/>
            <w:vAlign w:val="bottom"/>
          </w:tcPr>
          <w:p>
            <w:pPr>
              <w:spacing w:after="0"/>
              <w:rPr>
                <w:sz w:val="20"/>
                <w:szCs w:val="20"/>
                <w:color w:val="auto"/>
              </w:rPr>
            </w:pPr>
          </w:p>
        </w:tc>
      </w:tr>
      <w:tr>
        <w:trPr>
          <w:trHeight w:val="121"/>
        </w:trPr>
        <w:tc>
          <w:tcPr>
            <w:tcW w:w="34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33,828</w:t>
            </w:r>
          </w:p>
        </w:tc>
        <w:tc>
          <w:tcPr>
            <w:tcW w:w="13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83"/>
        </w:trPr>
        <w:tc>
          <w:tcPr>
            <w:tcW w:w="340" w:type="dxa"/>
            <w:vAlign w:val="bottom"/>
          </w:tcPr>
          <w:p>
            <w:pPr>
              <w:spacing w:after="0"/>
              <w:rPr>
                <w:sz w:val="24"/>
                <w:szCs w:val="24"/>
                <w:color w:val="auto"/>
              </w:rPr>
            </w:pPr>
          </w:p>
        </w:tc>
        <w:tc>
          <w:tcPr>
            <w:tcW w:w="7140" w:type="dxa"/>
            <w:vAlign w:val="bottom"/>
          </w:tcPr>
          <w:p>
            <w:pPr>
              <w:ind w:left="48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March 31,</w:t>
            </w: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Trade accounts receivable, net of allowances of $3,968 and $4,114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85,884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85,018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229,800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221,761</w:t>
            </w: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42,559</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177,467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179,716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163,719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162,414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623,074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613,618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securities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119,542</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Accounts payable, trade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19,255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273,744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274,017</w:t>
            </w: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Long-term convertible securities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29,306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Long-term income taxes payable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317,528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317,456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(see Footnote 11)</w:t>
            </w:r>
          </w:p>
        </w:tc>
        <w:tc>
          <w:tcPr>
            <w:tcW w:w="12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$0.01 par value; 60,000 authorized shares; 31,742 and 31,464 issued at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400"/>
              <w:spacing w:after="0"/>
              <w:rPr>
                <w:sz w:val="20"/>
                <w:szCs w:val="20"/>
                <w:color w:val="auto"/>
              </w:rPr>
            </w:pPr>
            <w:r>
              <w:rPr>
                <w:rFonts w:ascii="Arial" w:cs="Arial" w:eastAsia="Arial" w:hAnsi="Arial"/>
                <w:sz w:val="18"/>
                <w:szCs w:val="18"/>
                <w:color w:val="auto"/>
              </w:rPr>
              <w:t>March 31, 2007 and December 31, 2006, respectively</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378,772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367,277</w:t>
            </w:r>
          </w:p>
        </w:tc>
        <w:tc>
          <w:tcPr>
            <w:tcW w:w="0" w:type="dxa"/>
            <w:vAlign w:val="bottom"/>
          </w:tcPr>
          <w:p>
            <w:pPr>
              <w:spacing w:after="0"/>
              <w:rPr>
                <w:sz w:val="1"/>
                <w:szCs w:val="1"/>
                <w:color w:val="auto"/>
              </w:rPr>
            </w:pPr>
          </w:p>
        </w:tc>
      </w:tr>
      <w:tr>
        <w:trPr>
          <w:trHeight w:val="202"/>
        </w:trPr>
        <w:tc>
          <w:tcPr>
            <w:tcW w:w="7100" w:type="dxa"/>
            <w:vAlign w:val="bottom"/>
          </w:tcPr>
          <w:p>
            <w:pPr>
              <w:ind w:left="200"/>
              <w:spacing w:after="0" w:line="201" w:lineRule="exact"/>
              <w:rPr>
                <w:sz w:val="20"/>
                <w:szCs w:val="20"/>
                <w:color w:val="auto"/>
              </w:rPr>
            </w:pPr>
            <w:r>
              <w:rPr>
                <w:rFonts w:ascii="Arial" w:cs="Arial" w:eastAsia="Arial" w:hAnsi="Arial"/>
                <w:sz w:val="18"/>
                <w:szCs w:val="18"/>
                <w:color w:val="auto"/>
                <w:w w:val="93"/>
              </w:rPr>
              <w:t>Treasury stock, at cost; 4,411 and 4,147 shares at March 31, 2007 and December 31, 2006,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(156,921)</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(145,846)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liability adjustment, net of tax</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73,752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66,336</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296,162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623,074</w:t>
            </w:r>
          </w:p>
        </w:tc>
        <w:tc>
          <w:tcPr>
            <w:tcW w:w="40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613,618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160"/>
        <w:spacing w:after="0" w:line="266"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CASH FLOWS (UNAUDITED)</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140" w:type="dxa"/>
            <w:vAlign w:val="bottom"/>
          </w:tcPr>
          <w:p>
            <w:pPr>
              <w:spacing w:after="0"/>
              <w:rPr>
                <w:sz w:val="24"/>
                <w:szCs w:val="24"/>
                <w:color w:val="auto"/>
              </w:rPr>
            </w:pPr>
          </w:p>
        </w:tc>
        <w:tc>
          <w:tcPr>
            <w:tcW w:w="2580" w:type="dxa"/>
            <w:vAlign w:val="bottom"/>
            <w:gridSpan w:val="7"/>
          </w:tcPr>
          <w:p>
            <w:pPr>
              <w:jc w:val="right"/>
              <w:ind w:right="180"/>
              <w:spacing w:after="0"/>
              <w:rPr>
                <w:sz w:val="20"/>
                <w:szCs w:val="20"/>
                <w:color w:val="auto"/>
              </w:rPr>
            </w:pPr>
            <w:r>
              <w:rPr>
                <w:rFonts w:ascii="Arial" w:cs="Arial" w:eastAsia="Arial" w:hAnsi="Arial"/>
                <w:sz w:val="18"/>
                <w:szCs w:val="18"/>
                <w:color w:val="auto"/>
                <w:w w:val="94"/>
              </w:rPr>
              <w:t>Three Months Ended March 31,</w:t>
            </w:r>
          </w:p>
        </w:tc>
      </w:tr>
      <w:tr>
        <w:trPr>
          <w:trHeight w:val="210"/>
        </w:trPr>
        <w:tc>
          <w:tcPr>
            <w:tcW w:w="7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51"/>
        </w:trPr>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9,074</w:t>
            </w:r>
          </w:p>
        </w:tc>
        <w:tc>
          <w:tcPr>
            <w:tcW w:w="22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8,705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3,191</w:t>
            </w: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 provision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Amortization of discount/premium on investments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bond issuance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Derivative loss (gain)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3,035</w:t>
            </w: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Excess tax benefits from stock-based compensation arrangements</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16"/>
        </w:trPr>
        <w:tc>
          <w:tcPr>
            <w:tcW w:w="714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business acquisitions: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(7,490)</w:t>
            </w: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(1,031)</w:t>
            </w: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w:t>
            </w: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4,064</w:t>
            </w:r>
          </w:p>
        </w:tc>
      </w:tr>
      <w:tr>
        <w:trPr>
          <w:trHeight w:val="216"/>
        </w:trPr>
        <w:tc>
          <w:tcPr>
            <w:tcW w:w="7140" w:type="dxa"/>
            <w:vAlign w:val="bottom"/>
          </w:tcPr>
          <w:p>
            <w:pPr>
              <w:ind w:left="40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r>
      <w:tr>
        <w:trPr>
          <w:trHeight w:val="142"/>
        </w:trPr>
        <w:tc>
          <w:tcPr>
            <w:tcW w:w="7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10,871</w:t>
            </w:r>
          </w:p>
        </w:tc>
      </w:tr>
      <w:tr>
        <w:trPr>
          <w:trHeight w:val="358"/>
        </w:trPr>
        <w:tc>
          <w:tcPr>
            <w:tcW w:w="714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5"/>
        </w:trPr>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(75,840)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Proceeds from sales/maturities of available-for-sale investments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27,622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investments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(1,689)</w:t>
            </w:r>
          </w:p>
        </w:tc>
      </w:tr>
      <w:tr>
        <w:trPr>
          <w:trHeight w:val="142"/>
        </w:trPr>
        <w:tc>
          <w:tcPr>
            <w:tcW w:w="7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(56,482)</w:t>
            </w:r>
          </w:p>
        </w:tc>
      </w:tr>
      <w:tr>
        <w:trPr>
          <w:trHeight w:val="358"/>
        </w:trPr>
        <w:tc>
          <w:tcPr>
            <w:tcW w:w="7140" w:type="dxa"/>
            <w:vAlign w:val="bottom"/>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5"/>
        </w:trPr>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Repayment of loans</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(39,014)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71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(3,364)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21,014</w:t>
            </w:r>
          </w:p>
        </w:tc>
      </w:tr>
      <w:tr>
        <w:trPr>
          <w:trHeight w:val="142"/>
        </w:trPr>
        <w:tc>
          <w:tcPr>
            <w:tcW w:w="7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r>
      <w:tr>
        <w:trPr>
          <w:trHeight w:val="351"/>
        </w:trPr>
        <w:tc>
          <w:tcPr>
            <w:tcW w:w="71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(24,496)</w:t>
            </w:r>
          </w:p>
        </w:tc>
      </w:tr>
      <w:tr>
        <w:trPr>
          <w:trHeight w:val="135"/>
        </w:trPr>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46,889</w:t>
            </w:r>
          </w:p>
        </w:tc>
      </w:tr>
      <w:tr>
        <w:trPr>
          <w:trHeight w:val="20"/>
        </w:trPr>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29,329</w:t>
            </w:r>
          </w:p>
        </w:tc>
        <w:tc>
          <w:tcPr>
            <w:tcW w:w="22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22,393</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259" w:hanging="8"/>
        <w:spacing w:after="0" w:line="456" w:lineRule="auto"/>
        <w:tabs>
          <w:tab w:leader="none" w:pos="71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ind w:left="340" w:right="33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ind w:left="340" w:right="179"/>
        <w:spacing w:after="0" w:line="289" w:lineRule="auto"/>
        <w:rPr>
          <w:sz w:val="20"/>
          <w:szCs w:val="20"/>
          <w:color w:val="auto"/>
        </w:rPr>
      </w:pPr>
      <w:r>
        <w:rPr>
          <w:rFonts w:ascii="Arial" w:cs="Arial" w:eastAsia="Arial" w:hAnsi="Arial"/>
          <w:sz w:val="16"/>
          <w:szCs w:val="16"/>
          <w:color w:val="auto"/>
        </w:rPr>
        <w:t>In the opinion of management, the March 31, 2007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2006 included in the Company’s Annual Report on Form 10-K. The December 31, 2006 condensed consolidated balance sheet was derived from audited financial statements but does not include all disclosures required by accounting principles generally accepted in the United States. Operating results for the three-month period ended March 31, 2007 are not necessarily indicative of the results to be expected for the entire year.</w:t>
      </w:r>
    </w:p>
    <w:p>
      <w:pPr>
        <w:spacing w:after="0" w:line="126" w:lineRule="exact"/>
        <w:rPr>
          <w:sz w:val="20"/>
          <w:szCs w:val="20"/>
          <w:color w:val="auto"/>
        </w:rPr>
      </w:pPr>
    </w:p>
    <w:p>
      <w:pPr>
        <w:ind w:left="340" w:right="239"/>
        <w:spacing w:after="0" w:line="289"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w:t>
      </w:r>
    </w:p>
    <w:p>
      <w:pPr>
        <w:spacing w:after="0" w:line="202" w:lineRule="exact"/>
        <w:rPr>
          <w:sz w:val="20"/>
          <w:szCs w:val="20"/>
          <w:color w:val="auto"/>
        </w:rPr>
      </w:pPr>
    </w:p>
    <w:p>
      <w:pPr>
        <w:ind w:left="340" w:right="219"/>
        <w:spacing w:after="0" w:line="270" w:lineRule="auto"/>
        <w:rPr>
          <w:sz w:val="20"/>
          <w:szCs w:val="20"/>
          <w:color w:val="auto"/>
        </w:rPr>
      </w:pPr>
      <w:r>
        <w:rPr>
          <w:rFonts w:ascii="Arial" w:cs="Arial" w:eastAsia="Arial" w:hAnsi="Arial"/>
          <w:sz w:val="17"/>
          <w:szCs w:val="17"/>
          <w:color w:val="auto"/>
        </w:rPr>
        <w:t>Effective January 1, 2007, the Company adopted Financial Accounting Standards Board Interpretation No. 48 “Accounting for Uncertainty in Income Taxes” (“FIN 48”). FIN 48 specifies the way public companies are to account for uncertainty in income tax reporting, and prescribes a methodology for recognizing, reversing, and measuring the tax benefits of a tax position taken, or expected to be taken, in a tax return. As a result of adopting the new standard, the Company recorded a $2.0 million increase to reserves resulting in a “cumulative effect” decrease to opening retained earnings of $1.7 million as of January 1, 2007 and an increase to goodwill of $0.3 million as the tax reserve relates to a recent acquisition. Including this “cumulative effect” adjustment, the Company had unrecognized tax reserves of $8.1 million at January 1, 2007, of which $1.1 million related to accrued interest and penalties. In 2007, these unrecognized tax benefits are classified as long-term income taxes payable in the condensed consolidated balance sheet and, if recognized, $2.8 million would impact the Company’s effective tax rate.</w:t>
      </w:r>
    </w:p>
    <w:p>
      <w:pPr>
        <w:spacing w:after="0" w:line="141" w:lineRule="exact"/>
        <w:rPr>
          <w:sz w:val="20"/>
          <w:szCs w:val="20"/>
          <w:color w:val="auto"/>
        </w:rPr>
      </w:pPr>
    </w:p>
    <w:p>
      <w:pPr>
        <w:ind w:left="340" w:right="339"/>
        <w:spacing w:after="0" w:line="259" w:lineRule="auto"/>
        <w:rPr>
          <w:sz w:val="20"/>
          <w:szCs w:val="20"/>
          <w:color w:val="auto"/>
        </w:rPr>
      </w:pPr>
      <w:r>
        <w:rPr>
          <w:rFonts w:ascii="Arial" w:cs="Arial" w:eastAsia="Arial" w:hAnsi="Arial"/>
          <w:sz w:val="18"/>
          <w:szCs w:val="18"/>
          <w:color w:val="auto"/>
        </w:rPr>
        <w:t>In the first quarter of 2007, the Company accrued an additional $0.1 million in unrecognized tax benefits and $0.1 million of interest related to its uncertain tax positions, all of which is recorded as a component of the Company’s provision for income taxes in the condensed consolidated statement of operations. As of March 31, 2007 the Company had unrecognized tax benefits of $8.3 million accrued in the balance sheet.</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line="3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39"/>
        <w:spacing w:after="0" w:line="293" w:lineRule="auto"/>
        <w:rPr>
          <w:sz w:val="20"/>
          <w:szCs w:val="20"/>
          <w:color w:val="auto"/>
        </w:rPr>
      </w:pPr>
      <w:r>
        <w:rPr>
          <w:rFonts w:ascii="Arial" w:cs="Arial" w:eastAsia="Arial" w:hAnsi="Arial"/>
          <w:sz w:val="16"/>
          <w:szCs w:val="16"/>
          <w:color w:val="auto"/>
        </w:rPr>
        <w:t>The Company files Federal income tax returns, as well as multiple state, local and foreign jurisdiction tax returns. The Company is no longer subject to examinations of its federal income tax returns by the Internal Revenue Service (“IRS”) through fiscal 2002. All significant state and local matters have been concluded through fiscal 2003. All significant foreign matters have been settled through fiscal 2001. The IRS has begun an examination of the tax returns of the Company’s subsidiary in Puerto Rico for fiscal 2004. The Company does not anticipate that any material adjustments will result from this examination. Other than this matter, the Company does not believe it is reasonably possible that its unrecognized tax benefits will significantly change within the next twelve months.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 and Other Matters</w:t>
      </w:r>
    </w:p>
    <w:p>
      <w:pPr>
        <w:spacing w:after="0" w:line="189" w:lineRule="exact"/>
        <w:rPr>
          <w:sz w:val="20"/>
          <w:szCs w:val="20"/>
          <w:color w:val="auto"/>
        </w:rPr>
      </w:pPr>
    </w:p>
    <w:p>
      <w:pPr>
        <w:ind w:left="340" w:right="239"/>
        <w:spacing w:after="0" w:line="255" w:lineRule="auto"/>
        <w:rPr>
          <w:sz w:val="20"/>
          <w:szCs w:val="20"/>
          <w:color w:val="auto"/>
        </w:rPr>
      </w:pPr>
      <w:r>
        <w:rPr>
          <w:rFonts w:ascii="Arial" w:cs="Arial" w:eastAsia="Arial" w:hAnsi="Arial"/>
          <w:sz w:val="18"/>
          <w:szCs w:val="18"/>
          <w:color w:val="auto"/>
        </w:rPr>
        <w:t>In September 2006, FASB issued Statement of Financial Accounting Standards No. 157—Fair Value Measurements, or SFAS 157. This standard establishes a framework for measuring fair value and expands disclosures about fair value measurement of a company’s assets and liabilities. This standard also requires that the fair value measurement should be determined based on the assumptions that market participants would use in pricing the asset or liability. SFAS 157 is effective for financial statements issued for fiscal years beginning after November 15, 2007 and, generally, must be applied prospectively. The Company expects to adopt this standard beginning in January 2008. Currently, management is evaluating the impact that this new standard will have on its financial position and results of operations.</w:t>
      </w:r>
    </w:p>
    <w:p>
      <w:pPr>
        <w:spacing w:after="0" w:line="149" w:lineRule="exact"/>
        <w:rPr>
          <w:sz w:val="20"/>
          <w:szCs w:val="20"/>
          <w:color w:val="auto"/>
        </w:rPr>
      </w:pPr>
    </w:p>
    <w:p>
      <w:pPr>
        <w:ind w:left="340" w:right="199"/>
        <w:spacing w:after="0" w:line="255" w:lineRule="auto"/>
        <w:rPr>
          <w:sz w:val="20"/>
          <w:szCs w:val="20"/>
          <w:color w:val="auto"/>
        </w:rPr>
      </w:pPr>
      <w:r>
        <w:rPr>
          <w:rFonts w:ascii="Arial" w:cs="Arial" w:eastAsia="Arial" w:hAnsi="Arial"/>
          <w:sz w:val="18"/>
          <w:szCs w:val="18"/>
          <w:color w:val="auto"/>
        </w:rPr>
        <w:t>In February 2007, the FASB issued Statement of Financial Accounting Standards No. 159 — The Fair Value Option for Financial Assets and Financial Liabilities (SFAS 159). The Statement provides companies an option to report certain financial assets and 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after November 15, 2007. The Company is evaluating the impact this new standard will have on its financial position and results of operations.</w:t>
      </w:r>
    </w:p>
    <w:p>
      <w:pPr>
        <w:spacing w:after="0" w:line="162"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DenLite</w:t>
      </w:r>
    </w:p>
    <w:p>
      <w:pPr>
        <w:spacing w:after="0" w:line="185" w:lineRule="exact"/>
        <w:rPr>
          <w:sz w:val="20"/>
          <w:szCs w:val="20"/>
          <w:color w:val="auto"/>
        </w:rPr>
      </w:pPr>
    </w:p>
    <w:p>
      <w:pPr>
        <w:ind w:left="340" w:right="319"/>
        <w:spacing w:after="0" w:line="264" w:lineRule="auto"/>
        <w:rPr>
          <w:sz w:val="20"/>
          <w:szCs w:val="20"/>
          <w:color w:val="auto"/>
        </w:rPr>
      </w:pPr>
      <w:r>
        <w:rPr>
          <w:rFonts w:ascii="Arial" w:cs="Arial" w:eastAsia="Arial" w:hAnsi="Arial"/>
          <w:sz w:val="18"/>
          <w:szCs w:val="18"/>
          <w:color w:val="auto"/>
        </w:rPr>
        <w:t>On January 3, 2007, the Company’s subsidiary Miltex, Inc. acquired the DenLite product line from Welch Allyn in an asset purchase for $2.2 million in cash paid at closing and $35,000 of acquisition-related expenses. This transaction was treated as a business combination. DenLite is a lighted mouth mirror used in dental procedures.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fair value of the assets acquired and liabilities assumed (in thousand):</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351"/>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Wtd. Avg. Life</w:t>
            </w:r>
          </w:p>
        </w:tc>
      </w:tr>
      <w:tr>
        <w:trPr>
          <w:trHeight w:val="142"/>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Trademark</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w:t>
            </w:r>
          </w:p>
        </w:tc>
        <w:tc>
          <w:tcPr>
            <w:tcW w:w="4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20 years</w:t>
            </w: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Patents</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358"/>
        </w:trPr>
        <w:tc>
          <w:tcPr>
            <w:tcW w:w="7100" w:type="dxa"/>
            <w:vAlign w:val="bottom"/>
          </w:tcPr>
          <w:p>
            <w:pPr>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359"/>
        <w:spacing w:after="0" w:line="342" w:lineRule="auto"/>
        <w:rPr>
          <w:sz w:val="20"/>
          <w:szCs w:val="20"/>
          <w:color w:val="auto"/>
        </w:rPr>
      </w:pPr>
      <w:r>
        <w:rPr>
          <w:rFonts w:ascii="Arial" w:cs="Arial" w:eastAsia="Arial" w:hAnsi="Arial"/>
          <w:sz w:val="16"/>
          <w:szCs w:val="16"/>
          <w:color w:val="auto"/>
        </w:rPr>
        <w:t>Management determined the preliminary fair value of assets acquired during the first quarter 2007. Certain elements of the purchase price allocation are considered preliminary, particularly as it relates to the final valuation of certain identifiable intangible assets.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Radionics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March 3, 2006, the Company acquired the assets of the Radionics Division of Tyco Healthcare Group, L.P. for approximately</w:t>
      </w:r>
    </w:p>
    <w:p>
      <w:pPr>
        <w:spacing w:after="0" w:line="35" w:lineRule="exact"/>
        <w:rPr>
          <w:sz w:val="20"/>
          <w:szCs w:val="20"/>
          <w:color w:val="auto"/>
        </w:rPr>
      </w:pPr>
    </w:p>
    <w:p>
      <w:pPr>
        <w:ind w:left="340" w:right="259"/>
        <w:spacing w:after="0" w:line="253" w:lineRule="auto"/>
        <w:rPr>
          <w:sz w:val="20"/>
          <w:szCs w:val="20"/>
          <w:color w:val="auto"/>
        </w:rPr>
      </w:pPr>
      <w:r>
        <w:rPr>
          <w:rFonts w:ascii="Arial" w:cs="Arial" w:eastAsia="Arial" w:hAnsi="Arial"/>
          <w:sz w:val="18"/>
          <w:szCs w:val="18"/>
          <w:color w:val="auto"/>
        </w:rPr>
        <w:t>$74.5 million in cash paid at closing, subject to certain adjustments, and $3.2 million of acquisition-related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w:t>
      </w:r>
      <w:r>
        <w:rPr>
          <w:rFonts w:ascii="Arial" w:cs="Arial" w:eastAsia="Arial" w:hAnsi="Arial"/>
          <w:sz w:val="15"/>
          <w:szCs w:val="15"/>
          <w:color w:val="auto"/>
        </w:rPr>
        <w:t>®</w:t>
      </w:r>
      <w:r>
        <w:rPr>
          <w:rFonts w:ascii="Arial" w:cs="Arial" w:eastAsia="Arial" w:hAnsi="Arial"/>
          <w:sz w:val="18"/>
          <w:szCs w:val="18"/>
          <w:color w:val="auto"/>
        </w:rPr>
        <w:t xml:space="preserve"> ultrasonic surgical aspiration system, the CRW</w:t>
      </w:r>
      <w:r>
        <w:rPr>
          <w:rFonts w:ascii="Arial" w:cs="Arial" w:eastAsia="Arial" w:hAnsi="Arial"/>
          <w:sz w:val="15"/>
          <w:szCs w:val="15"/>
          <w:color w:val="auto"/>
        </w:rPr>
        <w:t>®</w:t>
      </w:r>
      <w:r>
        <w:rPr>
          <w:rFonts w:ascii="Arial" w:cs="Arial" w:eastAsia="Arial" w:hAnsi="Arial"/>
          <w:sz w:val="18"/>
          <w:szCs w:val="18"/>
          <w:color w:val="auto"/>
        </w:rPr>
        <w:t xml:space="preserve"> stereotactic system, the XKnife</w:t>
      </w:r>
      <w:r>
        <w:rPr>
          <w:rFonts w:ascii="Arial" w:cs="Arial" w:eastAsia="Arial" w:hAnsi="Arial"/>
          <w:sz w:val="15"/>
          <w:szCs w:val="15"/>
          <w:color w:val="auto"/>
        </w:rPr>
        <w:t>®</w:t>
      </w:r>
      <w:r>
        <w:rPr>
          <w:rFonts w:ascii="Arial" w:cs="Arial" w:eastAsia="Arial" w:hAnsi="Arial"/>
          <w:sz w:val="18"/>
          <w:szCs w:val="18"/>
          <w:color w:val="auto"/>
        </w:rPr>
        <w:t xml:space="preserve"> stereotactic radiosurgery system, and the OmniSight</w:t>
      </w:r>
      <w:r>
        <w:rPr>
          <w:rFonts w:ascii="Arial" w:cs="Arial" w:eastAsia="Arial" w:hAnsi="Arial"/>
          <w:sz w:val="15"/>
          <w:szCs w:val="15"/>
          <w:color w:val="auto"/>
        </w:rPr>
        <w:t>®</w:t>
      </w:r>
      <w:r>
        <w:rPr>
          <w:rFonts w:ascii="Arial" w:cs="Arial" w:eastAsia="Arial" w:hAnsi="Arial"/>
          <w:sz w:val="18"/>
          <w:szCs w:val="18"/>
          <w:color w:val="auto"/>
        </w:rPr>
        <w:t xml:space="preserve"> EXcel image-guided surgery system.</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Miltex</w:t>
      </w:r>
    </w:p>
    <w:p>
      <w:pPr>
        <w:spacing w:after="0" w:line="185" w:lineRule="exact"/>
        <w:rPr>
          <w:sz w:val="20"/>
          <w:szCs w:val="20"/>
          <w:color w:val="auto"/>
        </w:rPr>
      </w:pPr>
    </w:p>
    <w:p>
      <w:pPr>
        <w:ind w:left="340" w:right="279"/>
        <w:spacing w:after="0" w:line="255" w:lineRule="auto"/>
        <w:rPr>
          <w:sz w:val="20"/>
          <w:szCs w:val="20"/>
          <w:color w:val="auto"/>
        </w:rPr>
      </w:pPr>
      <w:r>
        <w:rPr>
          <w:rFonts w:ascii="Arial" w:cs="Arial" w:eastAsia="Arial" w:hAnsi="Arial"/>
          <w:sz w:val="18"/>
          <w:szCs w:val="18"/>
          <w:color w:val="auto"/>
        </w:rPr>
        <w:t>On May 12, 2006, we acquired all of the outstanding capital stock of Miltex Holdings, Inc. (“Miltex”) for $102.7 million in cash paid at closing, subject to certain adjustments, and $0.7 million of transaction related costs. Miltex, based in York, Pennsylvania, is a leading provider of surgical and dental hand instruments to alternate site facilities, which includes physician and dental offices and ambulatory surgery care sectors. Miltex sells products under the Miltex</w:t>
      </w:r>
      <w:r>
        <w:rPr>
          <w:rFonts w:ascii="Arial" w:cs="Arial" w:eastAsia="Arial" w:hAnsi="Arial"/>
          <w:sz w:val="15"/>
          <w:szCs w:val="15"/>
          <w:color w:val="auto"/>
        </w:rPr>
        <w:t>®</w:t>
      </w:r>
      <w:r>
        <w:rPr>
          <w:rFonts w:ascii="Arial" w:cs="Arial" w:eastAsia="Arial" w:hAnsi="Arial"/>
          <w:sz w:val="18"/>
          <w:szCs w:val="18"/>
          <w:color w:val="auto"/>
        </w:rPr>
        <w:t>, Meisterhand</w:t>
      </w:r>
      <w:r>
        <w:rPr>
          <w:rFonts w:ascii="Arial" w:cs="Arial" w:eastAsia="Arial" w:hAnsi="Arial"/>
          <w:sz w:val="15"/>
          <w:szCs w:val="15"/>
          <w:color w:val="auto"/>
        </w:rPr>
        <w:t>®</w:t>
      </w:r>
      <w:r>
        <w:rPr>
          <w:rFonts w:ascii="Arial" w:cs="Arial" w:eastAsia="Arial" w:hAnsi="Arial"/>
          <w:sz w:val="18"/>
          <w:szCs w:val="18"/>
          <w:color w:val="auto"/>
        </w:rPr>
        <w:t>, Vantage</w:t>
      </w:r>
      <w:r>
        <w:rPr>
          <w:rFonts w:ascii="Arial" w:cs="Arial" w:eastAsia="Arial" w:hAnsi="Arial"/>
          <w:sz w:val="15"/>
          <w:szCs w:val="15"/>
          <w:color w:val="auto"/>
        </w:rPr>
        <w:t>®</w:t>
      </w:r>
      <w:r>
        <w:rPr>
          <w:rFonts w:ascii="Arial" w:cs="Arial" w:eastAsia="Arial" w:hAnsi="Arial"/>
          <w:sz w:val="18"/>
          <w:szCs w:val="18"/>
          <w:color w:val="auto"/>
        </w:rPr>
        <w:t>, Moyco</w:t>
      </w:r>
      <w:r>
        <w:rPr>
          <w:rFonts w:ascii="Arial" w:cs="Arial" w:eastAsia="Arial" w:hAnsi="Arial"/>
          <w:sz w:val="15"/>
          <w:szCs w:val="15"/>
          <w:color w:val="auto"/>
        </w:rPr>
        <w:t>®</w:t>
      </w:r>
      <w:r>
        <w:rPr>
          <w:rFonts w:ascii="Arial" w:cs="Arial" w:eastAsia="Arial" w:hAnsi="Arial"/>
          <w:sz w:val="18"/>
          <w:szCs w:val="18"/>
          <w:color w:val="auto"/>
        </w:rPr>
        <w:t>, Union Broach</w:t>
      </w:r>
      <w:r>
        <w:rPr>
          <w:rFonts w:ascii="Arial" w:cs="Arial" w:eastAsia="Arial" w:hAnsi="Arial"/>
          <w:sz w:val="15"/>
          <w:szCs w:val="15"/>
          <w:color w:val="auto"/>
        </w:rPr>
        <w:t>®</w:t>
      </w:r>
      <w:r>
        <w:rPr>
          <w:rFonts w:ascii="Arial" w:cs="Arial" w:eastAsia="Arial" w:hAnsi="Arial"/>
          <w:sz w:val="18"/>
          <w:szCs w:val="18"/>
          <w:color w:val="auto"/>
        </w:rPr>
        <w:t>, and Thompson</w:t>
      </w:r>
      <w:r>
        <w:rPr>
          <w:rFonts w:ascii="Arial" w:cs="Arial" w:eastAsia="Arial" w:hAnsi="Arial"/>
          <w:sz w:val="15"/>
          <w:szCs w:val="15"/>
          <w:color w:val="auto"/>
        </w:rPr>
        <w:t>®</w:t>
      </w:r>
      <w:r>
        <w:rPr>
          <w:rFonts w:ascii="Arial" w:cs="Arial" w:eastAsia="Arial" w:hAnsi="Arial"/>
          <w:sz w:val="18"/>
          <w:szCs w:val="18"/>
          <w:color w:val="auto"/>
        </w:rPr>
        <w:t xml:space="preserve">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Canada Microsurgical</w:t>
      </w:r>
    </w:p>
    <w:p>
      <w:pPr>
        <w:spacing w:after="0" w:line="185" w:lineRule="exact"/>
        <w:rPr>
          <w:sz w:val="20"/>
          <w:szCs w:val="20"/>
          <w:color w:val="auto"/>
        </w:rPr>
      </w:pPr>
    </w:p>
    <w:p>
      <w:pPr>
        <w:ind w:left="340" w:right="599"/>
        <w:spacing w:after="0" w:line="291" w:lineRule="auto"/>
        <w:rPr>
          <w:sz w:val="20"/>
          <w:szCs w:val="20"/>
          <w:color w:val="auto"/>
        </w:rPr>
      </w:pPr>
      <w:r>
        <w:rPr>
          <w:rFonts w:ascii="Arial" w:cs="Arial" w:eastAsia="Arial" w:hAnsi="Arial"/>
          <w:sz w:val="16"/>
          <w:szCs w:val="16"/>
          <w:color w:val="auto"/>
        </w:rPr>
        <w:t>On July 5, 2006, we acquired a direct sales force in Canada through the acquisition of our longstanding distributor, Canada Microsurgical Ltd. Canada Microsurgical has eight sales representatives covering each province in Canada. We paid $5.8 million</w:t>
      </w:r>
    </w:p>
    <w:p>
      <w:pPr>
        <w:ind w:left="340" w:right="359"/>
        <w:spacing w:after="0" w:line="323" w:lineRule="auto"/>
        <w:rPr>
          <w:sz w:val="20"/>
          <w:szCs w:val="20"/>
          <w:color w:val="auto"/>
        </w:rPr>
      </w:pPr>
      <w:r>
        <w:rPr>
          <w:rFonts w:ascii="Arial" w:cs="Arial" w:eastAsia="Arial" w:hAnsi="Arial"/>
          <w:sz w:val="16"/>
          <w:szCs w:val="16"/>
          <w:color w:val="auto"/>
        </w:rPr>
        <w:t>(6.4 million Canadian dollars) for Canada Microsurgical at closing and $0.1 million of transaction related costs. In addition, we may pay up to an additional 2.1 million Canadian dollars over the next three years, depending on the performance of the business.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KMI</w:t>
      </w:r>
    </w:p>
    <w:p>
      <w:pPr>
        <w:sectPr>
          <w:pgSz w:w="11900" w:h="16874" w:orient="portrait"/>
          <w:cols w:equalWidth="0" w:num="1">
            <w:col w:w="10219"/>
          </w:cols>
          <w:pgMar w:left="240" w:top="419" w:right="1440" w:bottom="0" w:gutter="0" w:footer="0" w:header="0"/>
        </w:sectPr>
      </w:pPr>
    </w:p>
    <w:bookmarkStart w:id="8" w:name="page9"/>
    <w:bookmarkEnd w:id="8"/>
    <w:p>
      <w:pPr>
        <w:ind w:right="179"/>
        <w:spacing w:after="0" w:line="255" w:lineRule="auto"/>
        <w:rPr>
          <w:sz w:val="20"/>
          <w:szCs w:val="20"/>
          <w:color w:val="auto"/>
        </w:rPr>
      </w:pPr>
      <w:r>
        <w:rPr>
          <w:rFonts w:ascii="Arial" w:cs="Arial" w:eastAsia="Arial" w:hAnsi="Arial"/>
          <w:sz w:val="18"/>
          <w:szCs w:val="18"/>
          <w:color w:val="auto"/>
        </w:rPr>
        <w:t>On July 31, 2006 we acquired the shares of Kinetikos Medical, Inc. (“KMI”) for $39.5 million in cash, subject to certain adjustments, including future payments based on the performance of the KMI business after the acquisition.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59"/>
        <w:spacing w:after="0" w:line="291"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months ended March 31, 2007 and 2006 as if the acquisitions completed by the Company during 2006 and 2007 had been completed as of the beginning of 2006. The pro forma 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in each year. No effect has been given to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vMerge w:val="restart"/>
          </w:tcPr>
          <w:p>
            <w:pPr>
              <w:spacing w:after="0"/>
              <w:rPr>
                <w:sz w:val="20"/>
                <w:szCs w:val="20"/>
                <w:color w:val="auto"/>
              </w:rPr>
            </w:pPr>
            <w:r>
              <w:rPr>
                <w:rFonts w:ascii="Arial" w:cs="Arial" w:eastAsia="Arial" w:hAnsi="Arial"/>
                <w:sz w:val="18"/>
                <w:szCs w:val="18"/>
                <w:color w:val="auto"/>
              </w:rPr>
              <w:t>(in thousands, except per share amounts)</w:t>
            </w: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80" w:type="dxa"/>
            <w:vAlign w:val="bottom"/>
            <w:gridSpan w:val="8"/>
          </w:tcPr>
          <w:p>
            <w:pPr>
              <w:ind w:left="80"/>
              <w:spacing w:after="0"/>
              <w:rPr>
                <w:sz w:val="20"/>
                <w:szCs w:val="20"/>
                <w:color w:val="auto"/>
              </w:rPr>
            </w:pPr>
            <w:r>
              <w:rPr>
                <w:rFonts w:ascii="Arial" w:cs="Arial" w:eastAsia="Arial" w:hAnsi="Arial"/>
                <w:sz w:val="18"/>
                <w:szCs w:val="18"/>
                <w:color w:val="auto"/>
                <w:w w:val="97"/>
              </w:rPr>
              <w:t>Three Months Ended March 31,</w:t>
            </w:r>
          </w:p>
        </w:tc>
        <w:tc>
          <w:tcPr>
            <w:tcW w:w="0" w:type="dxa"/>
            <w:vAlign w:val="bottom"/>
          </w:tcPr>
          <w:p>
            <w:pPr>
              <w:spacing w:after="0"/>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123,032</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107,309</w:t>
            </w:r>
          </w:p>
        </w:tc>
        <w:tc>
          <w:tcPr>
            <w:tcW w:w="0" w:type="dxa"/>
            <w:vAlign w:val="bottom"/>
          </w:tcPr>
          <w:p>
            <w:pPr>
              <w:spacing w:after="0"/>
              <w:rPr>
                <w:sz w:val="1"/>
                <w:szCs w:val="1"/>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9,074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Arial" w:cs="Arial" w:eastAsia="Arial" w:hAnsi="Arial"/>
                <w:sz w:val="18"/>
                <w:szCs w:val="18"/>
                <w:color w:val="auto"/>
              </w:rPr>
              <w:t>Basic</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0.32</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2"/>
        </w:trPr>
        <w:tc>
          <w:tcPr>
            <w:tcW w:w="5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0.30</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405"/>
        </w:trPr>
        <w:tc>
          <w:tcPr>
            <w:tcW w:w="564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40" w:type="dxa"/>
            <w:vAlign w:val="bottom"/>
          </w:tcPr>
          <w:p>
            <w:pPr>
              <w:spacing w:after="0"/>
              <w:rPr>
                <w:sz w:val="20"/>
                <w:szCs w:val="20"/>
                <w:color w:val="auto"/>
              </w:rPr>
            </w:pPr>
            <w:r>
              <w:rPr>
                <w:rFonts w:ascii="Arial" w:cs="Arial" w:eastAsia="Arial" w:hAnsi="Arial"/>
                <w:sz w:val="18"/>
                <w:szCs w:val="18"/>
                <w:color w:val="auto"/>
              </w:rPr>
              <w:t>Inventories, net consisted of the following (in thousands):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March 31,</w:t>
            </w:r>
          </w:p>
        </w:tc>
        <w:tc>
          <w:tcPr>
            <w:tcW w:w="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73,318</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74,324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Work-in process</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16,245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21,663</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Less: reserves</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(15,635)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95,591</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ectPr>
          <w:pgSz w:w="11900" w:h="16838" w:orient="portrait"/>
          <w:cols w:equalWidth="0" w:num="1">
            <w:col w:w="10219"/>
          </w:cols>
          <w:pgMar w:left="240" w:top="419" w:right="1440" w:bottom="0" w:gutter="0" w:footer="0" w:header="0"/>
        </w:sect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for the three months ended March 31, 2007, were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DenLite acquisition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Miltex adjustment (primarily relates to the adoption of FIN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Foreign currency translation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the Company’s identifiable intangible assets were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9" w:hanging="479"/>
        <w:spacing w:after="0"/>
        <w:tabs>
          <w:tab w:leader="none" w:pos="479" w:val="left"/>
        </w:tabs>
        <w:numPr>
          <w:ilvl w:val="0"/>
          <w:numId w:val="6"/>
        </w:numPr>
        <w:rPr>
          <w:rFonts w:ascii="Arial" w:cs="Arial" w:eastAsia="Arial" w:hAnsi="Arial"/>
          <w:sz w:val="16"/>
          <w:szCs w:val="16"/>
          <w:color w:val="auto"/>
        </w:rPr>
      </w:pPr>
      <w:r>
        <w:rPr>
          <w:rFonts w:ascii="Arial" w:cs="Arial" w:eastAsia="Arial" w:hAnsi="Arial"/>
          <w:sz w:val="16"/>
          <w:szCs w:val="16"/>
          <w:color w:val="auto"/>
        </w:rPr>
        <w:t>162,414</w:t>
      </w:r>
    </w:p>
    <w:p>
      <w:pPr>
        <w:spacing w:after="0" w:line="46" w:lineRule="exact"/>
        <w:rPr>
          <w:rFonts w:ascii="Arial" w:cs="Arial" w:eastAsia="Arial" w:hAnsi="Arial"/>
          <w:sz w:val="16"/>
          <w:szCs w:val="16"/>
          <w:color w:val="auto"/>
        </w:rPr>
      </w:pPr>
    </w:p>
    <w:p>
      <w:pPr>
        <w:ind w:left="799"/>
        <w:spacing w:after="0"/>
        <w:rPr>
          <w:rFonts w:ascii="Arial" w:cs="Arial" w:eastAsia="Arial" w:hAnsi="Arial"/>
          <w:sz w:val="16"/>
          <w:szCs w:val="16"/>
          <w:color w:val="auto"/>
        </w:rPr>
      </w:pPr>
      <w:r>
        <w:rPr>
          <w:rFonts w:ascii="Arial" w:cs="Arial" w:eastAsia="Arial" w:hAnsi="Arial"/>
          <w:sz w:val="15"/>
          <w:szCs w:val="15"/>
          <w:color w:val="auto"/>
        </w:rPr>
        <w:t>207</w:t>
      </w:r>
    </w:p>
    <w:p>
      <w:pPr>
        <w:spacing w:after="0" w:line="43" w:lineRule="exact"/>
        <w:rPr>
          <w:rFonts w:ascii="Arial" w:cs="Arial" w:eastAsia="Arial" w:hAnsi="Arial"/>
          <w:sz w:val="16"/>
          <w:szCs w:val="16"/>
          <w:color w:val="auto"/>
        </w:rPr>
      </w:pPr>
    </w:p>
    <w:p>
      <w:pPr>
        <w:ind w:left="799"/>
        <w:spacing w:after="0"/>
        <w:rPr>
          <w:rFonts w:ascii="Arial" w:cs="Arial" w:eastAsia="Arial" w:hAnsi="Arial"/>
          <w:sz w:val="16"/>
          <w:szCs w:val="16"/>
          <w:color w:val="auto"/>
        </w:rPr>
      </w:pPr>
      <w:r>
        <w:rPr>
          <w:rFonts w:ascii="Arial" w:cs="Arial" w:eastAsia="Arial" w:hAnsi="Arial"/>
          <w:sz w:val="15"/>
          <w:szCs w:val="15"/>
          <w:color w:val="auto"/>
        </w:rPr>
        <w:t>425</w:t>
      </w:r>
    </w:p>
    <w:p>
      <w:pPr>
        <w:spacing w:after="0" w:line="43" w:lineRule="exact"/>
        <w:rPr>
          <w:rFonts w:ascii="Arial" w:cs="Arial" w:eastAsia="Arial" w:hAnsi="Arial"/>
          <w:sz w:val="16"/>
          <w:szCs w:val="16"/>
          <w:color w:val="auto"/>
        </w:rPr>
      </w:pPr>
    </w:p>
    <w:p>
      <w:pPr>
        <w:ind w:left="799"/>
        <w:spacing w:after="0"/>
        <w:rPr>
          <w:rFonts w:ascii="Arial" w:cs="Arial" w:eastAsia="Arial" w:hAnsi="Arial"/>
          <w:sz w:val="16"/>
          <w:szCs w:val="16"/>
          <w:color w:val="auto"/>
        </w:rPr>
      </w:pPr>
      <w:r>
        <w:rPr>
          <w:rFonts w:ascii="Arial" w:cs="Arial" w:eastAsia="Arial" w:hAnsi="Arial"/>
          <w:sz w:val="15"/>
          <w:szCs w:val="15"/>
          <w:color w:val="auto"/>
        </w:rPr>
        <w:t>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77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71" w:lineRule="exact"/>
        <w:rPr>
          <w:sz w:val="20"/>
          <w:szCs w:val="20"/>
          <w:color w:val="auto"/>
        </w:rPr>
      </w:pPr>
    </w:p>
    <w:p>
      <w:pPr>
        <w:ind w:left="479" w:hanging="479"/>
        <w:spacing w:after="0"/>
        <w:tabs>
          <w:tab w:leader="none" w:pos="479" w:val="left"/>
        </w:tabs>
        <w:numPr>
          <w:ilvl w:val="0"/>
          <w:numId w:val="7"/>
        </w:numPr>
        <w:rPr>
          <w:rFonts w:ascii="Arial" w:cs="Arial" w:eastAsia="Arial" w:hAnsi="Arial"/>
          <w:sz w:val="16"/>
          <w:szCs w:val="16"/>
          <w:color w:val="auto"/>
        </w:rPr>
      </w:pPr>
      <w:r>
        <w:rPr>
          <w:rFonts w:ascii="Arial" w:cs="Arial" w:eastAsia="Arial" w:hAnsi="Arial"/>
          <w:sz w:val="16"/>
          <w:szCs w:val="16"/>
          <w:color w:val="auto"/>
        </w:rPr>
        <w:t>163,719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77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677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657" w:lineRule="exact"/>
        <w:rPr>
          <w:sz w:val="20"/>
          <w:szCs w:val="20"/>
          <w:color w:val="auto"/>
        </w:rPr>
      </w:pPr>
    </w:p>
    <w:p>
      <w:pPr>
        <w:sectPr>
          <w:pgSz w:w="11900" w:h="16838" w:orient="portrait"/>
          <w:cols w:equalWidth="0" w:num="2">
            <w:col w:w="8161" w:space="720"/>
            <w:col w:w="1338"/>
          </w:cols>
          <w:pgMar w:left="240" w:top="419" w:right="1440" w:bottom="0" w:gutter="0" w:footer="0" w:header="0"/>
          <w:type w:val="continuous"/>
        </w:sectPr>
      </w:pPr>
    </w:p>
    <w:p>
      <w:pPr>
        <w:spacing w:after="0" w:line="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20"/>
                <w:szCs w:val="20"/>
                <w:color w:val="auto"/>
              </w:rPr>
            </w:pPr>
          </w:p>
        </w:tc>
        <w:tc>
          <w:tcPr>
            <w:tcW w:w="1560" w:type="dxa"/>
            <w:vAlign w:val="bottom"/>
            <w:gridSpan w:val="4"/>
          </w:tcPr>
          <w:p>
            <w:pPr>
              <w:ind w:left="380"/>
              <w:spacing w:after="0"/>
              <w:rPr>
                <w:sz w:val="20"/>
                <w:szCs w:val="20"/>
                <w:color w:val="auto"/>
              </w:rPr>
            </w:pPr>
            <w:r>
              <w:rPr>
                <w:rFonts w:ascii="Arial" w:cs="Arial" w:eastAsia="Arial" w:hAnsi="Arial"/>
                <w:sz w:val="18"/>
                <w:szCs w:val="18"/>
                <w:color w:val="auto"/>
                <w:w w:val="92"/>
              </w:rPr>
              <w:t>March 31, 2007</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color w:val="auto"/>
              </w:rPr>
              <w:t>December 31, 2006</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9"/>
              </w:rPr>
              <w:t>Accumulated</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rPr>
              <w:t>Life</w:t>
            </w:r>
          </w:p>
        </w:tc>
        <w:tc>
          <w:tcPr>
            <w:tcW w:w="200" w:type="dxa"/>
            <w:vAlign w:val="bottom"/>
          </w:tcPr>
          <w:p>
            <w:pPr>
              <w:spacing w:after="0"/>
              <w:rPr>
                <w:sz w:val="20"/>
                <w:szCs w:val="20"/>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Cost</w:t>
            </w: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Cost</w:t>
            </w:r>
          </w:p>
        </w:tc>
        <w:tc>
          <w:tcPr>
            <w:tcW w:w="106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13 years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35,838</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12 years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(12,655)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67,872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14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Trademarks/brand names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34 years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(4,390))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35,350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5 years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30 years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29,300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15 years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210,000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(32,533)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208,525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(28,809)</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(32,533)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(28,809)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177,467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179,716</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Annual amortization expense is expected to approximate $14.7 million in 2007, $14.4 million in 2008, $12.9 million in 2009,</w:t>
      </w:r>
    </w:p>
    <w:p>
      <w:pPr>
        <w:spacing w:after="0" w:line="35" w:lineRule="exact"/>
        <w:rPr>
          <w:sz w:val="20"/>
          <w:szCs w:val="20"/>
          <w:color w:val="auto"/>
        </w:rPr>
      </w:pPr>
    </w:p>
    <w:p>
      <w:pPr>
        <w:ind w:left="340" w:right="259"/>
        <w:spacing w:after="0" w:line="261" w:lineRule="auto"/>
        <w:rPr>
          <w:sz w:val="20"/>
          <w:szCs w:val="20"/>
          <w:color w:val="auto"/>
        </w:rPr>
      </w:pPr>
      <w:r>
        <w:rPr>
          <w:rFonts w:ascii="Arial" w:cs="Arial" w:eastAsia="Arial" w:hAnsi="Arial"/>
          <w:sz w:val="18"/>
          <w:szCs w:val="18"/>
          <w:color w:val="auto"/>
        </w:rPr>
        <w:t>$11.1 million in 2010, and $11.0 million in 2011. Identifiable intangible assets are initially recorded at fair market value at the time of acquisition generally using an income or cost approach.</w:t>
      </w:r>
    </w:p>
    <w:p>
      <w:pPr>
        <w:spacing w:after="0" w:line="153"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189" w:lineRule="exact"/>
        <w:rPr>
          <w:sz w:val="20"/>
          <w:szCs w:val="20"/>
          <w:color w:val="auto"/>
        </w:rPr>
      </w:pPr>
    </w:p>
    <w:p>
      <w:pPr>
        <w:ind w:left="340" w:right="419"/>
        <w:spacing w:after="0" w:line="286" w:lineRule="auto"/>
        <w:rPr>
          <w:sz w:val="20"/>
          <w:szCs w:val="20"/>
          <w:color w:val="auto"/>
        </w:rPr>
      </w:pPr>
      <w:r>
        <w:rPr>
          <w:rFonts w:ascii="Arial" w:cs="Arial" w:eastAsia="Arial" w:hAnsi="Arial"/>
          <w:sz w:val="17"/>
          <w:szCs w:val="17"/>
          <w:color w:val="auto"/>
        </w:rPr>
        <w:t>In October 2006, we announced plans to restructure our French sales and marketing organization, which includes elimination of a number of positions at our Biot, France facility, and closings of our facility in Nantes, France. These activities will be transferred to the sales and marketing headquarters in Lyon, France and should be completed in 2007.</w:t>
      </w:r>
    </w:p>
    <w:p>
      <w:pPr>
        <w:sectPr>
          <w:pgSz w:w="11900" w:h="16838" w:orient="portrait"/>
          <w:cols w:equalWidth="0" w:num="1">
            <w:col w:w="10219"/>
          </w:cols>
          <w:pgMar w:left="240" w:top="419" w:right="1440" w:bottom="0" w:gutter="0" w:footer="0" w:header="0"/>
          <w:type w:val="continuous"/>
        </w:sectPr>
      </w:pPr>
    </w:p>
    <w:bookmarkStart w:id="10" w:name="page11"/>
    <w:bookmarkEnd w:id="10"/>
    <w:p>
      <w:pPr>
        <w:ind w:left="39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these restructuring activities, the Company has recorded the following charges during the three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2007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Research</w:t>
            </w: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Selling</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Cost of</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General and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Sales</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Development</w:t>
            </w: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Administrative</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Three months ended March 31, 2007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restructuring accrual activity recorded during 2007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Employee</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6"/>
              </w:rPr>
              <w:t>Facility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Termination</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Exit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Costs</w:t>
            </w:r>
          </w:p>
        </w:tc>
        <w:tc>
          <w:tcPr>
            <w:tcW w:w="160" w:type="dxa"/>
            <w:vAlign w:val="bottom"/>
          </w:tcPr>
          <w:p>
            <w:pPr>
              <w:spacing w:after="0"/>
              <w:rPr>
                <w:sz w:val="20"/>
                <w:szCs w:val="20"/>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Costs</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Effects of Foreign Exchange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60" w:type="dxa"/>
            <w:vAlign w:val="bottom"/>
          </w:tcPr>
          <w:p>
            <w:pPr>
              <w:spacing w:after="0"/>
              <w:rPr>
                <w:sz w:val="20"/>
                <w:szCs w:val="20"/>
                <w:color w:val="auto"/>
              </w:rPr>
            </w:pPr>
            <w:r>
              <w:rPr>
                <w:rFonts w:ascii="Arial" w:cs="Arial" w:eastAsia="Arial" w:hAnsi="Arial"/>
                <w:sz w:val="18"/>
                <w:szCs w:val="18"/>
                <w:color w:val="auto"/>
              </w:rPr>
              <w:t>Balance at March 31, 2007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1,056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w w:val="94"/>
              </w:rPr>
              <w:t>The Company expects to pay all of the remaining costs by the end of 2007.</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As of March 31, 2007,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or the 1996 Plan.</w:t>
      </w:r>
    </w:p>
    <w:p>
      <w:pPr>
        <w:spacing w:after="0" w:line="153" w:lineRule="exact"/>
        <w:rPr>
          <w:sz w:val="20"/>
          <w:szCs w:val="20"/>
          <w:color w:val="auto"/>
        </w:rPr>
      </w:pPr>
    </w:p>
    <w:p>
      <w:pPr>
        <w:jc w:val="both"/>
        <w:ind w:left="340" w:right="259"/>
        <w:spacing w:after="0" w:line="286" w:lineRule="auto"/>
        <w:rPr>
          <w:sz w:val="20"/>
          <w:szCs w:val="20"/>
          <w:color w:val="auto"/>
        </w:rPr>
      </w:pPr>
      <w:r>
        <w:rPr>
          <w:rFonts w:ascii="Arial" w:cs="Arial" w:eastAsia="Arial" w:hAnsi="Arial"/>
          <w:sz w:val="17"/>
          <w:szCs w:val="17"/>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stock option activity for the three-month period ended March 31, 2007 (shares in thousands):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Wtd. Avg.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Remaining</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r>
      <w:tr>
        <w:trPr>
          <w:trHeight w:val="216"/>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Wtd. Avg.</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r>
      <w:tr>
        <w:trPr>
          <w:trHeight w:val="230"/>
        </w:trPr>
        <w:tc>
          <w:tcPr>
            <w:tcW w:w="4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Stock Options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Ex. Price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Term Years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r>
      <w:tr>
        <w:trPr>
          <w:trHeight w:val="129"/>
        </w:trPr>
        <w:tc>
          <w:tcPr>
            <w:tcW w:w="45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27.32</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33.56</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2"/>
        </w:trPr>
        <w:tc>
          <w:tcPr>
            <w:tcW w:w="45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2007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$50.5 million</w:t>
            </w: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45"/>
        </w:trPr>
        <w:tc>
          <w:tcPr>
            <w:tcW w:w="4580" w:type="dxa"/>
            <w:vAlign w:val="bottom"/>
          </w:tcPr>
          <w:p>
            <w:pPr>
              <w:spacing w:after="0"/>
              <w:rPr>
                <w:sz w:val="20"/>
                <w:szCs w:val="20"/>
                <w:color w:val="auto"/>
              </w:rPr>
            </w:pPr>
            <w:r>
              <w:rPr>
                <w:rFonts w:ascii="Arial" w:cs="Arial" w:eastAsia="Arial" w:hAnsi="Arial"/>
                <w:sz w:val="18"/>
                <w:szCs w:val="18"/>
                <w:color w:val="auto"/>
              </w:rPr>
              <w:t>Options exercisable at March 31, 2007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26.33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w w:val="98"/>
              </w:rPr>
              <w:t>$38.1 million</w:t>
            </w:r>
          </w:p>
        </w:tc>
      </w:tr>
    </w:tbl>
    <w:p>
      <w:pPr>
        <w:spacing w:after="0" w:line="161" w:lineRule="exact"/>
        <w:rPr>
          <w:sz w:val="20"/>
          <w:szCs w:val="20"/>
          <w:color w:val="auto"/>
        </w:rPr>
      </w:pPr>
    </w:p>
    <w:p>
      <w:pPr>
        <w:jc w:val="both"/>
        <w:ind w:left="340" w:right="339"/>
        <w:spacing w:after="0" w:line="286" w:lineRule="auto"/>
        <w:rPr>
          <w:sz w:val="20"/>
          <w:szCs w:val="20"/>
          <w:color w:val="auto"/>
        </w:rPr>
      </w:pPr>
      <w:r>
        <w:rPr>
          <w:rFonts w:ascii="Arial" w:cs="Arial" w:eastAsia="Arial" w:hAnsi="Arial"/>
          <w:sz w:val="17"/>
          <w:szCs w:val="17"/>
          <w:color w:val="auto"/>
        </w:rPr>
        <w:t>The intrinsic value of options exercised during the three-months ended March 31, 2007 and 2006 was $4.3 million and $4.5 million, respectively. The company did not grant stock options during the three-months ended March 31, 2007, and the weighted-average per share fair value of stock options granted during the three-months ended March 31, 2006 was $15.04.</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spacing w:after="0" w:line="308" w:lineRule="auto"/>
        <w:rPr>
          <w:sz w:val="20"/>
          <w:szCs w:val="20"/>
          <w:color w:val="auto"/>
        </w:rPr>
      </w:pPr>
      <w:r>
        <w:rPr>
          <w:rFonts w:ascii="Arial" w:cs="Arial" w:eastAsia="Arial" w:hAnsi="Arial"/>
          <w:sz w:val="17"/>
          <w:szCs w:val="17"/>
          <w:color w:val="auto"/>
        </w:rPr>
        <w:t>As of March 31, 2007, there was approximately $16.6 million of total unrecognized compensation costs related to unvested stock options. These costs are expected to be recognized over a weighted-average period of approximately 2.4 years.</w:t>
      </w:r>
    </w:p>
    <w:p>
      <w:pPr>
        <w:spacing w:after="0" w:line="120" w:lineRule="exact"/>
        <w:rPr>
          <w:sz w:val="20"/>
          <w:szCs w:val="20"/>
          <w:color w:val="auto"/>
        </w:rPr>
      </w:pPr>
    </w:p>
    <w:p>
      <w:pPr>
        <w:ind w:left="340" w:right="299"/>
        <w:spacing w:after="0" w:line="270" w:lineRule="auto"/>
        <w:rPr>
          <w:sz w:val="20"/>
          <w:szCs w:val="20"/>
          <w:color w:val="auto"/>
        </w:rPr>
      </w:pPr>
      <w:r>
        <w:rPr>
          <w:rFonts w:ascii="Arial" w:cs="Arial" w:eastAsia="Arial" w:hAnsi="Arial"/>
          <w:sz w:val="17"/>
          <w:szCs w:val="17"/>
          <w:color w:val="auto"/>
        </w:rPr>
        <w:t>The fair value of options granted prior to October 1, 2004 was calculated using the Black-Scholes model, while the fair value of options granted on or after October 1, 2004 was calculated using the binomial distribution model. Expected volatilities are based on historical volatility of the Company’s stock price with forward-looking assumptions. The expected life of stock options is estimated based on historical data on exercises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 The estimate of the forfeiture rate is based primarily upon historical experience of employee turnover. As individual grant awards become fully vested, stock-based compensation expense is adjusted to recognize actual forfeitures. The Company used the following weighted-average assumptions to calculate the fair value for stock options granted during the following periods:</w:t>
      </w:r>
    </w:p>
    <w:p>
      <w:pPr>
        <w:spacing w:after="0" w:line="17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r>
      <w:tr>
        <w:trPr>
          <w:trHeight w:val="129"/>
        </w:trPr>
        <w:tc>
          <w:tcPr>
            <w:tcW w:w="7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Expected life of option from grant date</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 years</w:t>
            </w:r>
          </w:p>
        </w:tc>
      </w:tr>
    </w:tbl>
    <w:p>
      <w:pPr>
        <w:spacing w:after="0" w:line="147" w:lineRule="exact"/>
        <w:rPr>
          <w:sz w:val="20"/>
          <w:szCs w:val="20"/>
          <w:color w:val="auto"/>
        </w:rPr>
      </w:pPr>
    </w:p>
    <w:p>
      <w:pPr>
        <w:ind w:left="340" w:right="379"/>
        <w:spacing w:after="0" w:line="277" w:lineRule="auto"/>
        <w:rPr>
          <w:sz w:val="20"/>
          <w:szCs w:val="20"/>
          <w:color w:val="auto"/>
        </w:rPr>
      </w:pPr>
      <w:r>
        <w:rPr>
          <w:rFonts w:ascii="Arial" w:cs="Arial" w:eastAsia="Arial" w:hAnsi="Arial"/>
          <w:sz w:val="18"/>
          <w:szCs w:val="18"/>
          <w:color w:val="auto"/>
        </w:rPr>
        <w:t>The Company received proceeds of $7.5 million and $5.0 million from stock option exercises for the three months ended March 31, 2007 and 2006,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awards of restricted stock, performance stock and contract stock for the three-month period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2007 (shares in thousands):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5"/>
          </w:tcPr>
          <w:p>
            <w:pPr>
              <w:jc w:val="right"/>
              <w:ind w:right="400"/>
              <w:spacing w:after="0"/>
              <w:rPr>
                <w:sz w:val="20"/>
                <w:szCs w:val="20"/>
                <w:color w:val="auto"/>
              </w:rPr>
            </w:pPr>
            <w:r>
              <w:rPr>
                <w:rFonts w:ascii="Arial" w:cs="Arial" w:eastAsia="Arial" w:hAnsi="Arial"/>
                <w:sz w:val="18"/>
                <w:szCs w:val="18"/>
                <w:color w:val="auto"/>
              </w:rPr>
              <w:t>Performance Stock and</w:t>
            </w:r>
          </w:p>
        </w:tc>
      </w:tr>
      <w:tr>
        <w:trPr>
          <w:trHeight w:val="230"/>
        </w:trPr>
        <w:tc>
          <w:tcPr>
            <w:tcW w:w="4580" w:type="dxa"/>
            <w:vAlign w:val="bottom"/>
          </w:tcPr>
          <w:p>
            <w:pPr>
              <w:spacing w:after="0"/>
              <w:rPr>
                <w:sz w:val="20"/>
                <w:szCs w:val="20"/>
                <w:color w:val="auto"/>
              </w:rPr>
            </w:pPr>
          </w:p>
        </w:tc>
        <w:tc>
          <w:tcPr>
            <w:tcW w:w="2740" w:type="dxa"/>
            <w:vAlign w:val="bottom"/>
            <w:gridSpan w:val="6"/>
          </w:tcPr>
          <w:p>
            <w:pPr>
              <w:jc w:val="right"/>
              <w:ind w:right="680"/>
              <w:spacing w:after="0"/>
              <w:rPr>
                <w:sz w:val="20"/>
                <w:szCs w:val="20"/>
                <w:color w:val="auto"/>
              </w:rPr>
            </w:pPr>
            <w:r>
              <w:rPr>
                <w:rFonts w:ascii="Arial" w:cs="Arial" w:eastAsia="Arial" w:hAnsi="Arial"/>
                <w:sz w:val="18"/>
                <w:szCs w:val="18"/>
                <w:color w:val="auto"/>
              </w:rPr>
              <w:t>Restricted Stock Awards</w:t>
            </w:r>
          </w:p>
        </w:tc>
        <w:tc>
          <w:tcPr>
            <w:tcW w:w="2400" w:type="dxa"/>
            <w:vAlign w:val="bottom"/>
            <w:gridSpan w:val="5"/>
          </w:tcPr>
          <w:p>
            <w:pPr>
              <w:jc w:val="right"/>
              <w:ind w:right="420"/>
              <w:spacing w:after="0"/>
              <w:rPr>
                <w:sz w:val="20"/>
                <w:szCs w:val="20"/>
                <w:color w:val="auto"/>
              </w:rPr>
            </w:pPr>
            <w:r>
              <w:rPr>
                <w:rFonts w:ascii="Arial" w:cs="Arial" w:eastAsia="Arial" w:hAnsi="Arial"/>
                <w:sz w:val="18"/>
                <w:szCs w:val="18"/>
                <w:color w:val="auto"/>
              </w:rPr>
              <w:t>Contract Stock Awards</w:t>
            </w:r>
          </w:p>
        </w:tc>
      </w:tr>
      <w:tr>
        <w:trPr>
          <w:trHeight w:val="195"/>
        </w:trPr>
        <w:tc>
          <w:tcPr>
            <w:tcW w:w="45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4"/>
              </w:rPr>
              <w:t>Wtd. Avg.</w:t>
            </w:r>
          </w:p>
        </w:tc>
        <w:tc>
          <w:tcPr>
            <w:tcW w:w="3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Wtd. Avg.</w:t>
            </w:r>
          </w:p>
        </w:tc>
        <w:tc>
          <w:tcPr>
            <w:tcW w:w="10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Fair Value</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Fair Value</w:t>
            </w:r>
          </w:p>
        </w:tc>
      </w:tr>
      <w:tr>
        <w:trPr>
          <w:trHeight w:val="230"/>
        </w:trPr>
        <w:tc>
          <w:tcPr>
            <w:tcW w:w="45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Per Share</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Per Share</w:t>
            </w:r>
          </w:p>
        </w:tc>
      </w:tr>
      <w:tr>
        <w:trPr>
          <w:trHeight w:val="129"/>
        </w:trPr>
        <w:tc>
          <w:tcPr>
            <w:tcW w:w="45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42.53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Cancellations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38.74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42"/>
        </w:trPr>
        <w:tc>
          <w:tcPr>
            <w:tcW w:w="45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Unvested, March 31, 2007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March 31, 2007, there was approximately $9.8 million of total unrecognized compensation costs related to unvested awards. These costs are expected to be recognized over a weighted-average period of approximately 2.7 years. The Company granted 9,724 restricted stock awards with a weighted average fair value of $42.53 during the three months ended March 31, 2007.</w:t>
      </w:r>
    </w:p>
    <w:p>
      <w:pPr>
        <w:spacing w:after="0" w:line="153" w:lineRule="exact"/>
        <w:rPr>
          <w:sz w:val="20"/>
          <w:szCs w:val="20"/>
          <w:color w:val="auto"/>
        </w:rPr>
      </w:pPr>
    </w:p>
    <w:p>
      <w:pPr>
        <w:ind w:left="340" w:right="319"/>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54" w:lineRule="exact"/>
        <w:rPr>
          <w:sz w:val="20"/>
          <w:szCs w:val="20"/>
          <w:color w:val="auto"/>
        </w:rPr>
      </w:pPr>
    </w:p>
    <w:p>
      <w:pPr>
        <w:ind w:left="340" w:right="279"/>
        <w:spacing w:after="0" w:line="259"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123(R).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02"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The Company has pension plans covering certain former U.S. employees of Miltex, as well as certain employees in the UK and former employees in Germany. Net periodic benefit costs for the Company’s defined benefit pension plans included the following amounts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color w:val="auto"/>
              </w:rPr>
              <w:t>Three Months Ended</w:t>
            </w:r>
          </w:p>
        </w:tc>
      </w:tr>
      <w:tr>
        <w:trPr>
          <w:trHeight w:val="230"/>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r>
      <w:tr>
        <w:trPr>
          <w:trHeight w:val="129"/>
        </w:trPr>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r>
        <w:trPr>
          <w:trHeight w:val="142"/>
        </w:trPr>
        <w:tc>
          <w:tcPr>
            <w:tcW w:w="7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080"/>
        <w:spacing w:after="0" w:line="277" w:lineRule="auto"/>
        <w:rPr>
          <w:sz w:val="20"/>
          <w:szCs w:val="20"/>
          <w:color w:val="auto"/>
        </w:rPr>
      </w:pPr>
      <w:r>
        <w:rPr>
          <w:rFonts w:ascii="Arial" w:cs="Arial" w:eastAsia="Arial" w:hAnsi="Arial"/>
          <w:sz w:val="18"/>
          <w:szCs w:val="18"/>
          <w:color w:val="auto"/>
        </w:rPr>
        <w:t>The Company made $71,000 and $60,000 of contributions to its defined benefit pension plans during the three months ended March 31, 2007 and 2006,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8.   COMPREHENSIVE 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Comprehensive income was as follows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color w:val="auto"/>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 on available-for-sale securities, net of tax</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Reclassification adjustment for losses included in net income, net of tax</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10,619</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vMerge w:val="restart"/>
          </w:tcPr>
          <w:p>
            <w:pPr>
              <w:ind w:left="476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9.   NET INCOME PER SHARE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1"/>
              </w:rPr>
              <w:t>Basic and diluted net income per share was as follows (in thousands, except per share amounts):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color w:val="auto"/>
              </w:rPr>
              <w:t>Three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r>
      <w:tr>
        <w:trPr>
          <w:trHeight w:val="129"/>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9,074</w:t>
            </w:r>
          </w:p>
        </w:tc>
        <w:tc>
          <w:tcPr>
            <w:tcW w:w="20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8,705</w:t>
            </w:r>
          </w:p>
        </w:tc>
      </w:tr>
      <w:tr>
        <w:trPr>
          <w:trHeight w:val="135"/>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29,585</w:t>
            </w:r>
          </w:p>
        </w:tc>
      </w:tr>
      <w:tr>
        <w:trPr>
          <w:trHeight w:val="351"/>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r>
      <w:tr>
        <w:trPr>
          <w:trHeight w:val="135"/>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9,074</w:t>
            </w:r>
          </w:p>
        </w:tc>
        <w:tc>
          <w:tcPr>
            <w:tcW w:w="20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8,705</w:t>
            </w:r>
          </w:p>
        </w:tc>
      </w:tr>
      <w:tr>
        <w:trPr>
          <w:trHeight w:val="135"/>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back:</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w w:val="94"/>
              </w:rPr>
              <w:t>Interest expense and other income/(expense) related to convertible notes payable, net of tax</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813</w:t>
            </w: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28,371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29,585</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Stock options and restricted stock</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issuable upon conversion of notes payable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2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29,965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33,828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r>
    </w:tbl>
    <w:p>
      <w:pPr>
        <w:spacing w:after="0" w:line="161" w:lineRule="exact"/>
        <w:rPr>
          <w:sz w:val="20"/>
          <w:szCs w:val="20"/>
          <w:color w:val="auto"/>
        </w:rPr>
      </w:pPr>
    </w:p>
    <w:p>
      <w:pPr>
        <w:ind w:left="340" w:right="1400"/>
        <w:spacing w:after="0" w:line="264" w:lineRule="auto"/>
        <w:rPr>
          <w:sz w:val="20"/>
          <w:szCs w:val="20"/>
          <w:color w:val="auto"/>
        </w:rPr>
      </w:pPr>
      <w:r>
        <w:rPr>
          <w:rFonts w:ascii="Arial" w:cs="Arial" w:eastAsia="Arial" w:hAnsi="Arial"/>
          <w:sz w:val="18"/>
          <w:szCs w:val="18"/>
          <w:color w:val="auto"/>
        </w:rPr>
        <w:t>Options outstanding at March 31, 2007 and 2006 to acquire approximately 0.7 million shares and 1.9 million shares of common stock, respectively, were excluded from the computation of diluted net income per share for the three months ended March 31, 2007 and 2006, respectively, because their effects would be anti-dilutive.</w:t>
      </w:r>
    </w:p>
    <w:p>
      <w:pPr>
        <w:spacing w:after="0" w:line="137"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color w:val="auto"/>
        </w:rPr>
        <w:t>10.</w:t>
        <w:tab/>
        <w:t>SEGMENT AND GEOGRAPHIC INFORMATION</w:t>
      </w:r>
    </w:p>
    <w:p>
      <w:pPr>
        <w:spacing w:after="0" w:line="202" w:lineRule="exact"/>
        <w:rPr>
          <w:sz w:val="20"/>
          <w:szCs w:val="20"/>
          <w:color w:val="auto"/>
        </w:rPr>
      </w:pPr>
    </w:p>
    <w:p>
      <w:pPr>
        <w:ind w:left="340" w:right="1400"/>
        <w:spacing w:after="0" w:line="312" w:lineRule="auto"/>
        <w:rPr>
          <w:sz w:val="20"/>
          <w:szCs w:val="20"/>
          <w:color w:val="auto"/>
        </w:rPr>
      </w:pPr>
      <w:r>
        <w:rPr>
          <w:rFonts w:ascii="Arial" w:cs="Arial" w:eastAsia="Arial" w:hAnsi="Arial"/>
          <w:sz w:val="16"/>
          <w:szCs w:val="16"/>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06" w:lineRule="exact"/>
        <w:rPr>
          <w:sz w:val="20"/>
          <w:szCs w:val="20"/>
          <w:color w:val="auto"/>
        </w:rPr>
      </w:pPr>
    </w:p>
    <w:p>
      <w:pPr>
        <w:ind w:left="340" w:right="1520"/>
        <w:spacing w:after="0" w:line="277" w:lineRule="auto"/>
        <w:rPr>
          <w:sz w:val="20"/>
          <w:szCs w:val="20"/>
          <w:color w:val="auto"/>
        </w:rPr>
      </w:pPr>
      <w:r>
        <w:rPr>
          <w:rFonts w:ascii="Arial" w:cs="Arial" w:eastAsia="Arial" w:hAnsi="Arial"/>
          <w:sz w:val="18"/>
          <w:szCs w:val="18"/>
          <w:color w:val="auto"/>
        </w:rPr>
        <w:t>The Company presents its revenues in two categories: Neurosurgical and Orthopedic Implants and Medical Surgical Equipment. The Company’s revenues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color w:val="auto"/>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Neurosurgical and Orthopedic Implants</w:t>
            </w:r>
          </w:p>
        </w:tc>
        <w:tc>
          <w:tcPr>
            <w:tcW w:w="3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47,087</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36,746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Medical Surgical Equipment</w:t>
            </w: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Revenue</w:t>
            </w:r>
          </w:p>
        </w:tc>
        <w:tc>
          <w:tcPr>
            <w:tcW w:w="3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123,032</w:t>
            </w:r>
          </w:p>
        </w:tc>
        <w:tc>
          <w:tcPr>
            <w:tcW w:w="20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77,135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40" w:type="dxa"/>
            <w:vAlign w:val="bottom"/>
            <w:vMerge w:val="restart"/>
          </w:tcPr>
          <w:p>
            <w:pPr>
              <w:jc w:val="right"/>
              <w:ind w:right="211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72" w:lineRule="auto"/>
        <w:rPr>
          <w:sz w:val="20"/>
          <w:szCs w:val="20"/>
          <w:color w:val="auto"/>
        </w:rPr>
      </w:pPr>
      <w:r>
        <w:rPr>
          <w:rFonts w:ascii="Arial" w:cs="Arial" w:eastAsia="Arial" w:hAnsi="Arial"/>
          <w:sz w:val="17"/>
          <w:szCs w:val="17"/>
          <w:color w:val="auto"/>
        </w:rPr>
        <w:t>Certain of the Company’s products, including the DuraGen</w:t>
      </w:r>
      <w:r>
        <w:rPr>
          <w:rFonts w:ascii="Arial" w:cs="Arial" w:eastAsia="Arial" w:hAnsi="Arial"/>
          <w:sz w:val="14"/>
          <w:szCs w:val="14"/>
          <w:color w:val="auto"/>
        </w:rPr>
        <w:t>®</w:t>
      </w:r>
      <w:r>
        <w:rPr>
          <w:rFonts w:ascii="Arial" w:cs="Arial" w:eastAsia="Arial" w:hAnsi="Arial"/>
          <w:sz w:val="17"/>
          <w:szCs w:val="17"/>
          <w:color w:val="auto"/>
        </w:rPr>
        <w:t xml:space="preserve"> and NeuraGen™ product families and the INTEGRA</w:t>
      </w:r>
      <w:r>
        <w:rPr>
          <w:rFonts w:ascii="Arial" w:cs="Arial" w:eastAsia="Arial" w:hAnsi="Arial"/>
          <w:sz w:val="14"/>
          <w:szCs w:val="14"/>
          <w:color w:val="auto"/>
        </w:rPr>
        <w:t>®</w:t>
      </w:r>
      <w:r>
        <w:rPr>
          <w:rFonts w:ascii="Arial" w:cs="Arial" w:eastAsia="Arial" w:hAnsi="Arial"/>
          <w:sz w:val="17"/>
          <w:szCs w:val="17"/>
          <w:color w:val="auto"/>
        </w:rPr>
        <w:t xml:space="preserve">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24% and 31% of total revenues in each of the three-month periods ended March 31, 2007 and 2006,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United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States</w:t>
            </w: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Pacific</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Foreign</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129"/>
        </w:trPr>
        <w:tc>
          <w:tcPr>
            <w:tcW w:w="3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91,374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123,032</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Three months ended March 31,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57,238</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14,375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2,796</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2,726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77,135</w:t>
            </w:r>
          </w:p>
        </w:tc>
      </w:tr>
    </w:tbl>
    <w:p>
      <w:pPr>
        <w:spacing w:after="0" w:line="143"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color w:val="auto"/>
        </w:rPr>
        <w:t>11.</w:t>
        <w:tab/>
        <w:t>COMMITMENTS AND CONTINGENCIES</w:t>
      </w:r>
    </w:p>
    <w:p>
      <w:pPr>
        <w:spacing w:after="0" w:line="189" w:lineRule="exact"/>
        <w:rPr>
          <w:sz w:val="20"/>
          <w:szCs w:val="20"/>
          <w:color w:val="auto"/>
        </w:rPr>
      </w:pPr>
    </w:p>
    <w:p>
      <w:pPr>
        <w:jc w:val="both"/>
        <w:ind w:left="340" w:right="659"/>
        <w:spacing w:after="0" w:line="312" w:lineRule="auto"/>
        <w:rPr>
          <w:sz w:val="20"/>
          <w:szCs w:val="20"/>
          <w:color w:val="auto"/>
        </w:rPr>
      </w:pPr>
      <w:r>
        <w:rPr>
          <w:rFonts w:ascii="Arial" w:cs="Arial" w:eastAsia="Arial" w:hAnsi="Arial"/>
          <w:sz w:val="16"/>
          <w:szCs w:val="16"/>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20" w:lineRule="exact"/>
        <w:rPr>
          <w:sz w:val="20"/>
          <w:szCs w:val="20"/>
          <w:color w:val="auto"/>
        </w:rPr>
      </w:pPr>
    </w:p>
    <w:p>
      <w:pPr>
        <w:ind w:left="340" w:right="87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ind w:left="340" w:right="239"/>
        <w:spacing w:after="0" w:line="259" w:lineRule="auto"/>
        <w:rPr>
          <w:sz w:val="20"/>
          <w:szCs w:val="20"/>
          <w:color w:val="auto"/>
        </w:rPr>
      </w:pPr>
      <w:r>
        <w:rPr>
          <w:rFonts w:ascii="Arial" w:cs="Arial" w:eastAsia="Arial" w:hAnsi="Arial"/>
          <w:sz w:val="18"/>
          <w:szCs w:val="18"/>
          <w:color w:val="auto"/>
        </w:rPr>
        <w:t>In May 2006, Codman &amp; Shurtleff, Inc. (“Codman”),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146" w:lineRule="exact"/>
        <w:rPr>
          <w:sz w:val="20"/>
          <w:szCs w:val="20"/>
          <w:color w:val="auto"/>
        </w:rPr>
      </w:pPr>
    </w:p>
    <w:p>
      <w:pPr>
        <w:ind w:left="340" w:right="279"/>
        <w:spacing w:after="0" w:line="257" w:lineRule="auto"/>
        <w:rPr>
          <w:sz w:val="20"/>
          <w:szCs w:val="20"/>
          <w:color w:val="auto"/>
        </w:rPr>
      </w:pPr>
      <w:r>
        <w:rPr>
          <w:rFonts w:ascii="Arial" w:cs="Arial" w:eastAsia="Arial" w:hAnsi="Arial"/>
          <w:sz w:val="18"/>
          <w:szCs w:val="18"/>
          <w:color w:val="auto"/>
        </w:rPr>
        <w:t>The action seeks declaratory relief that Codman’s DURAFORM™ product does not infringe Integra’s patent and that Integra’s patent is invalid and unenforceable. Codman does not seek either damages from Integra or injunctive relief for selling the DuraGen</w:t>
      </w:r>
      <w:r>
        <w:rPr>
          <w:rFonts w:ascii="Arial" w:cs="Arial" w:eastAsia="Arial" w:hAnsi="Arial"/>
          <w:sz w:val="15"/>
          <w:szCs w:val="15"/>
          <w:color w:val="auto"/>
        </w:rPr>
        <w:t>®</w:t>
      </w:r>
      <w:r>
        <w:rPr>
          <w:rFonts w:ascii="Arial" w:cs="Arial" w:eastAsia="Arial" w:hAnsi="Arial"/>
          <w:sz w:val="18"/>
          <w:szCs w:val="18"/>
          <w:color w:val="auto"/>
        </w:rPr>
        <w:t xml:space="preserve"> Dural Graft Matrix. Integra has filed a counterclaim against Codman, alleging that Codman’s DURAFORM™ product infringes the ‘895 Patent, seeking injunctive relief preventing the sale and use of DURAFORM™, and seeking damages, including treble damages, for past infringement.</w:t>
      </w:r>
    </w:p>
    <w:p>
      <w:pPr>
        <w:spacing w:after="0" w:line="161" w:lineRule="exact"/>
        <w:rPr>
          <w:sz w:val="20"/>
          <w:szCs w:val="20"/>
          <w:color w:val="auto"/>
        </w:rPr>
      </w:pPr>
    </w:p>
    <w:p>
      <w:pPr>
        <w:ind w:left="340" w:right="419"/>
        <w:spacing w:after="0" w:line="259" w:lineRule="auto"/>
        <w:rPr>
          <w:sz w:val="20"/>
          <w:szCs w:val="20"/>
          <w:color w:val="auto"/>
        </w:rPr>
      </w:pPr>
      <w:r>
        <w:rPr>
          <w:rFonts w:ascii="Arial" w:cs="Arial" w:eastAsia="Arial" w:hAnsi="Arial"/>
          <w:sz w:val="18"/>
          <w:szCs w:val="18"/>
          <w:color w:val="auto"/>
        </w:rPr>
        <w:t>In July 1996, the Company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(“RCG”) peptide sequence found in many extra cellular matrix proteins.</w:t>
      </w:r>
    </w:p>
    <w:p>
      <w:pPr>
        <w:spacing w:after="0" w:line="146" w:lineRule="exact"/>
        <w:rPr>
          <w:sz w:val="20"/>
          <w:szCs w:val="20"/>
          <w:color w:val="auto"/>
        </w:rPr>
      </w:pPr>
    </w:p>
    <w:p>
      <w:pPr>
        <w:ind w:left="340" w:right="439"/>
        <w:spacing w:after="0" w:line="286" w:lineRule="auto"/>
        <w:rPr>
          <w:sz w:val="20"/>
          <w:szCs w:val="20"/>
          <w:color w:val="auto"/>
        </w:rPr>
      </w:pPr>
      <w:r>
        <w:rPr>
          <w:rFonts w:ascii="Arial" w:cs="Arial" w:eastAsia="Arial" w:hAnsi="Arial"/>
          <w:sz w:val="17"/>
          <w:szCs w:val="17"/>
          <w:color w:val="auto"/>
        </w:rPr>
        <w:t>The case has been tried, appealed and returned to the trial court.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125" w:lineRule="exact"/>
        <w:rPr>
          <w:sz w:val="20"/>
          <w:szCs w:val="20"/>
          <w:color w:val="auto"/>
        </w:rPr>
      </w:pPr>
    </w:p>
    <w:p>
      <w:pPr>
        <w:ind w:left="340" w:right="259"/>
        <w:spacing w:after="0" w:line="273" w:lineRule="auto"/>
        <w:rPr>
          <w:sz w:val="20"/>
          <w:szCs w:val="20"/>
          <w:color w:val="auto"/>
        </w:rPr>
      </w:pPr>
      <w:r>
        <w:rPr>
          <w:rFonts w:ascii="Arial" w:cs="Arial" w:eastAsia="Arial" w:hAnsi="Arial"/>
          <w:sz w:val="17"/>
          <w:szCs w:val="17"/>
          <w:color w:val="auto"/>
        </w:rPr>
        <w:t>On June 13, 2005, the Supreme Court vacated the June 2003 judgment of the Circuit Court. The Supreme Court held that the Circuit Court applied an erroneous interpretation of 35 U.S.C. §271(e)(1)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 Further enforcement of the trial court’s order has been stayed. The Company has not recorded any gain in connection with this matter, pending final resolution and completion of the appeals process.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55" w:lineRule="auto"/>
        <w:rPr>
          <w:sz w:val="20"/>
          <w:szCs w:val="20"/>
          <w:color w:val="auto"/>
        </w:rPr>
      </w:pPr>
      <w:r>
        <w:rPr>
          <w:rFonts w:ascii="Arial" w:cs="Arial" w:eastAsia="Arial" w:hAnsi="Arial"/>
          <w:sz w:val="18"/>
          <w:szCs w:val="18"/>
          <w:color w:val="auto"/>
        </w:rPr>
        <w:t>In addition to these matters,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 or the costs related thereto.</w:t>
      </w:r>
    </w:p>
    <w:p>
      <w:pPr>
        <w:spacing w:after="0" w:line="166" w:lineRule="exact"/>
        <w:rPr>
          <w:sz w:val="20"/>
          <w:szCs w:val="20"/>
          <w:color w:val="auto"/>
        </w:rPr>
      </w:pPr>
    </w:p>
    <w:p>
      <w:pPr>
        <w:ind w:left="340" w:right="259"/>
        <w:spacing w:after="0" w:line="276"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128"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ind w:left="340" w:right="339"/>
        <w:spacing w:after="0" w:line="276" w:lineRule="auto"/>
        <w:rPr>
          <w:sz w:val="20"/>
          <w:szCs w:val="20"/>
          <w:color w:val="auto"/>
        </w:rPr>
      </w:pPr>
      <w:r>
        <w:rPr>
          <w:rFonts w:ascii="Arial" w:cs="Arial" w:eastAsia="Arial" w:hAnsi="Arial"/>
          <w:sz w:val="17"/>
          <w:szCs w:val="17"/>
          <w:color w:val="auto"/>
        </w:rPr>
        <w:t>The Company announced on May 4, 2007 that it had voluntarily withdrawn the Endura™ No-React</w:t>
      </w:r>
      <w:r>
        <w:rPr>
          <w:rFonts w:ascii="Arial" w:cs="Arial" w:eastAsia="Arial" w:hAnsi="Arial"/>
          <w:sz w:val="14"/>
          <w:szCs w:val="14"/>
          <w:color w:val="auto"/>
        </w:rPr>
        <w:t>®</w:t>
      </w:r>
      <w:r>
        <w:rPr>
          <w:rFonts w:ascii="Arial" w:cs="Arial" w:eastAsia="Arial" w:hAnsi="Arial"/>
          <w:sz w:val="17"/>
          <w:szCs w:val="17"/>
          <w:color w:val="auto"/>
        </w:rPr>
        <w:t xml:space="preserve"> Dural Substitute product line. The Company distributes this product which is manufactured by Shelhigh, Inc. The withdrawal was in response to a Public Health Notification by FDA regarding Shelhigh’s manufactured products and a formal request to Shelhigh, Inc that it withdraw its products from the field. The Company recorded a charge of $500,000 in connection with this withdrawal to reserve for inventory on hand and to accrue for estimated product returns. This withdrawal does not affect any other products that we sell.</w:t>
      </w:r>
    </w:p>
    <w:p>
      <w:pPr>
        <w:spacing w:after="0" w:line="146" w:lineRule="exact"/>
        <w:rPr>
          <w:sz w:val="20"/>
          <w:szCs w:val="20"/>
          <w:color w:val="auto"/>
        </w:rPr>
      </w:pPr>
    </w:p>
    <w:p>
      <w:pPr>
        <w:ind w:left="340" w:right="619"/>
        <w:spacing w:after="0" w:line="308" w:lineRule="auto"/>
        <w:rPr>
          <w:sz w:val="20"/>
          <w:szCs w:val="20"/>
          <w:color w:val="auto"/>
        </w:rPr>
      </w:pPr>
      <w:r>
        <w:rPr>
          <w:rFonts w:ascii="Arial" w:cs="Arial" w:eastAsia="Arial" w:hAnsi="Arial"/>
          <w:sz w:val="17"/>
          <w:szCs w:val="17"/>
          <w:color w:val="auto"/>
        </w:rPr>
        <w:t>The Company announced on May 8, 2007 that it has acquired the shares of LXU Healthcare, Inc. (LXU) for $30 million in cash, subject to certain adjustments. LXU, based in West Boylston, Massachusetts, is comprised of three businesses:</w:t>
      </w:r>
    </w:p>
    <w:p>
      <w:pPr>
        <w:spacing w:after="0" w:line="106" w:lineRule="exact"/>
        <w:rPr>
          <w:sz w:val="20"/>
          <w:szCs w:val="20"/>
          <w:color w:val="auto"/>
        </w:rPr>
      </w:pPr>
    </w:p>
    <w:p>
      <w:pPr>
        <w:ind w:left="1080" w:right="379" w:hanging="370"/>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Luxtec — The market-leading manufacturer of fiber optic headlight systems for the medical industry through its Luxtec</w:t>
      </w:r>
      <w:r>
        <w:rPr>
          <w:rFonts w:ascii="Arial" w:cs="Arial" w:eastAsia="Arial" w:hAnsi="Arial"/>
          <w:sz w:val="15"/>
          <w:szCs w:val="15"/>
          <w:color w:val="auto"/>
        </w:rPr>
        <w:t>®</w:t>
      </w:r>
      <w:r>
        <w:rPr>
          <w:rFonts w:ascii="Arial" w:cs="Arial" w:eastAsia="Arial" w:hAnsi="Arial"/>
          <w:sz w:val="18"/>
          <w:szCs w:val="18"/>
          <w:color w:val="auto"/>
        </w:rPr>
        <w:t xml:space="preserve"> brand. Luxtec’s headlight systems are used by over 50,000 surgeons worldwide and are the vision systems of choice for training in hospitals and medical schools.</w:t>
      </w:r>
    </w:p>
    <w:p>
      <w:pPr>
        <w:spacing w:after="0" w:line="181" w:lineRule="exact"/>
        <w:rPr>
          <w:rFonts w:ascii="Arial" w:cs="Arial" w:eastAsia="Arial" w:hAnsi="Arial"/>
          <w:sz w:val="18"/>
          <w:szCs w:val="18"/>
          <w:b w:val="1"/>
          <w:bCs w:val="1"/>
          <w:color w:val="auto"/>
        </w:rPr>
      </w:pPr>
    </w:p>
    <w:p>
      <w:pPr>
        <w:ind w:left="1080" w:right="599" w:hanging="370"/>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LXU Medical — A leading specialty surgical products distributor with a technically proficient sales force calling on surgeons and key clinical decision makers, covering 18,000 operating rooms in the southeastern, midwestern and mid-Atlantic United States.</w:t>
      </w:r>
    </w:p>
    <w:p>
      <w:pPr>
        <w:spacing w:after="0" w:line="181"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Bimeco — A critical care products distributor with direct sales coverage in the southeastern US.</w:t>
      </w:r>
    </w:p>
    <w:p>
      <w:pPr>
        <w:spacing w:after="0" w:line="185" w:lineRule="exact"/>
        <w:rPr>
          <w:sz w:val="20"/>
          <w:szCs w:val="20"/>
          <w:color w:val="auto"/>
        </w:rPr>
      </w:pPr>
    </w:p>
    <w:p>
      <w:pPr>
        <w:ind w:left="340" w:right="199"/>
        <w:spacing w:after="0" w:line="277" w:lineRule="auto"/>
        <w:rPr>
          <w:sz w:val="20"/>
          <w:szCs w:val="20"/>
          <w:color w:val="auto"/>
        </w:rPr>
      </w:pPr>
      <w:r>
        <w:rPr>
          <w:rFonts w:ascii="Arial" w:cs="Arial" w:eastAsia="Arial" w:hAnsi="Arial"/>
          <w:sz w:val="18"/>
          <w:szCs w:val="18"/>
          <w:color w:val="auto"/>
        </w:rPr>
        <w:t>LXU employs approximately 140 employees. After closing, LXU will be operated as part of the Company’s Jarit instruments business activities.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80" w:right="1059" w:hanging="755"/>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9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2006 included in our Annual Report on Form 10-K.</w:t>
      </w:r>
    </w:p>
    <w:p>
      <w:pPr>
        <w:spacing w:after="0" w:line="125" w:lineRule="exact"/>
        <w:rPr>
          <w:sz w:val="20"/>
          <w:szCs w:val="20"/>
          <w:color w:val="auto"/>
        </w:rPr>
      </w:pPr>
    </w:p>
    <w:p>
      <w:pPr>
        <w:ind w:left="340" w:right="299"/>
        <w:spacing w:after="0" w:line="276" w:lineRule="auto"/>
        <w:rPr>
          <w:sz w:val="20"/>
          <w:szCs w:val="20"/>
          <w:color w:val="auto"/>
        </w:rPr>
      </w:pPr>
      <w:r>
        <w:rPr>
          <w:rFonts w:ascii="Arial" w:cs="Arial" w:eastAsia="Arial" w:hAnsi="Arial"/>
          <w:sz w:val="17"/>
          <w:szCs w:val="17"/>
          <w:color w:val="auto"/>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2006.</w:t>
      </w:r>
    </w:p>
    <w:p>
      <w:pPr>
        <w:spacing w:after="0" w:line="132" w:lineRule="exact"/>
        <w:rPr>
          <w:sz w:val="20"/>
          <w:szCs w:val="20"/>
          <w:color w:val="auto"/>
        </w:rPr>
      </w:pPr>
    </w:p>
    <w:p>
      <w:pPr>
        <w:ind w:left="340" w:right="39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left="340" w:right="17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146" w:lineRule="exact"/>
        <w:rPr>
          <w:sz w:val="20"/>
          <w:szCs w:val="20"/>
          <w:color w:val="auto"/>
        </w:rPr>
      </w:pPr>
    </w:p>
    <w:p>
      <w:pPr>
        <w:ind w:left="340" w:right="239"/>
        <w:spacing w:after="0" w:line="276" w:lineRule="auto"/>
        <w:rPr>
          <w:sz w:val="20"/>
          <w:szCs w:val="20"/>
          <w:color w:val="auto"/>
        </w:rPr>
      </w:pPr>
      <w:r>
        <w:rPr>
          <w:rFonts w:ascii="Arial" w:cs="Arial" w:eastAsia="Arial" w:hAnsi="Arial"/>
          <w:sz w:val="17"/>
          <w:szCs w:val="17"/>
          <w:color w:val="auto"/>
        </w:rPr>
        <w:t>Our distribution channels include two direct sales organizations (Integra NeuroSciences and Integra Reconstructive Surgery), a network managed by a direct sales organization (Jarit/Miltex Surgical Instruments) and strategic alliances. We have direct sales forces in the United States. Outside of the United States, we sell our products directly through sales representatives in major European markets and through stocking distributors elsewhere. We invest substantial resources and management effort to develop our sales organizations, and we believe that we compete very effectively in this aspect of our business.</w:t>
      </w:r>
    </w:p>
    <w:p>
      <w:pPr>
        <w:spacing w:after="0" w:line="146" w:lineRule="exact"/>
        <w:rPr>
          <w:sz w:val="20"/>
          <w:szCs w:val="20"/>
          <w:color w:val="auto"/>
        </w:rPr>
      </w:pPr>
    </w:p>
    <w:p>
      <w:pPr>
        <w:ind w:left="340" w:right="259"/>
        <w:spacing w:after="0" w:line="271" w:lineRule="auto"/>
        <w:rPr>
          <w:sz w:val="20"/>
          <w:szCs w:val="20"/>
          <w:color w:val="auto"/>
        </w:rPr>
      </w:pPr>
      <w:r>
        <w:rPr>
          <w:rFonts w:ascii="Arial" w:cs="Arial" w:eastAsia="Arial" w:hAnsi="Arial"/>
          <w:sz w:val="17"/>
          <w:szCs w:val="17"/>
          <w:color w:val="auto"/>
        </w:rPr>
        <w:t>We present revenues in two categories: Neurosurgical and Orthopedic Implants and Medical Surgical Equipment. Our Neurosurgical and Orthopedic Implants product group includes dural grafts that are indicated for the repair of the dura matter, dermal regeneration and engineered wound dressings, implants used in small bone and joint fixation, repair of peripheral nerves, and hydrocephalus management, and implants used in bone regeneration and in guided tissue regeneration in periodontal surgery. Our Medical Surgical Equipment product group includes ultrasonic surgery systems for tissue ablation, cranial stabilization and brain retraction systems, instrumentation used in general, neurosurgical, spinal and plastic and reconstructive surgery and dental procedures, systems for the measurement of various brain parameters, and devices used to gain access to the cranial cavity and to drain excess cerebrospinal fluid from the ventricles of the brain.</w:t>
      </w:r>
    </w:p>
    <w:p>
      <w:pPr>
        <w:spacing w:after="0" w:line="138" w:lineRule="exact"/>
        <w:rPr>
          <w:sz w:val="20"/>
          <w:szCs w:val="20"/>
          <w:color w:val="auto"/>
        </w:rPr>
      </w:pPr>
    </w:p>
    <w:p>
      <w:pPr>
        <w:ind w:left="340" w:right="259"/>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 the development, manufacturing and distribution of medical devices.</w:t>
      </w:r>
    </w:p>
    <w:p>
      <w:pPr>
        <w:spacing w:after="0" w:line="130" w:lineRule="exact"/>
        <w:rPr>
          <w:sz w:val="20"/>
          <w:szCs w:val="20"/>
          <w:color w:val="auto"/>
        </w:rPr>
      </w:pPr>
    </w:p>
    <w:p>
      <w:pPr>
        <w:ind w:left="340" w:right="419"/>
        <w:spacing w:after="0" w:line="264" w:lineRule="auto"/>
        <w:rPr>
          <w:sz w:val="20"/>
          <w:szCs w:val="20"/>
          <w:color w:val="auto"/>
        </w:rPr>
      </w:pPr>
      <w:r>
        <w:rPr>
          <w:rFonts w:ascii="Arial" w:cs="Arial" w:eastAsia="Arial" w:hAnsi="Arial"/>
          <w:sz w:val="18"/>
          <w:szCs w:val="18"/>
          <w:color w:val="auto"/>
        </w:rPr>
        <w:t>We manufacture many of our products in various plants located in the United States, Puerto Rico, France, Germany, Ireland and the United Kingdom. We also manufacture some of our ultrasonic surgical instruments and source most of our hand-held surgical instruments through specialized third-party vendors.</w:t>
      </w:r>
    </w:p>
    <w:p>
      <w:pPr>
        <w:spacing w:after="0" w:line="154"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We believe that we have a particular advantage in the development, manufacture and sale of specialty tissue repair products derived from bovine collagen. Products that contain materials derived from animal sources, including food as well as pharmaceuticals and medical devices, are increasingly subject to scrutiny from the press and regulatory authorities. These products comprised 24% and 30% of total revenues in each of the three-month periods ended March 31, 2007 and 2006, respectively. Accordingly, widespread public controversy concerning collagen products, new regulation, or a ban of the our products containing material derived from bovine tissue, could have a material adverse effect on our current business and our ability to expand our business.</w:t>
      </w: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59" w:lineRule="auto"/>
        <w:rPr>
          <w:sz w:val="20"/>
          <w:szCs w:val="20"/>
          <w:color w:val="auto"/>
        </w:rPr>
      </w:pPr>
      <w:r>
        <w:rPr>
          <w:rFonts w:ascii="Arial" w:cs="Arial" w:eastAsia="Arial" w:hAnsi="Arial"/>
          <w:sz w:val="18"/>
          <w:szCs w:val="18"/>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60" w:lineRule="exact"/>
        <w:rPr>
          <w:sz w:val="20"/>
          <w:szCs w:val="20"/>
          <w:color w:val="auto"/>
        </w:rPr>
      </w:pPr>
    </w:p>
    <w:p>
      <w:pPr>
        <w:ind w:left="340" w:right="159"/>
        <w:spacing w:after="0" w:line="257"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and earnings per fully diluted share of common stock.</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left="340" w:right="199"/>
        <w:spacing w:after="0" w:line="279" w:lineRule="auto"/>
        <w:rPr>
          <w:sz w:val="20"/>
          <w:szCs w:val="20"/>
          <w:color w:val="auto"/>
        </w:rPr>
      </w:pPr>
      <w:r>
        <w:rPr>
          <w:rFonts w:ascii="Arial" w:cs="Arial" w:eastAsia="Arial" w:hAnsi="Arial"/>
          <w:sz w:val="17"/>
          <w:szCs w:val="17"/>
          <w:color w:val="auto"/>
        </w:rPr>
        <w:t>Our strategy for growing our business includes the acquisition of complementary product lines and companies. Our recent acquisitions of businesses, assets and product lines may make our financial results for the three months ended March 31, 2007 not directly comparable to those of the corresponding prior-year period. See Note 2 to the unaudited condensed consolidated financial statements for a further discussion. Since the beginning of 2006, we have acquired the following businesses: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March 3, 2006, Integra acquired certain assets of the Radionics Division of Tyco Healthcare Group, L.P. for approximately</w:t>
      </w:r>
    </w:p>
    <w:p>
      <w:pPr>
        <w:spacing w:after="0" w:line="35" w:lineRule="exact"/>
        <w:rPr>
          <w:sz w:val="20"/>
          <w:szCs w:val="20"/>
          <w:color w:val="auto"/>
        </w:rPr>
      </w:pPr>
    </w:p>
    <w:p>
      <w:pPr>
        <w:ind w:left="340" w:right="259"/>
        <w:spacing w:after="0" w:line="253" w:lineRule="auto"/>
        <w:rPr>
          <w:sz w:val="20"/>
          <w:szCs w:val="20"/>
          <w:color w:val="auto"/>
        </w:rPr>
      </w:pPr>
      <w:r>
        <w:rPr>
          <w:rFonts w:ascii="Arial" w:cs="Arial" w:eastAsia="Arial" w:hAnsi="Arial"/>
          <w:sz w:val="18"/>
          <w:szCs w:val="18"/>
          <w:color w:val="auto"/>
        </w:rPr>
        <w:t>$74.5 million in cash paid at closing, subject to certain adjustments, and $3.2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w:t>
      </w:r>
      <w:r>
        <w:rPr>
          <w:rFonts w:ascii="Arial" w:cs="Arial" w:eastAsia="Arial" w:hAnsi="Arial"/>
          <w:sz w:val="15"/>
          <w:szCs w:val="15"/>
          <w:color w:val="auto"/>
        </w:rPr>
        <w:t>®</w:t>
      </w:r>
      <w:r>
        <w:rPr>
          <w:rFonts w:ascii="Arial" w:cs="Arial" w:eastAsia="Arial" w:hAnsi="Arial"/>
          <w:sz w:val="18"/>
          <w:szCs w:val="18"/>
          <w:color w:val="auto"/>
        </w:rPr>
        <w:t xml:space="preserve"> ultrasonic surgical aspiration system, the CRW</w:t>
      </w:r>
      <w:r>
        <w:rPr>
          <w:rFonts w:ascii="Arial" w:cs="Arial" w:eastAsia="Arial" w:hAnsi="Arial"/>
          <w:sz w:val="15"/>
          <w:szCs w:val="15"/>
          <w:color w:val="auto"/>
        </w:rPr>
        <w:t>®</w:t>
      </w:r>
      <w:r>
        <w:rPr>
          <w:rFonts w:ascii="Arial" w:cs="Arial" w:eastAsia="Arial" w:hAnsi="Arial"/>
          <w:sz w:val="18"/>
          <w:szCs w:val="18"/>
          <w:color w:val="auto"/>
        </w:rPr>
        <w:t xml:space="preserve"> stereotactic system, the XKnife</w:t>
      </w:r>
      <w:r>
        <w:rPr>
          <w:rFonts w:ascii="Arial" w:cs="Arial" w:eastAsia="Arial" w:hAnsi="Arial"/>
          <w:sz w:val="15"/>
          <w:szCs w:val="15"/>
          <w:color w:val="auto"/>
        </w:rPr>
        <w:t>®</w:t>
      </w:r>
      <w:r>
        <w:rPr>
          <w:rFonts w:ascii="Arial" w:cs="Arial" w:eastAsia="Arial" w:hAnsi="Arial"/>
          <w:sz w:val="18"/>
          <w:szCs w:val="18"/>
          <w:color w:val="auto"/>
        </w:rPr>
        <w:t xml:space="preserve"> stereotactic radiosurgery system, and the OmniSight</w:t>
      </w:r>
      <w:r>
        <w:rPr>
          <w:rFonts w:ascii="Arial" w:cs="Arial" w:eastAsia="Arial" w:hAnsi="Arial"/>
          <w:sz w:val="15"/>
          <w:szCs w:val="15"/>
          <w:color w:val="auto"/>
        </w:rPr>
        <w:t>®</w:t>
      </w:r>
      <w:r>
        <w:rPr>
          <w:rFonts w:ascii="Arial" w:cs="Arial" w:eastAsia="Arial" w:hAnsi="Arial"/>
          <w:sz w:val="18"/>
          <w:szCs w:val="18"/>
          <w:color w:val="auto"/>
        </w:rPr>
        <w:t xml:space="preserve"> EXcel image guided surgery system.</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Miltex</w:t>
      </w:r>
    </w:p>
    <w:p>
      <w:pPr>
        <w:spacing w:after="0" w:line="185" w:lineRule="exact"/>
        <w:rPr>
          <w:sz w:val="20"/>
          <w:szCs w:val="20"/>
          <w:color w:val="auto"/>
        </w:rPr>
      </w:pPr>
    </w:p>
    <w:p>
      <w:pPr>
        <w:ind w:left="340" w:right="279"/>
        <w:spacing w:after="0" w:line="255" w:lineRule="auto"/>
        <w:rPr>
          <w:sz w:val="20"/>
          <w:szCs w:val="20"/>
          <w:color w:val="auto"/>
        </w:rPr>
      </w:pPr>
      <w:r>
        <w:rPr>
          <w:rFonts w:ascii="Arial" w:cs="Arial" w:eastAsia="Arial" w:hAnsi="Arial"/>
          <w:sz w:val="18"/>
          <w:szCs w:val="18"/>
          <w:color w:val="auto"/>
        </w:rPr>
        <w:t>On May 12, 2006, we acquired all of the outstanding capital stock of Miltex Holdings, Inc. (“Miltex”) for $102.7 million in cash paid at closing, subject to certain adjustments, and $0.7 million of transaction related costs. Miltex, based in York, Pennsylvania, is a leading provider of surgical and dental hand instruments to alternate site facilities, which includes physician and dental offices and ambulatory surgery care sectors. Miltex sells products under the Miltex</w:t>
      </w:r>
      <w:r>
        <w:rPr>
          <w:rFonts w:ascii="Arial" w:cs="Arial" w:eastAsia="Arial" w:hAnsi="Arial"/>
          <w:sz w:val="15"/>
          <w:szCs w:val="15"/>
          <w:color w:val="auto"/>
        </w:rPr>
        <w:t>®</w:t>
      </w:r>
      <w:r>
        <w:rPr>
          <w:rFonts w:ascii="Arial" w:cs="Arial" w:eastAsia="Arial" w:hAnsi="Arial"/>
          <w:sz w:val="18"/>
          <w:szCs w:val="18"/>
          <w:color w:val="auto"/>
        </w:rPr>
        <w:t>, Meisterhand</w:t>
      </w:r>
      <w:r>
        <w:rPr>
          <w:rFonts w:ascii="Arial" w:cs="Arial" w:eastAsia="Arial" w:hAnsi="Arial"/>
          <w:sz w:val="15"/>
          <w:szCs w:val="15"/>
          <w:color w:val="auto"/>
        </w:rPr>
        <w:t>®</w:t>
      </w:r>
      <w:r>
        <w:rPr>
          <w:rFonts w:ascii="Arial" w:cs="Arial" w:eastAsia="Arial" w:hAnsi="Arial"/>
          <w:sz w:val="18"/>
          <w:szCs w:val="18"/>
          <w:color w:val="auto"/>
        </w:rPr>
        <w:t>, Vantage</w:t>
      </w:r>
      <w:r>
        <w:rPr>
          <w:rFonts w:ascii="Arial" w:cs="Arial" w:eastAsia="Arial" w:hAnsi="Arial"/>
          <w:sz w:val="15"/>
          <w:szCs w:val="15"/>
          <w:color w:val="auto"/>
        </w:rPr>
        <w:t>®</w:t>
      </w:r>
      <w:r>
        <w:rPr>
          <w:rFonts w:ascii="Arial" w:cs="Arial" w:eastAsia="Arial" w:hAnsi="Arial"/>
          <w:sz w:val="18"/>
          <w:szCs w:val="18"/>
          <w:color w:val="auto"/>
        </w:rPr>
        <w:t>, Moyco</w:t>
      </w:r>
      <w:r>
        <w:rPr>
          <w:rFonts w:ascii="Arial" w:cs="Arial" w:eastAsia="Arial" w:hAnsi="Arial"/>
          <w:sz w:val="15"/>
          <w:szCs w:val="15"/>
          <w:color w:val="auto"/>
        </w:rPr>
        <w:t>®</w:t>
      </w:r>
      <w:r>
        <w:rPr>
          <w:rFonts w:ascii="Arial" w:cs="Arial" w:eastAsia="Arial" w:hAnsi="Arial"/>
          <w:sz w:val="18"/>
          <w:szCs w:val="18"/>
          <w:color w:val="auto"/>
        </w:rPr>
        <w:t>, Union Broach</w:t>
      </w:r>
      <w:r>
        <w:rPr>
          <w:rFonts w:ascii="Arial" w:cs="Arial" w:eastAsia="Arial" w:hAnsi="Arial"/>
          <w:sz w:val="15"/>
          <w:szCs w:val="15"/>
          <w:color w:val="auto"/>
        </w:rPr>
        <w:t>®</w:t>
      </w:r>
      <w:r>
        <w:rPr>
          <w:rFonts w:ascii="Arial" w:cs="Arial" w:eastAsia="Arial" w:hAnsi="Arial"/>
          <w:sz w:val="18"/>
          <w:szCs w:val="18"/>
          <w:color w:val="auto"/>
        </w:rPr>
        <w:t>, and Thompson</w:t>
      </w:r>
      <w:r>
        <w:rPr>
          <w:rFonts w:ascii="Arial" w:cs="Arial" w:eastAsia="Arial" w:hAnsi="Arial"/>
          <w:sz w:val="15"/>
          <w:szCs w:val="15"/>
          <w:color w:val="auto"/>
        </w:rPr>
        <w:t>®</w:t>
      </w:r>
      <w:r>
        <w:rPr>
          <w:rFonts w:ascii="Arial" w:cs="Arial" w:eastAsia="Arial" w:hAnsi="Arial"/>
          <w:sz w:val="18"/>
          <w:szCs w:val="18"/>
          <w:color w:val="auto"/>
        </w:rPr>
        <w:t xml:space="preserve"> trade names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Canada Microsurgical</w:t>
      </w:r>
    </w:p>
    <w:p>
      <w:pPr>
        <w:spacing w:after="0" w:line="185" w:lineRule="exact"/>
        <w:rPr>
          <w:sz w:val="20"/>
          <w:szCs w:val="20"/>
          <w:color w:val="auto"/>
        </w:rPr>
      </w:pPr>
    </w:p>
    <w:p>
      <w:pPr>
        <w:ind w:left="340" w:right="599"/>
        <w:spacing w:after="0" w:line="291" w:lineRule="auto"/>
        <w:rPr>
          <w:sz w:val="20"/>
          <w:szCs w:val="20"/>
          <w:color w:val="auto"/>
        </w:rPr>
      </w:pPr>
      <w:r>
        <w:rPr>
          <w:rFonts w:ascii="Arial" w:cs="Arial" w:eastAsia="Arial" w:hAnsi="Arial"/>
          <w:sz w:val="16"/>
          <w:szCs w:val="16"/>
          <w:color w:val="auto"/>
        </w:rPr>
        <w:t>On July 5, 2006, we acquired a direct sales force in Canada through the acquisition of our longstanding distributor, Canada Microsurgical Ltd. Canada Microsurgical has eight sales representatives covering each province in Canada. We paid $5.8 million</w:t>
      </w:r>
    </w:p>
    <w:p>
      <w:pPr>
        <w:ind w:left="340" w:right="359"/>
        <w:spacing w:after="0" w:line="323" w:lineRule="auto"/>
        <w:rPr>
          <w:sz w:val="20"/>
          <w:szCs w:val="20"/>
          <w:color w:val="auto"/>
        </w:rPr>
      </w:pPr>
      <w:r>
        <w:rPr>
          <w:rFonts w:ascii="Arial" w:cs="Arial" w:eastAsia="Arial" w:hAnsi="Arial"/>
          <w:sz w:val="16"/>
          <w:szCs w:val="16"/>
          <w:color w:val="auto"/>
        </w:rPr>
        <w:t>(6.4 million Canadian dollars) for Canada Microsurgical at closing and $0.1 million of transaction related costs. In addition, we may pay up to an additional 2.1 million Canadian dollars over the next three years, depending on the performance of the business.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KMI</w:t>
      </w:r>
    </w:p>
    <w:p>
      <w:pPr>
        <w:spacing w:after="0" w:line="198"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On July 31, 2006 we acquired the shares of Kinetikos Medical, Inc. (“KMI”) for $39.5 million in cash, subject to certain adjustments, including future payments based on the performance of the KMI business after the acquisition.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DenLite</w:t>
      </w:r>
    </w:p>
    <w:p>
      <w:pPr>
        <w:spacing w:after="0" w:line="198" w:lineRule="exact"/>
        <w:rPr>
          <w:sz w:val="20"/>
          <w:szCs w:val="20"/>
          <w:color w:val="auto"/>
        </w:rPr>
      </w:pPr>
    </w:p>
    <w:p>
      <w:pPr>
        <w:jc w:val="both"/>
        <w:ind w:left="340" w:right="219"/>
        <w:spacing w:after="0" w:line="264" w:lineRule="auto"/>
        <w:rPr>
          <w:sz w:val="20"/>
          <w:szCs w:val="20"/>
          <w:color w:val="auto"/>
        </w:rPr>
      </w:pPr>
      <w:r>
        <w:rPr>
          <w:rFonts w:ascii="Arial" w:cs="Arial" w:eastAsia="Arial" w:hAnsi="Arial"/>
          <w:sz w:val="18"/>
          <w:szCs w:val="18"/>
          <w:color w:val="auto"/>
        </w:rPr>
        <w:t>On January 3, 2007, our Company’s subsidiary Miltex, Inc. acquired the DenLite product line from Welch Allyn in an asset purchase, for $2.2 million in cash paid at closing, and $35,000 of acquisition-related expenses in a transaction treated as a business combination. DenLite is a lighted mouth mirror to be used in procedures.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OF RESTRUCTURING ACTIVITIES</w:t>
      </w:r>
    </w:p>
    <w:p>
      <w:pPr>
        <w:spacing w:after="0" w:line="189" w:lineRule="exact"/>
        <w:rPr>
          <w:sz w:val="20"/>
          <w:szCs w:val="20"/>
          <w:color w:val="auto"/>
        </w:rPr>
      </w:pPr>
    </w:p>
    <w:p>
      <w:pPr>
        <w:ind w:left="340" w:right="419"/>
        <w:spacing w:after="0" w:line="286" w:lineRule="auto"/>
        <w:rPr>
          <w:sz w:val="20"/>
          <w:szCs w:val="20"/>
          <w:color w:val="auto"/>
        </w:rPr>
      </w:pPr>
      <w:r>
        <w:rPr>
          <w:rFonts w:ascii="Arial" w:cs="Arial" w:eastAsia="Arial" w:hAnsi="Arial"/>
          <w:sz w:val="17"/>
          <w:szCs w:val="17"/>
          <w:color w:val="auto"/>
        </w:rPr>
        <w:t>In October 2006, we announced plans to restructure our French sales and marketing organization, which includes elimination of a number of positions at our Biot, France facility, and closings of our facility in Nantes, France. These activities will be transferred to the sales and marketing headquarters in Lyon, France and should be completed in 2007.</w:t>
      </w:r>
    </w:p>
    <w:p>
      <w:pPr>
        <w:spacing w:after="0" w:line="139" w:lineRule="exact"/>
        <w:rPr>
          <w:sz w:val="20"/>
          <w:szCs w:val="20"/>
          <w:color w:val="auto"/>
        </w:rPr>
      </w:pPr>
    </w:p>
    <w:p>
      <w:pPr>
        <w:ind w:left="340" w:right="359"/>
        <w:spacing w:after="0" w:line="277" w:lineRule="auto"/>
        <w:rPr>
          <w:sz w:val="20"/>
          <w:szCs w:val="20"/>
          <w:color w:val="auto"/>
        </w:rPr>
      </w:pPr>
      <w:r>
        <w:rPr>
          <w:rFonts w:ascii="Arial" w:cs="Arial" w:eastAsia="Arial" w:hAnsi="Arial"/>
          <w:sz w:val="18"/>
          <w:szCs w:val="18"/>
          <w:color w:val="auto"/>
        </w:rPr>
        <w:t>In connection with these restructuring activities, we recognized net employee termination costs of $123,000 during the three months ended March 31, 2007.</w:t>
      </w:r>
    </w:p>
    <w:p>
      <w:pPr>
        <w:spacing w:after="0" w:line="130" w:lineRule="exact"/>
        <w:rPr>
          <w:sz w:val="20"/>
          <w:szCs w:val="20"/>
          <w:color w:val="auto"/>
        </w:rPr>
      </w:pPr>
    </w:p>
    <w:p>
      <w:pPr>
        <w:jc w:val="both"/>
        <w:ind w:left="340" w:right="219"/>
        <w:spacing w:after="0" w:line="259" w:lineRule="auto"/>
        <w:rPr>
          <w:sz w:val="20"/>
          <w:szCs w:val="20"/>
          <w:color w:val="auto"/>
        </w:rPr>
      </w:pPr>
      <w:r>
        <w:rPr>
          <w:rFonts w:ascii="Arial" w:cs="Arial" w:eastAsia="Arial" w:hAnsi="Arial"/>
          <w:sz w:val="18"/>
          <w:szCs w:val="18"/>
          <w:color w:val="auto"/>
        </w:rPr>
        <w:t>While we expect to achieve a positive impact from the restructuring and integration activities, such results remain uncertain. We have reinvested most of the savings from these restructuring and integration activities into further expanding our European sales, marketing and distribution organization, and integrating the Radionics and KMI and Newdeal businesses into our existing sales and distribution network.</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499"/>
        <w:spacing w:after="0" w:line="264" w:lineRule="auto"/>
        <w:rPr>
          <w:sz w:val="20"/>
          <w:szCs w:val="20"/>
          <w:color w:val="auto"/>
        </w:rPr>
      </w:pPr>
      <w:r>
        <w:rPr>
          <w:rFonts w:ascii="Arial" w:cs="Arial" w:eastAsia="Arial" w:hAnsi="Arial"/>
          <w:sz w:val="18"/>
          <w:szCs w:val="18"/>
          <w:color w:val="auto"/>
        </w:rPr>
        <w:t>Net income for the three months ended March 31, 2007 was $9.1 million, or $0.30 per diluted share, as compared to net income of $8.7 million, or $0.28 per diluted share, for the three months ended March 31, 2006. These amounts include the following pre-tax charges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color w:val="auto"/>
              </w:rPr>
              <w:t>Three Months Ended</w:t>
            </w:r>
          </w:p>
        </w:tc>
      </w:tr>
      <w:tr>
        <w:trPr>
          <w:trHeight w:val="230"/>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51"/>
        </w:trPr>
        <w:tc>
          <w:tcPr>
            <w:tcW w:w="7140" w:type="dxa"/>
            <w:vAlign w:val="bottom"/>
          </w:tcPr>
          <w:p>
            <w:pPr>
              <w:spacing w:after="0"/>
              <w:rPr>
                <w:sz w:val="20"/>
                <w:szCs w:val="20"/>
                <w:color w:val="auto"/>
              </w:rPr>
            </w:pPr>
            <w:r>
              <w:rPr>
                <w:rFonts w:ascii="Arial" w:cs="Arial" w:eastAsia="Arial" w:hAnsi="Arial"/>
                <w:sz w:val="18"/>
                <w:szCs w:val="18"/>
                <w:color w:val="auto"/>
              </w:rPr>
              <w:t>Employee termination and related costs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r>
      <w:tr>
        <w:trPr>
          <w:trHeight w:val="135"/>
        </w:trPr>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 fair market value purchase accounting adjustments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r>
      <w:tr>
        <w:trPr>
          <w:trHeight w:val="202"/>
        </w:trPr>
        <w:tc>
          <w:tcPr>
            <w:tcW w:w="7140" w:type="dxa"/>
            <w:vAlign w:val="bottom"/>
          </w:tcPr>
          <w:p>
            <w:pPr>
              <w:spacing w:after="0" w:line="201" w:lineRule="exact"/>
              <w:rPr>
                <w:sz w:val="20"/>
                <w:szCs w:val="20"/>
                <w:color w:val="auto"/>
              </w:rPr>
            </w:pPr>
            <w:r>
              <w:rPr>
                <w:rFonts w:ascii="Arial" w:cs="Arial" w:eastAsia="Arial" w:hAnsi="Arial"/>
                <w:sz w:val="18"/>
                <w:szCs w:val="18"/>
                <w:color w:val="auto"/>
              </w:rPr>
              <w:t>Facility consolidation, acquisition integration, manufacturing transfer, enterprise business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140" w:type="dxa"/>
            <w:vAlign w:val="bottom"/>
          </w:tcPr>
          <w:p>
            <w:pPr>
              <w:ind w:left="200"/>
              <w:spacing w:after="0"/>
              <w:rPr>
                <w:sz w:val="20"/>
                <w:szCs w:val="20"/>
                <w:color w:val="auto"/>
              </w:rPr>
            </w:pPr>
            <w:r>
              <w:rPr>
                <w:rFonts w:ascii="Arial" w:cs="Arial" w:eastAsia="Arial" w:hAnsi="Arial"/>
                <w:sz w:val="18"/>
                <w:szCs w:val="18"/>
                <w:color w:val="auto"/>
              </w:rPr>
              <w:t>system integration and related costs</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Charges associated with discontinued or withdrawn product lines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1,068</w:t>
            </w:r>
          </w:p>
        </w:tc>
        <w:tc>
          <w:tcPr>
            <w:tcW w:w="20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19"/>
        <w:spacing w:after="0" w:line="342" w:lineRule="auto"/>
        <w:rPr>
          <w:sz w:val="20"/>
          <w:szCs w:val="20"/>
          <w:color w:val="auto"/>
        </w:rPr>
      </w:pPr>
      <w:r>
        <w:rPr>
          <w:rFonts w:ascii="Arial" w:cs="Arial" w:eastAsia="Arial" w:hAnsi="Arial"/>
          <w:sz w:val="16"/>
          <w:szCs w:val="16"/>
          <w:color w:val="auto"/>
        </w:rPr>
        <w:t>Of these amounts, $0.6 million and $1.1 million were charged to cost of product revenues in the three-month periods ended March 31, 2007 and 2006 respectively. The remaining amounts were primarily charged to selling, general and administrative expenses.</w:t>
      </w:r>
    </w:p>
    <w:p>
      <w:pPr>
        <w:spacing w:after="0" w:line="83" w:lineRule="exact"/>
        <w:rPr>
          <w:sz w:val="20"/>
          <w:szCs w:val="20"/>
          <w:color w:val="auto"/>
        </w:rPr>
      </w:pPr>
    </w:p>
    <w:p>
      <w:pPr>
        <w:ind w:left="340" w:right="219"/>
        <w:spacing w:after="0" w:line="276" w:lineRule="auto"/>
        <w:rPr>
          <w:sz w:val="20"/>
          <w:szCs w:val="20"/>
          <w:color w:val="auto"/>
        </w:rPr>
      </w:pPr>
      <w:r>
        <w:rPr>
          <w:rFonts w:ascii="Arial" w:cs="Arial" w:eastAsia="Arial" w:hAnsi="Arial"/>
          <w:sz w:val="17"/>
          <w:szCs w:val="17"/>
          <w:color w:val="auto"/>
        </w:rPr>
        <w:t>We believe that, given our ongoing, active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Revenues and Gross Margin on Product Revenues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w w:val="96"/>
              </w:rPr>
              <w:t>Our revenues and gross margin on product revenues were as follows (in thousands):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r>
      <w:tr>
        <w:trPr>
          <w:trHeight w:val="129"/>
        </w:trPr>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Neurosurgical and Orthopedic Implants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47,087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36,746</w:t>
            </w:r>
          </w:p>
        </w:tc>
      </w:tr>
      <w:tr>
        <w:trPr>
          <w:trHeight w:val="216"/>
        </w:trPr>
        <w:tc>
          <w:tcPr>
            <w:tcW w:w="34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Medical Surgical Equipment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75,945</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40,389</w:t>
            </w: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123,032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77,135</w:t>
            </w:r>
          </w:p>
        </w:tc>
      </w:tr>
      <w:tr>
        <w:trPr>
          <w:trHeight w:val="351"/>
        </w:trPr>
        <w:tc>
          <w:tcPr>
            <w:tcW w:w="34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48,577</w:t>
            </w:r>
          </w:p>
        </w:tc>
        <w:tc>
          <w:tcPr>
            <w:tcW w:w="2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27,937</w:t>
            </w:r>
          </w:p>
        </w:tc>
      </w:tr>
      <w:tr>
        <w:trPr>
          <w:trHeight w:val="142"/>
        </w:trPr>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on total revenues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74,455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49,198</w:t>
            </w:r>
          </w:p>
        </w:tc>
      </w:tr>
      <w:tr>
        <w:trPr>
          <w:trHeight w:val="230"/>
        </w:trPr>
        <w:tc>
          <w:tcPr>
            <w:tcW w:w="3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Gross margin as a percentage of total revenues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bl>
    <w:p>
      <w:pPr>
        <w:spacing w:after="0" w:line="143" w:lineRule="exact"/>
        <w:rPr>
          <w:sz w:val="20"/>
          <w:szCs w:val="20"/>
          <w:color w:val="auto"/>
        </w:rPr>
      </w:pPr>
    </w:p>
    <w:p>
      <w:pPr>
        <w:ind w:left="340" w:right="599"/>
        <w:spacing w:after="0" w:line="464" w:lineRule="auto"/>
        <w:rPr>
          <w:sz w:val="20"/>
          <w:szCs w:val="20"/>
          <w:color w:val="auto"/>
        </w:rPr>
      </w:pPr>
      <w:r>
        <w:rPr>
          <w:rFonts w:ascii="Arial" w:cs="Arial" w:eastAsia="Arial" w:hAnsi="Arial"/>
          <w:sz w:val="18"/>
          <w:szCs w:val="18"/>
          <w:b w:val="1"/>
          <w:bCs w:val="1"/>
          <w:color w:val="auto"/>
        </w:rPr>
        <w:t>THREE MONTHS ENDED MARCH 31, 2007 AS COMPARED TO THE THREE MONTHS ENDED MARCH 31, 2006 Revenues and Gross Margin</w:t>
      </w:r>
    </w:p>
    <w:p>
      <w:pPr>
        <w:ind w:left="340"/>
        <w:spacing w:after="0"/>
        <w:rPr>
          <w:sz w:val="20"/>
          <w:szCs w:val="20"/>
          <w:color w:val="auto"/>
        </w:rPr>
      </w:pPr>
      <w:r>
        <w:rPr>
          <w:rFonts w:ascii="Arial" w:cs="Arial" w:eastAsia="Arial" w:hAnsi="Arial"/>
          <w:sz w:val="17"/>
          <w:szCs w:val="17"/>
          <w:color w:val="auto"/>
        </w:rPr>
        <w:t>For the three-month period ended March 31, 2007, total revenues increased by $45.9 million, or 60%, to $123.0 million from</w:t>
      </w:r>
    </w:p>
    <w:p>
      <w:pPr>
        <w:spacing w:after="0" w:line="35" w:lineRule="exact"/>
        <w:rPr>
          <w:sz w:val="20"/>
          <w:szCs w:val="20"/>
          <w:color w:val="auto"/>
        </w:rPr>
      </w:pPr>
    </w:p>
    <w:p>
      <w:pPr>
        <w:jc w:val="both"/>
        <w:ind w:left="340" w:right="459"/>
        <w:spacing w:after="0" w:line="255" w:lineRule="auto"/>
        <w:rPr>
          <w:sz w:val="20"/>
          <w:szCs w:val="20"/>
          <w:color w:val="auto"/>
        </w:rPr>
      </w:pPr>
      <w:r>
        <w:rPr>
          <w:rFonts w:ascii="Arial" w:cs="Arial" w:eastAsia="Arial" w:hAnsi="Arial"/>
          <w:sz w:val="18"/>
          <w:szCs w:val="18"/>
          <w:color w:val="auto"/>
        </w:rPr>
        <w:t>$77.1 million for the same period last year. Domestic revenues increased by $34.2 million to $91.4 million from $57.2 million, but remained flat as a percentage of total revenues for the three-month period ended March 31, 2007, compared to the same period last year.</w:t>
      </w:r>
    </w:p>
    <w:p>
      <w:pPr>
        <w:spacing w:after="0" w:line="150" w:lineRule="exact"/>
        <w:rPr>
          <w:sz w:val="20"/>
          <w:szCs w:val="20"/>
          <w:color w:val="auto"/>
        </w:rPr>
      </w:pPr>
    </w:p>
    <w:p>
      <w:pPr>
        <w:ind w:left="340" w:right="279"/>
        <w:spacing w:after="0" w:line="259" w:lineRule="auto"/>
        <w:rPr>
          <w:sz w:val="20"/>
          <w:szCs w:val="20"/>
          <w:color w:val="auto"/>
        </w:rPr>
      </w:pPr>
      <w:r>
        <w:rPr>
          <w:rFonts w:ascii="Arial" w:cs="Arial" w:eastAsia="Arial" w:hAnsi="Arial"/>
          <w:sz w:val="18"/>
          <w:szCs w:val="18"/>
          <w:color w:val="auto"/>
        </w:rPr>
        <w:t>In the Neurosurgical and Orthopedic Implants category, sales of our DuraGen</w:t>
      </w:r>
      <w:r>
        <w:rPr>
          <w:rFonts w:ascii="Arial" w:cs="Arial" w:eastAsia="Arial" w:hAnsi="Arial"/>
          <w:sz w:val="15"/>
          <w:szCs w:val="15"/>
          <w:color w:val="auto"/>
        </w:rPr>
        <w:t>®</w:t>
      </w:r>
      <w:r>
        <w:rPr>
          <w:rFonts w:ascii="Arial" w:cs="Arial" w:eastAsia="Arial" w:hAnsi="Arial"/>
          <w:sz w:val="18"/>
          <w:szCs w:val="18"/>
          <w:color w:val="auto"/>
        </w:rPr>
        <w:t xml:space="preserve"> family of products, extremity reconstruction implants and bone growth products led the revenue growth. Rapid growth in nerve and dermal repair products and sales of products for the hand, foot and ankle accounted for much of the increase in implant product revenues. KMI products contributed $2.4 million of sales in the first quarter of 2007.</w:t>
      </w:r>
    </w:p>
    <w:p>
      <w:pPr>
        <w:spacing w:after="0" w:line="146" w:lineRule="exact"/>
        <w:rPr>
          <w:sz w:val="20"/>
          <w:szCs w:val="20"/>
          <w:color w:val="auto"/>
        </w:rPr>
      </w:pPr>
    </w:p>
    <w:p>
      <w:pPr>
        <w:ind w:left="340" w:right="239"/>
        <w:spacing w:after="0" w:line="257" w:lineRule="auto"/>
        <w:rPr>
          <w:sz w:val="20"/>
          <w:szCs w:val="20"/>
          <w:color w:val="auto"/>
        </w:rPr>
      </w:pPr>
      <w:r>
        <w:rPr>
          <w:rFonts w:ascii="Arial" w:cs="Arial" w:eastAsia="Arial" w:hAnsi="Arial"/>
          <w:sz w:val="18"/>
          <w:szCs w:val="18"/>
          <w:color w:val="auto"/>
        </w:rPr>
        <w:t>In the Medical Surgical Equipment category, acquired products, surgical instruments and ultrasonic surgical systems provided most of the year-over-year growth. The growth in this category came across multiple product lines, with our Jarit</w:t>
      </w:r>
      <w:r>
        <w:rPr>
          <w:rFonts w:ascii="Arial" w:cs="Arial" w:eastAsia="Arial" w:hAnsi="Arial"/>
          <w:sz w:val="15"/>
          <w:szCs w:val="15"/>
          <w:color w:val="auto"/>
        </w:rPr>
        <w:t>®</w:t>
      </w:r>
      <w:r>
        <w:rPr>
          <w:rFonts w:ascii="Arial" w:cs="Arial" w:eastAsia="Arial" w:hAnsi="Arial"/>
          <w:sz w:val="18"/>
          <w:szCs w:val="18"/>
          <w:color w:val="auto"/>
        </w:rPr>
        <w:t xml:space="preserve"> surgical instruments, MAYFIELD</w:t>
      </w:r>
      <w:r>
        <w:rPr>
          <w:rFonts w:ascii="Arial" w:cs="Arial" w:eastAsia="Arial" w:hAnsi="Arial"/>
          <w:sz w:val="15"/>
          <w:szCs w:val="15"/>
          <w:color w:val="auto"/>
        </w:rPr>
        <w:t>®</w:t>
      </w:r>
      <w:r>
        <w:rPr>
          <w:rFonts w:ascii="Arial" w:cs="Arial" w:eastAsia="Arial" w:hAnsi="Arial"/>
          <w:sz w:val="18"/>
          <w:szCs w:val="18"/>
          <w:color w:val="auto"/>
        </w:rPr>
        <w:t xml:space="preserve"> cranial fixation systems and our monitoring product lines all generating double-digit growth. Radionics products, Miltex products and non-Integra distributed products sold through our former Canadian distributor (all acquired in 2006) contributed $32.3 million of sales in the first quarter of 2007.</w:t>
      </w:r>
    </w:p>
    <w:p>
      <w:pPr>
        <w:spacing w:after="0" w:line="161"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We have generated our product revenue growth through acquisitions, new product launches and increased direct sales and marketing efforts both domestically and in Europe. We expect that our expanded domestic sales force,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there has been, and we expect there will continue to be, some cannibalization of sales of our existing products that will affect our internal growth.</w:t>
      </w:r>
    </w:p>
    <w:p>
      <w:pPr>
        <w:spacing w:after="0" w:line="149" w:lineRule="exact"/>
        <w:rPr>
          <w:sz w:val="20"/>
          <w:szCs w:val="20"/>
          <w:color w:val="auto"/>
        </w:rPr>
      </w:pPr>
    </w:p>
    <w:p>
      <w:pPr>
        <w:ind w:left="340" w:right="319"/>
        <w:spacing w:after="0" w:line="259" w:lineRule="auto"/>
        <w:rPr>
          <w:sz w:val="20"/>
          <w:szCs w:val="20"/>
          <w:color w:val="auto"/>
        </w:rPr>
      </w:pPr>
      <w:r>
        <w:rPr>
          <w:rFonts w:ascii="Arial" w:cs="Arial" w:eastAsia="Arial" w:hAnsi="Arial"/>
          <w:sz w:val="18"/>
          <w:szCs w:val="18"/>
          <w:color w:val="auto"/>
        </w:rPr>
        <w:t>Gross margin increased by $25.3 million to $74.5 million for the three-month period ended March 31, 2007, from $49.2 million for the same period last year. Gross margin as a percentage of total revenue is 61% for the first quarter 2007. Much of this decrease in gross margin as a percentage of revenue compared to the same period last year comes from the inclusion of significant sales of lower margin Radionics and Miltex products.</w:t>
      </w:r>
    </w:p>
    <w:p>
      <w:pPr>
        <w:spacing w:after="0" w:line="146" w:lineRule="exact"/>
        <w:rPr>
          <w:sz w:val="20"/>
          <w:szCs w:val="20"/>
          <w:color w:val="auto"/>
        </w:rPr>
      </w:pPr>
    </w:p>
    <w:p>
      <w:pPr>
        <w:ind w:left="340" w:right="579"/>
        <w:spacing w:after="0" w:line="264" w:lineRule="auto"/>
        <w:rPr>
          <w:sz w:val="20"/>
          <w:szCs w:val="20"/>
          <w:color w:val="auto"/>
        </w:rPr>
      </w:pPr>
      <w:r>
        <w:rPr>
          <w:rFonts w:ascii="Arial" w:cs="Arial" w:eastAsia="Arial" w:hAnsi="Arial"/>
          <w:sz w:val="18"/>
          <w:szCs w:val="18"/>
          <w:color w:val="auto"/>
        </w:rPr>
        <w:t>We expect that sales of our higher gross margin products will continue to increase as a proportion of total product revenues. We anticipate that the relatively lower gross margins generated from sales of Radionics and Miltex products will offset some of these benefits.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22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r>
      <w:tr>
        <w:trPr>
          <w:trHeight w:val="129"/>
        </w:trPr>
        <w:tc>
          <w:tcPr>
            <w:tcW w:w="7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Total other operating expenses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bl>
    <w:p>
      <w:pPr>
        <w:spacing w:after="0" w:line="147" w:lineRule="exact"/>
        <w:rPr>
          <w:sz w:val="20"/>
          <w:szCs w:val="20"/>
          <w:color w:val="auto"/>
        </w:rPr>
      </w:pPr>
    </w:p>
    <w:p>
      <w:pPr>
        <w:jc w:val="both"/>
        <w:ind w:left="340" w:right="31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 selling, general and administrative expense and amortization expense, increased $22.4 million, or 63%, to $58.0 million in the first quarter of 2007, compared to $35.6 million in the first quarter of 2006.</w:t>
      </w:r>
    </w:p>
    <w:p>
      <w:pPr>
        <w:spacing w:after="0" w:line="141" w:lineRule="exact"/>
        <w:rPr>
          <w:sz w:val="20"/>
          <w:szCs w:val="20"/>
          <w:color w:val="auto"/>
        </w:rPr>
      </w:pPr>
    </w:p>
    <w:p>
      <w:pPr>
        <w:ind w:left="340" w:right="239"/>
        <w:spacing w:after="0" w:line="264" w:lineRule="auto"/>
        <w:rPr>
          <w:sz w:val="20"/>
          <w:szCs w:val="20"/>
          <w:color w:val="auto"/>
        </w:rPr>
      </w:pPr>
      <w:r>
        <w:rPr>
          <w:rFonts w:ascii="Arial" w:cs="Arial" w:eastAsia="Arial" w:hAnsi="Arial"/>
          <w:sz w:val="18"/>
          <w:szCs w:val="18"/>
          <w:color w:val="auto"/>
        </w:rPr>
        <w:t>Research and development expenses in the first quarter of 2007 increased by $2.9 million to $6.1 million, compared to $3.2 million in the same period last year. The increase was primarily due to increased spending on collagen regenerative technology and ultrasonic aspirator product development programs.</w:t>
      </w:r>
    </w:p>
    <w:p>
      <w:pPr>
        <w:spacing w:after="0" w:line="154" w:lineRule="exact"/>
        <w:rPr>
          <w:sz w:val="20"/>
          <w:szCs w:val="20"/>
          <w:color w:val="auto"/>
        </w:rPr>
      </w:pPr>
    </w:p>
    <w:p>
      <w:pPr>
        <w:ind w:left="340" w:right="239"/>
        <w:spacing w:after="0" w:line="257" w:lineRule="auto"/>
        <w:rPr>
          <w:sz w:val="20"/>
          <w:szCs w:val="20"/>
          <w:color w:val="auto"/>
        </w:rPr>
      </w:pPr>
      <w:r>
        <w:rPr>
          <w:rFonts w:ascii="Arial" w:cs="Arial" w:eastAsia="Arial" w:hAnsi="Arial"/>
          <w:sz w:val="18"/>
          <w:szCs w:val="18"/>
          <w:color w:val="auto"/>
        </w:rPr>
        <w:t>In 2007, we expect our research and development expenses as a percentage of total revenues to increase as we increase expenditures on research and clinical activities. These activities will be directed toward expanding the indications for use of our absorbable implant technology products, including a multi-center clinical trial suitable to support an application to the FDA for approval of the DuraGen Plus</w:t>
      </w:r>
      <w:r>
        <w:rPr>
          <w:rFonts w:ascii="Arial" w:cs="Arial" w:eastAsia="Arial" w:hAnsi="Arial"/>
          <w:sz w:val="15"/>
          <w:szCs w:val="15"/>
          <w:color w:val="auto"/>
        </w:rPr>
        <w:t>®</w:t>
      </w:r>
      <w:r>
        <w:rPr>
          <w:rFonts w:ascii="Arial" w:cs="Arial" w:eastAsia="Arial" w:hAnsi="Arial"/>
          <w:sz w:val="18"/>
          <w:szCs w:val="18"/>
          <w:color w:val="auto"/>
        </w:rPr>
        <w:t xml:space="preserve"> Adhesion Barrier Matrix product in the United States. The acquired Radionics business also adds to our research and development spending.</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Selling, general and administrative expenses in the first quarter of 2007 increased by $18.0 million to $49.1 million, compared to</w:t>
      </w:r>
    </w:p>
    <w:p>
      <w:pPr>
        <w:spacing w:after="0" w:line="35" w:lineRule="exact"/>
        <w:rPr>
          <w:sz w:val="20"/>
          <w:szCs w:val="20"/>
          <w:color w:val="auto"/>
        </w:rPr>
      </w:pPr>
    </w:p>
    <w:p>
      <w:pPr>
        <w:ind w:left="340" w:right="299"/>
        <w:spacing w:after="0" w:line="254" w:lineRule="auto"/>
        <w:rPr>
          <w:sz w:val="20"/>
          <w:szCs w:val="20"/>
          <w:color w:val="auto"/>
        </w:rPr>
      </w:pPr>
      <w:r>
        <w:rPr>
          <w:rFonts w:ascii="Arial" w:cs="Arial" w:eastAsia="Arial" w:hAnsi="Arial"/>
          <w:sz w:val="18"/>
          <w:szCs w:val="18"/>
          <w:color w:val="auto"/>
        </w:rPr>
        <w:t>$31.1 million in the same period last year. Selling expenses increased by $6.9 million primarily due to the accelerated ramp up in our extremities reconstructive, intensive care unit specialist and spine sales forces. Selling, general and administrative expenses also increased in the first quarter of 2007 compared to the same period last year in connection with the acquisitions of Radionics, Miltex, KMI and Canada Microsurgical businesses.</w:t>
      </w:r>
    </w:p>
    <w:p>
      <w:pPr>
        <w:spacing w:after="0" w:line="149" w:lineRule="exact"/>
        <w:rPr>
          <w:sz w:val="20"/>
          <w:szCs w:val="20"/>
          <w:color w:val="auto"/>
        </w:rPr>
      </w:pPr>
    </w:p>
    <w:p>
      <w:pPr>
        <w:ind w:left="340" w:right="199"/>
        <w:spacing w:after="0" w:line="297" w:lineRule="auto"/>
        <w:rPr>
          <w:sz w:val="20"/>
          <w:szCs w:val="20"/>
          <w:color w:val="auto"/>
        </w:rPr>
      </w:pPr>
      <w:r>
        <w:rPr>
          <w:rFonts w:ascii="Arial" w:cs="Arial" w:eastAsia="Arial" w:hAnsi="Arial"/>
          <w:sz w:val="16"/>
          <w:szCs w:val="16"/>
          <w:color w:val="auto"/>
        </w:rPr>
        <w:t>We will continue to expand our direct sales and marketing organizations in our direct selling platforms and increased corporate staff to support the recent growth in our business and to integrate acquired businesses. Additionally, we have incurred higher operating costs in connection with our recent investments in our infrastructure, including the continued implementation of an enterprise business system and the relocation and expansion of our domestic and international distribution capabilities through third-party service providers. We expect to incur costs related to these activities in 2007 as we complete these on-going activities.</w:t>
      </w:r>
    </w:p>
    <w:p>
      <w:pPr>
        <w:spacing w:after="0" w:line="131" w:lineRule="exact"/>
        <w:rPr>
          <w:sz w:val="20"/>
          <w:szCs w:val="20"/>
          <w:color w:val="auto"/>
        </w:rPr>
      </w:pPr>
    </w:p>
    <w:p>
      <w:pPr>
        <w:jc w:val="both"/>
        <w:ind w:left="340" w:right="599"/>
        <w:spacing w:after="0" w:line="264" w:lineRule="auto"/>
        <w:rPr>
          <w:sz w:val="20"/>
          <w:szCs w:val="20"/>
          <w:color w:val="auto"/>
        </w:rPr>
      </w:pPr>
      <w:r>
        <w:rPr>
          <w:rFonts w:ascii="Arial" w:cs="Arial" w:eastAsia="Arial" w:hAnsi="Arial"/>
          <w:sz w:val="18"/>
          <w:szCs w:val="18"/>
          <w:color w:val="auto"/>
        </w:rPr>
        <w:t>Amortization expense in the first quarter of 2007 increased by $1.5 million to $2.8 million, compared to $1.3 million in the same period last year. The increase was primarily related to Miltex and KMI intangible assets acquired in 2006 and DenLite intangible assets acquired in the first quarter of 2007.</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14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r>
      <w:tr>
        <w:trPr>
          <w:trHeight w:val="129"/>
        </w:trPr>
        <w:tc>
          <w:tcPr>
            <w:tcW w:w="7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1,682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ind w:left="340" w:right="419"/>
        <w:spacing w:after="0" w:line="277" w:lineRule="auto"/>
        <w:rPr>
          <w:sz w:val="20"/>
          <w:szCs w:val="20"/>
          <w:color w:val="auto"/>
        </w:rPr>
      </w:pPr>
      <w:r>
        <w:rPr>
          <w:rFonts w:ascii="Arial" w:cs="Arial" w:eastAsia="Arial" w:hAnsi="Arial"/>
          <w:sz w:val="18"/>
          <w:szCs w:val="18"/>
          <w:color w:val="auto"/>
        </w:rPr>
        <w:t>Interest income decreased in the three-month period ended March 31, 2007, compared to the same period last year, primarily due to lower average cash and investment balances.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340" w:right="1600"/>
        <w:spacing w:after="0" w:line="277" w:lineRule="auto"/>
        <w:rPr>
          <w:sz w:val="20"/>
          <w:szCs w:val="20"/>
          <w:color w:val="auto"/>
        </w:rPr>
      </w:pPr>
      <w:r>
        <w:rPr>
          <w:rFonts w:ascii="Arial" w:cs="Arial" w:eastAsia="Arial" w:hAnsi="Arial"/>
          <w:sz w:val="18"/>
          <w:szCs w:val="18"/>
          <w:color w:val="auto"/>
        </w:rPr>
        <w:t>Interest expense increased in the three-month period ended March 31, 2007, compared to the same period last year, primarily due to increases in outstanding borrowings under our $300 million senior secured credit facility.</w:t>
      </w:r>
    </w:p>
    <w:p>
      <w:pPr>
        <w:spacing w:after="0" w:line="130" w:lineRule="exact"/>
        <w:rPr>
          <w:sz w:val="20"/>
          <w:szCs w:val="20"/>
          <w:color w:val="auto"/>
        </w:rPr>
      </w:pPr>
    </w:p>
    <w:p>
      <w:pPr>
        <w:jc w:val="both"/>
        <w:ind w:left="340" w:right="1580"/>
        <w:spacing w:after="0" w:line="264" w:lineRule="auto"/>
        <w:rPr>
          <w:sz w:val="20"/>
          <w:szCs w:val="20"/>
          <w:color w:val="auto"/>
        </w:rPr>
      </w:pPr>
      <w:r>
        <w:rPr>
          <w:rFonts w:ascii="Arial" w:cs="Arial" w:eastAsia="Arial" w:hAnsi="Arial"/>
          <w:sz w:val="18"/>
          <w:szCs w:val="18"/>
          <w:color w:val="auto"/>
        </w:rPr>
        <w:t>Our reported interest expense for the three-month periods ended March 31, 2007 and 2006, respectively, includes $750,000 of cash interest expense on convertible notes. Interest expense of three months period ended March 31, 2006 includes $202,000 of non-cash amortization of debt issuance costs.</w:t>
      </w:r>
    </w:p>
    <w:p>
      <w:pPr>
        <w:spacing w:after="0" w:line="141" w:lineRule="exact"/>
        <w:rPr>
          <w:sz w:val="20"/>
          <w:szCs w:val="20"/>
          <w:color w:val="auto"/>
        </w:rPr>
      </w:pPr>
    </w:p>
    <w:p>
      <w:pPr>
        <w:ind w:left="340" w:right="1380"/>
        <w:spacing w:after="0" w:line="259" w:lineRule="auto"/>
        <w:rPr>
          <w:sz w:val="20"/>
          <w:szCs w:val="20"/>
          <w:color w:val="auto"/>
        </w:rPr>
      </w:pPr>
      <w:r>
        <w:rPr>
          <w:rFonts w:ascii="Arial" w:cs="Arial" w:eastAsia="Arial" w:hAnsi="Arial"/>
          <w:sz w:val="18"/>
          <w:szCs w:val="18"/>
          <w:color w:val="auto"/>
        </w:rPr>
        <w:t>We will pay additional interest on our convertible notes under certain conditions. The fair value of this contingent interest obligation is marked to its fair value at each balance sheet date, with changes in the fair value recorded to interest expense. The changes in the estimated fair value of the contingent interest obligation increased interest expense by $168,000 and $233,000 for the three months ended March 31, 2007 and 2006, respectively.</w:t>
      </w:r>
    </w:p>
    <w:p>
      <w:pPr>
        <w:spacing w:after="0" w:line="160" w:lineRule="exact"/>
        <w:rPr>
          <w:sz w:val="20"/>
          <w:szCs w:val="20"/>
          <w:color w:val="auto"/>
        </w:rPr>
      </w:pPr>
    </w:p>
    <w:p>
      <w:pPr>
        <w:ind w:left="340" w:right="1520"/>
        <w:spacing w:after="0" w:line="273" w:lineRule="auto"/>
        <w:rPr>
          <w:sz w:val="20"/>
          <w:szCs w:val="20"/>
          <w:color w:val="auto"/>
        </w:rPr>
      </w:pPr>
      <w:r>
        <w:rPr>
          <w:rFonts w:ascii="Arial" w:cs="Arial" w:eastAsia="Arial" w:hAnsi="Arial"/>
          <w:sz w:val="17"/>
          <w:szCs w:val="17"/>
          <w:color w:val="auto"/>
        </w:rPr>
        <w:t>We had an interest rate swap agreement with a $50 million notional amount to hedge the risk of changes in fair value attributable to interest rate risk with respect to a portion of our fixed rate convertible notes. The net amount to be paid or received under the interest rate swap agreement was recorded as a component of interest expense. Interest expense associated with the interest rate swap for the three months ended March 31, 2006 was $210,000. On September 27, 2006, we terminated this interest rate swap agreement in connection with the exchange of our convertible notes. As we terminated this swap agreement, we did not incur any expense for the three months ended March 31, 2007 associated with this swap.</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ind w:left="340" w:right="1740"/>
        <w:spacing w:after="0" w:line="277" w:lineRule="auto"/>
        <w:rPr>
          <w:sz w:val="20"/>
          <w:szCs w:val="20"/>
          <w:color w:val="auto"/>
        </w:rPr>
      </w:pPr>
      <w:r>
        <w:rPr>
          <w:rFonts w:ascii="Arial" w:cs="Arial" w:eastAsia="Arial" w:hAnsi="Arial"/>
          <w:sz w:val="18"/>
          <w:szCs w:val="18"/>
          <w:color w:val="auto"/>
        </w:rPr>
        <w:t>Other income decreased in the three-month period ended March 31, 2007, compared to the same period last year, primarily due to foreign exchange loss of $117,000 in the first quarter of 2007.</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67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13,759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12,998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4,685</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9,074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340" w:right="1520"/>
        <w:spacing w:after="0" w:line="264" w:lineRule="auto"/>
        <w:rPr>
          <w:sz w:val="20"/>
          <w:szCs w:val="20"/>
          <w:color w:val="auto"/>
        </w:rPr>
      </w:pPr>
      <w:r>
        <w:rPr>
          <w:rFonts w:ascii="Arial" w:cs="Arial" w:eastAsia="Arial" w:hAnsi="Arial"/>
          <w:sz w:val="18"/>
          <w:szCs w:val="18"/>
          <w:color w:val="auto"/>
        </w:rPr>
        <w:t>Our effective income tax rate for the three months ended March 31, 2007 and 2006 was 34% and 33%, respectively. The increase in the effective income tax rate year-over-year was primarily due to the changes in the geographic mix of taxable income attributable to recently acquired businesses.</w:t>
      </w:r>
    </w:p>
    <w:p>
      <w:pPr>
        <w:spacing w:after="0" w:line="141" w:lineRule="exact"/>
        <w:rPr>
          <w:sz w:val="20"/>
          <w:szCs w:val="20"/>
          <w:color w:val="auto"/>
        </w:rPr>
      </w:pPr>
    </w:p>
    <w:p>
      <w:pPr>
        <w:jc w:val="both"/>
        <w:ind w:left="340" w:right="1420"/>
        <w:spacing w:after="0" w:line="264"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realized deferred tax assets.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INTERNATIONAL PRODUCT REVENUES AND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States</w:t>
            </w:r>
          </w:p>
        </w:tc>
        <w:tc>
          <w:tcPr>
            <w:tcW w:w="1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Pacific</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Foreign</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r>
      <w:tr>
        <w:trPr>
          <w:trHeight w:val="129"/>
        </w:trPr>
        <w:tc>
          <w:tcPr>
            <w:tcW w:w="3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91,374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123,032</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Three months ended March 31, 2006</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57,238</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14,375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2,796</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2,726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77,135</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59"/>
        <w:spacing w:after="0" w:line="297" w:lineRule="auto"/>
        <w:rPr>
          <w:sz w:val="20"/>
          <w:szCs w:val="20"/>
          <w:color w:val="auto"/>
        </w:rPr>
      </w:pPr>
      <w:r>
        <w:rPr>
          <w:rFonts w:ascii="Arial" w:cs="Arial" w:eastAsia="Arial" w:hAnsi="Arial"/>
          <w:sz w:val="16"/>
          <w:szCs w:val="16"/>
          <w:color w:val="auto"/>
        </w:rPr>
        <w:t>For the three months ended March 31, 2007, revenues from customers outside the United States totaled $31.7 million, or 26% of total revenues, of which approximately 63% were to European customers. Revenues from customers outside the United States included $19.5 million of revenues generated in foreign currencies. For the three months ended March 31, 2006, revenues from customers outside the United States totaled $19.9 million, or 26% of total revenues, of which approximately 72% were to European customers. Revenues from customers outside the United States included $14.7 million of revenues generated in foreign currencies.</w:t>
      </w:r>
    </w:p>
    <w:p>
      <w:pPr>
        <w:spacing w:after="0" w:line="131" w:lineRule="exact"/>
        <w:rPr>
          <w:sz w:val="20"/>
          <w:szCs w:val="20"/>
          <w:color w:val="auto"/>
        </w:rPr>
      </w:pPr>
    </w:p>
    <w:p>
      <w:pPr>
        <w:ind w:left="340" w:right="259"/>
        <w:spacing w:after="0" w:line="273" w:lineRule="auto"/>
        <w:rPr>
          <w:sz w:val="20"/>
          <w:szCs w:val="20"/>
          <w:color w:val="auto"/>
        </w:rPr>
      </w:pPr>
      <w:r>
        <w:rPr>
          <w:rFonts w:ascii="Arial" w:cs="Arial" w:eastAsia="Arial" w:hAnsi="Arial"/>
          <w:sz w:val="17"/>
          <w:szCs w:val="17"/>
          <w:color w:val="auto"/>
        </w:rPr>
        <w:t>Because we have operations based in Europe and we generate revenues and incur operating expenses in Euros and British pounds, we experience currency exchange risk with respect to those foreign currency denominated revenues or expenses.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38" w:lineRule="exact"/>
        <w:rPr>
          <w:sz w:val="20"/>
          <w:szCs w:val="20"/>
          <w:color w:val="auto"/>
        </w:rPr>
      </w:pPr>
    </w:p>
    <w:p>
      <w:pPr>
        <w:ind w:left="340" w:right="179"/>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46" w:lineRule="exact"/>
        <w:rPr>
          <w:sz w:val="20"/>
          <w:szCs w:val="20"/>
          <w:color w:val="auto"/>
        </w:rPr>
      </w:pPr>
    </w:p>
    <w:p>
      <w:pPr>
        <w:ind w:left="340" w:right="299"/>
        <w:spacing w:after="0" w:line="342" w:lineRule="auto"/>
        <w:rPr>
          <w:sz w:val="20"/>
          <w:szCs w:val="20"/>
          <w:color w:val="auto"/>
        </w:rPr>
      </w:pPr>
      <w:r>
        <w:rPr>
          <w:rFonts w:ascii="Arial" w:cs="Arial" w:eastAsia="Arial" w:hAnsi="Arial"/>
          <w:sz w:val="16"/>
          <w:szCs w:val="16"/>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97" w:lineRule="exact"/>
        <w:rPr>
          <w:sz w:val="20"/>
          <w:szCs w:val="20"/>
          <w:color w:val="auto"/>
        </w:rPr>
      </w:pPr>
    </w:p>
    <w:p>
      <w:pPr>
        <w:ind w:left="340" w:right="679"/>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ind w:left="340" w:right="499"/>
        <w:spacing w:after="0" w:line="277" w:lineRule="auto"/>
        <w:rPr>
          <w:sz w:val="20"/>
          <w:szCs w:val="20"/>
          <w:color w:val="auto"/>
        </w:rPr>
      </w:pPr>
      <w:r>
        <w:rPr>
          <w:rFonts w:ascii="Arial" w:cs="Arial" w:eastAsia="Arial" w:hAnsi="Arial"/>
          <w:sz w:val="18"/>
          <w:szCs w:val="18"/>
          <w:color w:val="auto"/>
        </w:rPr>
        <w:t>We had cash and cash equivalents totaling approximately $29.3 million and $22.7 million as of March 31, 2007 and December 31, 2006,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8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(56,482)</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Effect of exchange rate fluctuations on cash</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202" w:lineRule="exact"/>
        <w:rPr>
          <w:sz w:val="20"/>
          <w:szCs w:val="20"/>
          <w:color w:val="auto"/>
        </w:rPr>
      </w:pPr>
    </w:p>
    <w:p>
      <w:pPr>
        <w:ind w:left="340" w:right="299"/>
        <w:spacing w:after="0" w:line="279" w:lineRule="auto"/>
        <w:rPr>
          <w:sz w:val="20"/>
          <w:szCs w:val="20"/>
          <w:color w:val="auto"/>
        </w:rPr>
      </w:pPr>
      <w:r>
        <w:rPr>
          <w:rFonts w:ascii="Arial" w:cs="Arial" w:eastAsia="Arial" w:hAnsi="Arial"/>
          <w:sz w:val="17"/>
          <w:szCs w:val="17"/>
          <w:color w:val="auto"/>
        </w:rPr>
        <w:t>We generated positive operating cash flows of $15.3 million and $10.9 million at March 31, 2007 and 2006, respectively. Operating cash flows for the year ended December 31, 2006 were $71.7 million. Cash provided by operations has recently been and is expected to continue to be our primary means of funding existing operations and capital expenditures. Operating cash flows continued to improve as a result of higher pre-tax income, and improved working capital management.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Provided by Investing and Financing Activities</w:t>
      </w:r>
    </w:p>
    <w:p>
      <w:pPr>
        <w:spacing w:after="0" w:line="189" w:lineRule="exact"/>
        <w:rPr>
          <w:sz w:val="20"/>
          <w:szCs w:val="20"/>
          <w:color w:val="auto"/>
        </w:rPr>
      </w:pPr>
    </w:p>
    <w:p>
      <w:pPr>
        <w:ind w:left="340" w:right="319"/>
        <w:spacing w:after="0" w:line="259" w:lineRule="auto"/>
        <w:rPr>
          <w:sz w:val="20"/>
          <w:szCs w:val="20"/>
          <w:color w:val="auto"/>
        </w:rPr>
      </w:pPr>
      <w:r>
        <w:rPr>
          <w:rFonts w:ascii="Arial" w:cs="Arial" w:eastAsia="Arial" w:hAnsi="Arial"/>
          <w:sz w:val="18"/>
          <w:szCs w:val="18"/>
          <w:color w:val="auto"/>
        </w:rPr>
        <w:t>Our principal uses of funds during the first quarter ended March 31, 2007 were $11.1 million paid for the purchase of 264,000 shares of common stock and $3.8 million in capital expenditures. We received $7.5 million from the issuance of common stock through the exercise of stock options during the period. We also borrowed $39.0 million under senior credit facility and paid off $39.0 million loans.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202" w:lineRule="exact"/>
        <w:rPr>
          <w:sz w:val="20"/>
          <w:szCs w:val="20"/>
          <w:color w:val="auto"/>
        </w:rPr>
      </w:pPr>
    </w:p>
    <w:p>
      <w:pPr>
        <w:ind w:left="340" w:right="259"/>
        <w:spacing w:after="0" w:line="259" w:lineRule="auto"/>
        <w:rPr>
          <w:sz w:val="20"/>
          <w:szCs w:val="20"/>
          <w:color w:val="auto"/>
        </w:rPr>
      </w:pPr>
      <w:r>
        <w:rPr>
          <w:rFonts w:ascii="Arial" w:cs="Arial" w:eastAsia="Arial" w:hAnsi="Arial"/>
          <w:sz w:val="18"/>
          <w:szCs w:val="18"/>
          <w:color w:val="auto"/>
        </w:rPr>
        <w:t>At March 31, 2007 and December 2006, working capital was $(43.9) million and $(52.4) million, respectively. Our convertible securities totaling $120 million are classified as current liabilities on the balance sheet because both the new and old notes are due within twelve months. The increase in working capital is primarily related to the increase of cash and cash equivalents of $6.6 million in the first quarter of 2007.</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189"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We pay interest on our contingent convertible subordinated notes at an annual rate of 2.5% each September 15 and March 15. We will also pay contingent interest on the notes if, at thirty days prior to maturity, our common stock price is greater than $37.56. The contingent interest will be payable at maturity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notes may convert the notes under certain circumstances, including when the market price of our common stock on the previous trading day is more than $37.56 per share, based on an initial conversion price of $34.15 per share.</w:t>
      </w:r>
    </w:p>
    <w:p>
      <w:pPr>
        <w:spacing w:after="0" w:line="162" w:lineRule="exact"/>
        <w:rPr>
          <w:sz w:val="20"/>
          <w:szCs w:val="20"/>
          <w:color w:val="auto"/>
        </w:rPr>
      </w:pPr>
    </w:p>
    <w:p>
      <w:pPr>
        <w:ind w:left="340" w:right="339"/>
        <w:spacing w:after="0" w:line="264" w:lineRule="auto"/>
        <w:rPr>
          <w:sz w:val="20"/>
          <w:szCs w:val="20"/>
          <w:color w:val="auto"/>
        </w:rPr>
      </w:pPr>
      <w:r>
        <w:rPr>
          <w:rFonts w:ascii="Arial" w:cs="Arial" w:eastAsia="Arial" w:hAnsi="Arial"/>
          <w:sz w:val="18"/>
          <w:szCs w:val="18"/>
          <w:color w:val="auto"/>
        </w:rPr>
        <w:t>The notes are general, unsecured obligations of the Company and will be subordinate to any future senior indebtedness. We cannot redeem the notes prior to their maturity, and the note holders may compel us to repurchase the notes upon a change of control. There are no financial covenants associated with the convertible notes.</w:t>
      </w:r>
    </w:p>
    <w:p>
      <w:pPr>
        <w:spacing w:after="0" w:line="141" w:lineRule="exact"/>
        <w:rPr>
          <w:sz w:val="20"/>
          <w:szCs w:val="20"/>
          <w:color w:val="auto"/>
        </w:rPr>
      </w:pPr>
    </w:p>
    <w:p>
      <w:pPr>
        <w:ind w:left="340" w:right="539"/>
        <w:spacing w:after="0" w:line="302" w:lineRule="auto"/>
        <w:rPr>
          <w:sz w:val="20"/>
          <w:szCs w:val="20"/>
          <w:color w:val="auto"/>
        </w:rPr>
      </w:pPr>
      <w:r>
        <w:rPr>
          <w:rFonts w:ascii="Arial" w:cs="Arial" w:eastAsia="Arial" w:hAnsi="Arial"/>
          <w:sz w:val="16"/>
          <w:szCs w:val="16"/>
          <w:color w:val="auto"/>
        </w:rPr>
        <w:t>On September 27, 2006, we concluded an offer to exchange up to $120 million principal amount of new notes with a “net share settlement” mechanism for our then outstanding contingent convertible subordinated notes. As of that date, an aggregate principal amount of $115.2 million of old notes was tendered. On October 20, 2006 an additional $4.3 million of old notes were tendered, bringing the total amount of exchanges to $119.5 million, or 99.6% of the original $120 million principal amount.</w:t>
      </w:r>
    </w:p>
    <w:p>
      <w:pPr>
        <w:spacing w:after="0" w:line="114" w:lineRule="exact"/>
        <w:rPr>
          <w:sz w:val="20"/>
          <w:szCs w:val="20"/>
          <w:color w:val="auto"/>
        </w:rPr>
      </w:pPr>
    </w:p>
    <w:p>
      <w:pPr>
        <w:ind w:left="340" w:right="199"/>
        <w:spacing w:after="0" w:line="272" w:lineRule="auto"/>
        <w:rPr>
          <w:sz w:val="20"/>
          <w:szCs w:val="20"/>
          <w:color w:val="auto"/>
        </w:rPr>
      </w:pPr>
      <w:r>
        <w:rPr>
          <w:rFonts w:ascii="Arial" w:cs="Arial" w:eastAsia="Arial" w:hAnsi="Arial"/>
          <w:sz w:val="17"/>
          <w:szCs w:val="17"/>
          <w:color w:val="auto"/>
        </w:rPr>
        <w:t>The Company has a $300 million, five-year, senior secured revolving credit facility, which it utilizes for working capital, capital expenditures, share repurchases, acquisitions and other general corporate purposes. The Company makes regular borrowings and payments each month against the credit facility and considers the outstanding amounts to be short-term in nature. We amended the credit facility in February 2007 to increase the size of the credit facility to $300 million, which can be increased to $400 million should additional financing be required in the future. We make regular borrowings and payments each month against the credit facility and consider the outstanding amounts to be short-term in nature. As of March 31, 2007, the Company had $100 million of outstanding borrowings under the credit facility at a weighted average interest rate of 6.4% per annum.</w:t>
      </w:r>
    </w:p>
    <w:p>
      <w:pPr>
        <w:spacing w:after="0" w:line="151" w:lineRule="exact"/>
        <w:rPr>
          <w:sz w:val="20"/>
          <w:szCs w:val="20"/>
          <w:color w:val="auto"/>
        </w:rPr>
      </w:pPr>
    </w:p>
    <w:p>
      <w:pPr>
        <w:ind w:left="340" w:right="399"/>
        <w:spacing w:after="0" w:line="279" w:lineRule="auto"/>
        <w:rPr>
          <w:sz w:val="20"/>
          <w:szCs w:val="20"/>
          <w:color w:val="auto"/>
        </w:rPr>
      </w:pPr>
      <w:r>
        <w:rPr>
          <w:rFonts w:ascii="Arial" w:cs="Arial" w:eastAsia="Arial" w:hAnsi="Arial"/>
          <w:sz w:val="17"/>
          <w:szCs w:val="17"/>
          <w:color w:val="auto"/>
        </w:rPr>
        <w:t>The indebtedness under the credit facility is guaranteed by the Company’s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131"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Borrowings under the credit facility bear interest, at the Company’s option, at a rate equal to (i) the Eurodollar Rate in effect from time to time plus an applicable rate (ranging from 0.375% to 1.25%) or (ii) the higher of (x) the weighted average overnight Federal funds rate, as published by the Federal Reserve Bank of New York, plus 0.5%, and (y) the prime commercial lending rate of Bank of America, N.A. plus an applicable rate (ranging from 0% to 0.25%). The applicable rates are based on a financial ratio at the time of the applicable borrowing. We will also pay an annual commitment fee (ranging from 0.10% to 0.20%) on the daily amount by which the commitments under the credit facility exceed the outstanding loans and letters of credit under the credit facility.</w:t>
      </w:r>
    </w:p>
    <w:p>
      <w:pPr>
        <w:spacing w:after="0" w:line="124"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The Company was in compliance with all of our debt covenants during 2006 and 2007.</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202" w:lineRule="exact"/>
        <w:rPr>
          <w:sz w:val="20"/>
          <w:szCs w:val="20"/>
          <w:color w:val="auto"/>
        </w:rPr>
      </w:pPr>
    </w:p>
    <w:p>
      <w:pPr>
        <w:ind w:left="340" w:right="259"/>
        <w:spacing w:after="0" w:line="259" w:lineRule="auto"/>
        <w:rPr>
          <w:sz w:val="20"/>
          <w:szCs w:val="20"/>
          <w:color w:val="auto"/>
        </w:rPr>
      </w:pPr>
      <w:r>
        <w:rPr>
          <w:rFonts w:ascii="Arial" w:cs="Arial" w:eastAsia="Arial" w:hAnsi="Arial"/>
          <w:sz w:val="18"/>
          <w:szCs w:val="18"/>
          <w:color w:val="auto"/>
        </w:rPr>
        <w:t>In October 2006, our Board of Directors adopted a new program that authorizes us to repurchase shares of our common stock for an aggregate purchase price not to exceed $75 million through December 31, 2007. Shares may be repurchased either in the open market or in privately negotiated transactions. The Company paid $11.1 million for 264,000 shares of its common stock during the first quarter of 2007.</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left="340" w:right="21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189" w:lineRule="exact"/>
        <w:rPr>
          <w:sz w:val="20"/>
          <w:szCs w:val="20"/>
          <w:color w:val="auto"/>
        </w:rPr>
      </w:pPr>
    </w:p>
    <w:p>
      <w:pPr>
        <w:ind w:left="340" w:right="279"/>
        <w:spacing w:after="0" w:line="259" w:lineRule="auto"/>
        <w:rPr>
          <w:sz w:val="20"/>
          <w:szCs w:val="20"/>
          <w:color w:val="auto"/>
        </w:rPr>
      </w:pPr>
      <w:r>
        <w:rPr>
          <w:rFonts w:ascii="Arial" w:cs="Arial" w:eastAsia="Arial" w:hAnsi="Arial"/>
          <w:sz w:val="18"/>
          <w:szCs w:val="18"/>
          <w:color w:val="auto"/>
        </w:rPr>
        <w:t>We believe that our cash and borrowings under the senior secured revolving credit facility are sufficient to finance our operations and capital expenditures in the near term. We make regular borrowings and payments each month against the credit facility and consider the outstanding amounts to be short-term in nature. See “Convertible Debt and Senior Secured Revolving Credit Facility” for a description of the material terms of our credit facility.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2007, we were obligated to pay the following amounts under various agreements: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More than</w:t>
            </w:r>
          </w:p>
        </w:tc>
      </w:tr>
      <w:tr>
        <w:trPr>
          <w:trHeight w:val="230"/>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1 Year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8"/>
                <w:szCs w:val="18"/>
                <w:color w:val="auto"/>
                <w:w w:val="84"/>
              </w:rPr>
              <w:t>Years</w:t>
            </w:r>
          </w:p>
        </w:tc>
        <w:tc>
          <w:tcPr>
            <w:tcW w:w="18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 years</w:t>
            </w:r>
          </w:p>
        </w:tc>
      </w:tr>
      <w:tr>
        <w:trPr>
          <w:trHeight w:val="210"/>
        </w:trPr>
        <w:tc>
          <w:tcPr>
            <w:tcW w:w="3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on Long Term Debt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under other agreements we are required to make payments based on sales levels of certain products.</w:t>
      </w:r>
    </w:p>
    <w:p>
      <w:pPr>
        <w:spacing w:after="0" w:line="185" w:lineRule="exact"/>
        <w:rPr>
          <w:sz w:val="20"/>
          <w:szCs w:val="20"/>
          <w:color w:val="auto"/>
        </w:rPr>
      </w:pPr>
    </w:p>
    <w:p>
      <w:pPr>
        <w:ind w:left="340" w:right="219"/>
        <w:spacing w:after="0" w:line="277" w:lineRule="auto"/>
        <w:rPr>
          <w:sz w:val="20"/>
          <w:szCs w:val="20"/>
          <w:color w:val="auto"/>
        </w:rPr>
      </w:pPr>
      <w:r>
        <w:rPr>
          <w:rFonts w:ascii="Arial" w:cs="Arial" w:eastAsia="Arial" w:hAnsi="Arial"/>
          <w:sz w:val="18"/>
          <w:szCs w:val="18"/>
          <w:color w:val="auto"/>
        </w:rPr>
        <w:t>The above table does not include contingent interest that we may be obligated to pay on our contingent convertible subordinated notes due in March 2008. See “— Results of Operations — Non-Operating Income and Expenses.”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Critical Accounting Estimates</w:t>
      </w:r>
    </w:p>
    <w:p>
      <w:pPr>
        <w:spacing w:after="0" w:line="185" w:lineRule="exact"/>
        <w:rPr>
          <w:sz w:val="20"/>
          <w:szCs w:val="20"/>
          <w:color w:val="auto"/>
        </w:rPr>
      </w:pPr>
    </w:p>
    <w:p>
      <w:pPr>
        <w:ind w:left="340" w:right="299"/>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2006 have not materially changed.</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w:t>
      </w:r>
    </w:p>
    <w:p>
      <w:pPr>
        <w:spacing w:after="0" w:line="202" w:lineRule="exact"/>
        <w:rPr>
          <w:sz w:val="20"/>
          <w:szCs w:val="20"/>
          <w:color w:val="auto"/>
        </w:rPr>
      </w:pPr>
    </w:p>
    <w:p>
      <w:pPr>
        <w:jc w:val="both"/>
        <w:ind w:left="340" w:right="679"/>
        <w:spacing w:after="0" w:line="264" w:lineRule="auto"/>
        <w:rPr>
          <w:sz w:val="20"/>
          <w:szCs w:val="20"/>
          <w:color w:val="auto"/>
        </w:rPr>
      </w:pPr>
      <w:r>
        <w:rPr>
          <w:rFonts w:ascii="Arial" w:cs="Arial" w:eastAsia="Arial" w:hAnsi="Arial"/>
          <w:sz w:val="18"/>
          <w:szCs w:val="18"/>
          <w:color w:val="auto"/>
        </w:rPr>
        <w:t>Effective January 1, 2007, the Company adopted Financial Accounting Standards Board Interpretation No. 48 “Accounting for Uncertainty in Income Taxes” (“FIN 48”). Refer to Note 1 to our condensed consolidated financial statements entitled “Basis of Presentation” for further details.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ind w:left="340" w:right="499"/>
        <w:spacing w:after="0" w:line="302" w:lineRule="auto"/>
        <w:rPr>
          <w:sz w:val="20"/>
          <w:szCs w:val="20"/>
          <w:color w:val="auto"/>
        </w:rPr>
      </w:pPr>
      <w:r>
        <w:rPr>
          <w:rFonts w:ascii="Arial" w:cs="Arial" w:eastAsia="Arial" w:hAnsi="Arial"/>
          <w:sz w:val="16"/>
          <w:szCs w:val="16"/>
          <w:color w:val="auto"/>
        </w:rPr>
        <w:t>In September 2006, the FASB issued SFAS No. 157, Fair Value Measurements. This Statement defines fair value, establishes a framework for measuring fair value in generally accepted accounting principles (GAAP), and expands disclosures about fair value measurements. SFAS No. 157 is effective for financial statements issued for fiscal years beginning after November 15, 2007. The Company is currently assessing the impact this provision may have on its financial position or results of operations.</w:t>
      </w:r>
    </w:p>
    <w:p>
      <w:pPr>
        <w:spacing w:after="0" w:line="127" w:lineRule="exact"/>
        <w:rPr>
          <w:sz w:val="20"/>
          <w:szCs w:val="20"/>
          <w:color w:val="auto"/>
        </w:rPr>
      </w:pPr>
    </w:p>
    <w:p>
      <w:pPr>
        <w:ind w:left="340" w:right="239"/>
        <w:spacing w:after="0" w:line="255" w:lineRule="auto"/>
        <w:rPr>
          <w:sz w:val="20"/>
          <w:szCs w:val="20"/>
          <w:color w:val="auto"/>
        </w:rPr>
      </w:pPr>
      <w:r>
        <w:rPr>
          <w:rFonts w:ascii="Arial" w:cs="Arial" w:eastAsia="Arial" w:hAnsi="Arial"/>
          <w:sz w:val="18"/>
          <w:szCs w:val="18"/>
          <w:color w:val="auto"/>
        </w:rPr>
        <w:t xml:space="preserve">In February 2007, the FASB issued Statement of Financial Accounting Standards No. 159 — </w:t>
      </w:r>
      <w:r>
        <w:rPr>
          <w:rFonts w:ascii="Arial" w:cs="Arial" w:eastAsia="Arial" w:hAnsi="Arial"/>
          <w:sz w:val="18"/>
          <w:szCs w:val="18"/>
          <w:i w:val="1"/>
          <w:iCs w:val="1"/>
          <w:color w:val="auto"/>
        </w:rPr>
        <w:t>The Fair Value Option for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or SFAS 159. The Statement provides companies an option to report certain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after November 15, 2007. We are evaluating the impact this new standard will have on its financial position and results of operations.</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340" w:right="2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ind w:left="340" w:right="199"/>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89" w:lineRule="exact"/>
        <w:rPr>
          <w:sz w:val="20"/>
          <w:szCs w:val="20"/>
          <w:color w:val="auto"/>
        </w:rPr>
      </w:pPr>
    </w:p>
    <w:p>
      <w:pPr>
        <w:ind w:left="340" w:right="219"/>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paid under the terms of our senior secured credit facility. A hypothetical 100 basis point movement in interest rates applicable to this credit facility would increase or decrease interest expense by approximately $1.0 million on an annual basis.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left="340" w:right="219"/>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52" w:lineRule="exact"/>
        <w:rPr>
          <w:sz w:val="20"/>
          <w:szCs w:val="20"/>
          <w:color w:val="auto"/>
        </w:rPr>
      </w:pPr>
    </w:p>
    <w:p>
      <w:pPr>
        <w:ind w:left="340" w:right="419"/>
        <w:spacing w:after="0" w:line="276" w:lineRule="auto"/>
        <w:rPr>
          <w:sz w:val="20"/>
          <w:szCs w:val="20"/>
          <w:color w:val="auto"/>
        </w:rPr>
      </w:pPr>
      <w:r>
        <w:rPr>
          <w:rFonts w:ascii="Arial" w:cs="Arial" w:eastAsia="Arial" w:hAnsi="Arial"/>
          <w:sz w:val="17"/>
          <w:szCs w:val="17"/>
          <w:color w:val="auto"/>
        </w:rPr>
        <w:t>As required by Rule 13a-15(b) under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not effective at the reasonable assurance level as a result of the material weakness described below.</w:t>
      </w:r>
    </w:p>
    <w:p>
      <w:pPr>
        <w:spacing w:after="0" w:line="146" w:lineRule="exact"/>
        <w:rPr>
          <w:sz w:val="20"/>
          <w:szCs w:val="20"/>
          <w:color w:val="auto"/>
        </w:rPr>
      </w:pPr>
    </w:p>
    <w:p>
      <w:pPr>
        <w:ind w:left="340" w:right="239"/>
        <w:spacing w:after="0" w:line="271" w:lineRule="auto"/>
        <w:rPr>
          <w:sz w:val="20"/>
          <w:szCs w:val="20"/>
          <w:color w:val="auto"/>
        </w:rPr>
      </w:pPr>
      <w:r>
        <w:rPr>
          <w:rFonts w:ascii="Arial" w:cs="Arial" w:eastAsia="Arial" w:hAnsi="Arial"/>
          <w:sz w:val="17"/>
          <w:szCs w:val="17"/>
          <w:color w:val="auto"/>
        </w:rPr>
        <w:t>During the quarter ended March 31, 2007, we did not maintain effective controls over the review and approval of certain account reconciliations. Specifically, we did not maintain effective controls over the completeness and accuracy of schedules and underlying data supporting account reconciliations prepared for an accrued liability account and certain intercompany accounts including support for certain manual adjustments which were made. This control deficiency resulted in adjustments to our March 31, 2007 interim consolidated financial statements identified by our external auditors in connection with their quarterly review. Additionally, this control deficiency could result in a misstatement of the Company’s accounts that would result in a material misstatement to our interim and annual consolidated financial statements that would not be prevented or detected. Accordingly, management has determined that this control deficiency constitutes a material weakness.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189" w:lineRule="exact"/>
        <w:rPr>
          <w:sz w:val="20"/>
          <w:szCs w:val="20"/>
          <w:color w:val="auto"/>
        </w:rPr>
      </w:pPr>
    </w:p>
    <w:p>
      <w:pPr>
        <w:ind w:left="340" w:right="299"/>
        <w:spacing w:after="0" w:line="264" w:lineRule="auto"/>
        <w:rPr>
          <w:sz w:val="20"/>
          <w:szCs w:val="20"/>
          <w:color w:val="auto"/>
        </w:rPr>
      </w:pPr>
      <w:r>
        <w:rPr>
          <w:rFonts w:ascii="Arial" w:cs="Arial" w:eastAsia="Arial" w:hAnsi="Arial"/>
          <w:sz w:val="18"/>
          <w:szCs w:val="18"/>
          <w:color w:val="auto"/>
        </w:rPr>
        <w:t>To address the material weakness described above, we performed additional analysis and other post-closing procedures to ensure that the consolidated financial statements were prepared in accordance with generally accepted accounting principles. These procedures included:</w:t>
      </w:r>
    </w:p>
    <w:p>
      <w:pPr>
        <w:spacing w:after="0" w:line="154" w:lineRule="exact"/>
        <w:rPr>
          <w:sz w:val="20"/>
          <w:szCs w:val="20"/>
          <w:color w:val="auto"/>
        </w:rPr>
      </w:pPr>
    </w:p>
    <w:p>
      <w:pPr>
        <w:ind w:left="720" w:right="239" w:hanging="388"/>
        <w:spacing w:after="0" w:line="277"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identified the affected accounts and performed a thorough review of the reconciliations of those accounts by Company personnel not involved in the initial preparation of those reconciliations;</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720" w:right="199" w:hanging="388"/>
        <w:spacing w:after="0" w:line="277"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identified any manual adjustments recorded, reviewed the supporting documentation and concluded on the appropriateness of the entries;</w:t>
      </w:r>
    </w:p>
    <w:p>
      <w:pPr>
        <w:spacing w:after="0" w:line="129" w:lineRule="exact"/>
        <w:rPr>
          <w:rFonts w:ascii="Arial" w:cs="Arial" w:eastAsia="Arial" w:hAnsi="Arial"/>
          <w:sz w:val="18"/>
          <w:szCs w:val="18"/>
          <w:b w:val="1"/>
          <w:bCs w:val="1"/>
          <w:color w:val="auto"/>
        </w:rPr>
      </w:pPr>
    </w:p>
    <w:p>
      <w:pPr>
        <w:ind w:left="720" w:hanging="388"/>
        <w:spacing w:after="0"/>
        <w:tabs>
          <w:tab w:leader="none" w:pos="7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expanded the review to other group companies with similar accounts and performed similar procedure as outlined above;</w:t>
      </w:r>
    </w:p>
    <w:p>
      <w:pPr>
        <w:spacing w:after="0" w:line="196" w:lineRule="exact"/>
        <w:rPr>
          <w:rFonts w:ascii="Arial" w:cs="Arial" w:eastAsia="Arial" w:hAnsi="Arial"/>
          <w:sz w:val="17"/>
          <w:szCs w:val="17"/>
          <w:b w:val="1"/>
          <w:bCs w:val="1"/>
          <w:color w:val="auto"/>
        </w:rPr>
      </w:pPr>
    </w:p>
    <w:p>
      <w:pPr>
        <w:ind w:left="720" w:hanging="388"/>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recorded adjustments to the consolidated financial statements to correct the errors identified.</w:t>
      </w:r>
    </w:p>
    <w:p>
      <w:pPr>
        <w:spacing w:after="0" w:line="198" w:lineRule="exact"/>
        <w:rPr>
          <w:sz w:val="20"/>
          <w:szCs w:val="20"/>
          <w:color w:val="auto"/>
        </w:rPr>
      </w:pPr>
    </w:p>
    <w:p>
      <w:pPr>
        <w:ind w:left="340" w:right="739"/>
        <w:spacing w:after="0" w:line="277" w:lineRule="auto"/>
        <w:rPr>
          <w:sz w:val="20"/>
          <w:szCs w:val="20"/>
          <w:color w:val="auto"/>
        </w:rPr>
      </w:pPr>
      <w:r>
        <w:rPr>
          <w:rFonts w:ascii="Arial" w:cs="Arial" w:eastAsia="Arial" w:hAnsi="Arial"/>
          <w:sz w:val="18"/>
          <w:szCs w:val="18"/>
          <w:color w:val="auto"/>
        </w:rPr>
        <w:t>Accordingly, management believes that the financial statements included in this report fairly present in all material respects the Company’s financial position, results of operations and cash flows for the periods presented.</w:t>
      </w:r>
    </w:p>
    <w:p>
      <w:pPr>
        <w:spacing w:after="0" w:line="130" w:lineRule="exact"/>
        <w:rPr>
          <w:sz w:val="20"/>
          <w:szCs w:val="20"/>
          <w:color w:val="auto"/>
        </w:rPr>
      </w:pPr>
    </w:p>
    <w:p>
      <w:pPr>
        <w:ind w:left="340" w:right="659"/>
        <w:spacing w:after="0" w:line="277" w:lineRule="auto"/>
        <w:rPr>
          <w:sz w:val="20"/>
          <w:szCs w:val="20"/>
          <w:color w:val="auto"/>
        </w:rPr>
      </w:pPr>
      <w:r>
        <w:rPr>
          <w:rFonts w:ascii="Arial" w:cs="Arial" w:eastAsia="Arial" w:hAnsi="Arial"/>
          <w:sz w:val="18"/>
          <w:szCs w:val="18"/>
          <w:color w:val="auto"/>
        </w:rPr>
        <w:t>To remediate the material weakness described above and enhance our disclosure controls and procedures, as well as our internal control over financial reporting, management intends to implement the following changes:</w:t>
      </w:r>
    </w:p>
    <w:p>
      <w:pPr>
        <w:spacing w:after="0" w:line="130"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requiring that enhanced reviews be performed by the corporate controller and others within the finance function;</w:t>
      </w:r>
    </w:p>
    <w:p>
      <w:pPr>
        <w:spacing w:after="0" w:line="198" w:lineRule="exact"/>
        <w:rPr>
          <w:rFonts w:ascii="Arial" w:cs="Arial" w:eastAsia="Arial" w:hAnsi="Arial"/>
          <w:sz w:val="18"/>
          <w:szCs w:val="18"/>
          <w:b w:val="1"/>
          <w:bCs w:val="1"/>
          <w:color w:val="auto"/>
        </w:rPr>
      </w:pPr>
    </w:p>
    <w:p>
      <w:pPr>
        <w:ind w:left="720" w:hanging="388"/>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providing training to employees involved with the reconciliation process; and</w:t>
      </w:r>
    </w:p>
    <w:p>
      <w:pPr>
        <w:spacing w:after="0" w:line="184" w:lineRule="exact"/>
        <w:rPr>
          <w:rFonts w:ascii="Arial" w:cs="Arial" w:eastAsia="Arial" w:hAnsi="Arial"/>
          <w:sz w:val="18"/>
          <w:szCs w:val="18"/>
          <w:b w:val="1"/>
          <w:bCs w:val="1"/>
          <w:color w:val="auto"/>
        </w:rPr>
      </w:pPr>
    </w:p>
    <w:p>
      <w:pPr>
        <w:ind w:left="720" w:hanging="388"/>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modifying our existing systems to minimize the number of manual overrides that require human involvement.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340" w:right="179"/>
        <w:spacing w:after="0" w:line="264" w:lineRule="auto"/>
        <w:rPr>
          <w:sz w:val="20"/>
          <w:szCs w:val="20"/>
          <w:color w:val="auto"/>
        </w:rPr>
      </w:pPr>
      <w:r>
        <w:rPr>
          <w:rFonts w:ascii="Arial" w:cs="Arial" w:eastAsia="Arial" w:hAnsi="Arial"/>
          <w:sz w:val="18"/>
          <w:szCs w:val="18"/>
          <w:color w:val="auto"/>
        </w:rPr>
        <w:t>No other changes in our internal control over financial reporting (as defined in Rules 13a-15(f) and 15d-15(f) under the Exchange Act) occurred during the quarter ended March 31, 2007, that have materially affected, or are reasonably likely to materially affect, our internal control over financial reporting.</w:t>
      </w:r>
    </w:p>
    <w:p>
      <w:pPr>
        <w:spacing w:after="0" w:line="141" w:lineRule="exact"/>
        <w:rPr>
          <w:sz w:val="20"/>
          <w:szCs w:val="20"/>
          <w:color w:val="auto"/>
        </w:rPr>
      </w:pPr>
    </w:p>
    <w:p>
      <w:pPr>
        <w:ind w:left="340" w:right="199"/>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PROCEDINGS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Various lawsuits, claims and proceedings are pending or have been settled by us. The most significant of those are described below.</w:t>
      </w:r>
    </w:p>
    <w:p>
      <w:pPr>
        <w:spacing w:after="0" w:line="208" w:lineRule="exact"/>
        <w:rPr>
          <w:sz w:val="20"/>
          <w:szCs w:val="20"/>
          <w:color w:val="auto"/>
        </w:rPr>
      </w:pPr>
    </w:p>
    <w:p>
      <w:pPr>
        <w:ind w:left="340" w:right="159"/>
        <w:spacing w:after="0" w:line="259"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Integra LifeSciences Corporation with respect to United States Patent No. 5,997,895 (the “‘895 Patent”) held by Integra. Integra’s patent covers dural repair technology related to Integra’s DuraGen</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160" w:lineRule="exact"/>
        <w:rPr>
          <w:sz w:val="20"/>
          <w:szCs w:val="20"/>
          <w:color w:val="auto"/>
        </w:rPr>
      </w:pPr>
    </w:p>
    <w:p>
      <w:pPr>
        <w:ind w:left="340" w:right="159"/>
        <w:spacing w:after="0" w:line="257" w:lineRule="auto"/>
        <w:rPr>
          <w:sz w:val="20"/>
          <w:szCs w:val="20"/>
          <w:color w:val="auto"/>
        </w:rPr>
      </w:pPr>
      <w:r>
        <w:rPr>
          <w:rFonts w:ascii="Arial" w:cs="Arial" w:eastAsia="Arial" w:hAnsi="Arial"/>
          <w:sz w:val="18"/>
          <w:szCs w:val="18"/>
          <w:color w:val="auto"/>
        </w:rPr>
        <w:t>The action seeks declaratory relief that Codman’s DURAFORM™ product does not infringe Integra’s patent and that Integra’s patent is invalid and unenforceable. Codman does not seek either damages from Integra or injunctive relief to prevent Integra from selling the DuraGen</w:t>
      </w:r>
      <w:r>
        <w:rPr>
          <w:rFonts w:ascii="Arial" w:cs="Arial" w:eastAsia="Arial" w:hAnsi="Arial"/>
          <w:sz w:val="15"/>
          <w:szCs w:val="15"/>
          <w:color w:val="auto"/>
        </w:rPr>
        <w:t>®</w:t>
      </w:r>
      <w:r>
        <w:rPr>
          <w:rFonts w:ascii="Arial" w:cs="Arial" w:eastAsia="Arial" w:hAnsi="Arial"/>
          <w:sz w:val="18"/>
          <w:szCs w:val="18"/>
          <w:color w:val="auto"/>
        </w:rPr>
        <w:t xml:space="preserve"> Dural Graft Matrix. Integra has filed a counterclaim against Codman, alleging that Codman’s DURAFORM™ product infringes the ‘895 Patent, seeking injunctive relief preventing the sale and use of DURAFORM™, and seeking damages, including treble damages, for past infringement.</w:t>
      </w:r>
    </w:p>
    <w:p>
      <w:pPr>
        <w:spacing w:after="0" w:line="148" w:lineRule="exact"/>
        <w:rPr>
          <w:sz w:val="20"/>
          <w:szCs w:val="20"/>
          <w:color w:val="auto"/>
        </w:rPr>
      </w:pPr>
    </w:p>
    <w:p>
      <w:pPr>
        <w:jc w:val="both"/>
        <w:ind w:left="340" w:right="259"/>
        <w:spacing w:after="0" w:line="259" w:lineRule="auto"/>
        <w:rPr>
          <w:sz w:val="20"/>
          <w:szCs w:val="20"/>
          <w:color w:val="auto"/>
        </w:rPr>
      </w:pPr>
      <w:r>
        <w:rPr>
          <w:rFonts w:ascii="Arial" w:cs="Arial" w:eastAsia="Arial" w:hAnsi="Arial"/>
          <w:sz w:val="18"/>
          <w:szCs w:val="18"/>
          <w:color w:val="auto"/>
        </w:rPr>
        <w:t>In July 1996, Integra sued Merck KGaA, a German corporation, seeking damages for patent infringement. The patents in question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w:t>
      </w:r>
    </w:p>
    <w:p>
      <w:pPr>
        <w:spacing w:after="0" w:line="146" w:lineRule="exact"/>
        <w:rPr>
          <w:sz w:val="20"/>
          <w:szCs w:val="20"/>
          <w:color w:val="auto"/>
        </w:rPr>
      </w:pPr>
    </w:p>
    <w:p>
      <w:pPr>
        <w:ind w:left="340" w:right="439"/>
        <w:spacing w:after="0" w:line="286" w:lineRule="auto"/>
        <w:rPr>
          <w:sz w:val="20"/>
          <w:szCs w:val="20"/>
          <w:color w:val="auto"/>
        </w:rPr>
      </w:pPr>
      <w:r>
        <w:rPr>
          <w:rFonts w:ascii="Arial" w:cs="Arial" w:eastAsia="Arial" w:hAnsi="Arial"/>
          <w:sz w:val="17"/>
          <w:szCs w:val="17"/>
          <w:color w:val="auto"/>
        </w:rPr>
        <w:t>The case has been tried, appealed and returned to the trial court. In September 2004, the trial court ordered Merck KGaA to pay Integra $6.4 million in damages. Merck KGaA filed a petition for a writ of certiorari with the United States Supreme Court seeking review of the Circuit Court’s decision, and the Supreme Court granted the writ in January 2005.</w:t>
      </w:r>
    </w:p>
    <w:p>
      <w:pPr>
        <w:spacing w:after="0" w:line="139" w:lineRule="exact"/>
        <w:rPr>
          <w:sz w:val="20"/>
          <w:szCs w:val="20"/>
          <w:color w:val="auto"/>
        </w:rPr>
      </w:pPr>
    </w:p>
    <w:p>
      <w:pPr>
        <w:ind w:left="340" w:right="259"/>
        <w:spacing w:after="0" w:line="272" w:lineRule="auto"/>
        <w:rPr>
          <w:sz w:val="20"/>
          <w:szCs w:val="20"/>
          <w:color w:val="auto"/>
        </w:rPr>
      </w:pPr>
      <w:r>
        <w:rPr>
          <w:rFonts w:ascii="Arial" w:cs="Arial" w:eastAsia="Arial" w:hAnsi="Arial"/>
          <w:sz w:val="17"/>
          <w:szCs w:val="17"/>
          <w:color w:val="auto"/>
        </w:rPr>
        <w:t>On June 13, 2005, the Supreme Court vacated the June 2003 judgment of the Circuit Court. The Supreme Court held that the Circuit Court applied an erroneous interpretation of 35 U.S.C. §271(e)(1) when it rejected the challenge of Merck KGaA to the jury’s finding that Merck KGaA failed to show that its activities were exempt from claims of patent infringement under that statute. On remand, the Circuit Court was to have reviewed the evidence under a reasonableness test that does not provide categorical exclusions of certain types of activities. The hearing before the Circuit Court occurred in June 2006, and a ruling is expected in 2007. Further enforcement of the trial court’s order has been stayed. We have not recorded any gain in connection with this matter, pending final resolution and completion of the appeals process.</w:t>
      </w:r>
    </w:p>
    <w:p>
      <w:pPr>
        <w:spacing w:after="0" w:line="137" w:lineRule="exact"/>
        <w:rPr>
          <w:sz w:val="20"/>
          <w:szCs w:val="20"/>
          <w:color w:val="auto"/>
        </w:rPr>
      </w:pPr>
    </w:p>
    <w:p>
      <w:pPr>
        <w:ind w:left="340" w:right="239"/>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 or the costs related thereto.</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340" w:right="579"/>
        <w:spacing w:after="0" w:line="277" w:lineRule="auto"/>
        <w:rPr>
          <w:sz w:val="20"/>
          <w:szCs w:val="20"/>
          <w:color w:val="auto"/>
        </w:rPr>
      </w:pPr>
      <w:r>
        <w:rPr>
          <w:rFonts w:ascii="Arial" w:cs="Arial" w:eastAsia="Arial" w:hAnsi="Arial"/>
          <w:sz w:val="18"/>
          <w:szCs w:val="18"/>
          <w:color w:val="auto"/>
        </w:rPr>
        <w:t>The Risk Factors included in the Company’s Annual Report on Form 10-K for the fiscal year ended December 31, 2006 have not materially changed other than the modifications to the risks factors as set forth below.</w:t>
      </w:r>
    </w:p>
    <w:p>
      <w:pPr>
        <w:spacing w:after="0" w:line="126" w:lineRule="exact"/>
        <w:rPr>
          <w:sz w:val="20"/>
          <w:szCs w:val="20"/>
          <w:color w:val="auto"/>
        </w:rPr>
      </w:pPr>
    </w:p>
    <w:p>
      <w:pPr>
        <w:ind w:left="340" w:right="379"/>
        <w:spacing w:after="0" w:line="282" w:lineRule="auto"/>
        <w:rPr>
          <w:sz w:val="20"/>
          <w:szCs w:val="20"/>
          <w:color w:val="auto"/>
        </w:rPr>
      </w:pPr>
      <w:r>
        <w:rPr>
          <w:rFonts w:ascii="Arial" w:cs="Arial" w:eastAsia="Arial" w:hAnsi="Arial"/>
          <w:sz w:val="18"/>
          <w:szCs w:val="18"/>
          <w:b w:val="1"/>
          <w:bCs w:val="1"/>
          <w:color w:val="auto"/>
        </w:rPr>
        <w:t>Our Current Strategy Involves Growth Through Acquisitions, Which Requires Us To Incur Substantial Costs And Potential Liabilities For Which We May Never Realize The Anticipated Benefits.</w:t>
      </w:r>
    </w:p>
    <w:p>
      <w:pPr>
        <w:spacing w:after="0" w:line="125" w:lineRule="exact"/>
        <w:rPr>
          <w:sz w:val="20"/>
          <w:szCs w:val="20"/>
          <w:color w:val="auto"/>
        </w:rPr>
      </w:pPr>
    </w:p>
    <w:p>
      <w:pPr>
        <w:ind w:left="340" w:right="739"/>
        <w:spacing w:after="0" w:line="277" w:lineRule="auto"/>
        <w:rPr>
          <w:sz w:val="20"/>
          <w:szCs w:val="20"/>
          <w:color w:val="auto"/>
        </w:rPr>
      </w:pPr>
      <w:r>
        <w:rPr>
          <w:rFonts w:ascii="Arial" w:cs="Arial" w:eastAsia="Arial" w:hAnsi="Arial"/>
          <w:sz w:val="18"/>
          <w:szCs w:val="18"/>
          <w:color w:val="auto"/>
        </w:rPr>
        <w:t>In addition to internal growth, our current strategy involves growth through acquisitions. Since the beginning of 2004, we have acquired 12 businesses or product lines at a total cost of approximately $345 million.</w:t>
      </w:r>
    </w:p>
    <w:p>
      <w:pPr>
        <w:spacing w:after="0" w:line="143" w:lineRule="exact"/>
        <w:rPr>
          <w:sz w:val="20"/>
          <w:szCs w:val="20"/>
          <w:color w:val="auto"/>
        </w:rPr>
      </w:pPr>
    </w:p>
    <w:p>
      <w:pPr>
        <w:ind w:left="340" w:right="199"/>
        <w:spacing w:after="0" w:line="267" w:lineRule="auto"/>
        <w:rPr>
          <w:sz w:val="20"/>
          <w:szCs w:val="20"/>
          <w:color w:val="auto"/>
        </w:rPr>
      </w:pPr>
      <w:r>
        <w:rPr>
          <w:rFonts w:ascii="Arial" w:cs="Arial" w:eastAsia="Arial" w:hAnsi="Arial"/>
          <w:sz w:val="17"/>
          <w:szCs w:val="17"/>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can result in material transaction expenses, increased interest and amortization expense, increased depreciation expense and increased operating expense, any of which could have a material adverse effect on our operating results. Certain businesses that we acquire may not have adequate financial, regulatory or quality controls at the time we acquire them. As we grow by acquisition, we must manage and integrate the new businesses to bring them into our systems for financial, regulatory and quality control, realize economies of scale, and control costs. In addition, acquisitions involve other risks, including diversion of management resources otherwise available for ongoing development of our business and risks associated with entering new markets in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or for which the indemnification may not be sufficient to cover the ultimate liabilities.</w:t>
      </w:r>
    </w:p>
    <w:p>
      <w:pPr>
        <w:spacing w:after="0" w:line="147" w:lineRule="exact"/>
        <w:rPr>
          <w:sz w:val="20"/>
          <w:szCs w:val="20"/>
          <w:color w:val="auto"/>
        </w:rPr>
      </w:pPr>
    </w:p>
    <w:p>
      <w:pPr>
        <w:ind w:left="340" w:right="739"/>
        <w:spacing w:after="0" w:line="313" w:lineRule="auto"/>
        <w:rPr>
          <w:sz w:val="20"/>
          <w:szCs w:val="20"/>
          <w:color w:val="auto"/>
        </w:rPr>
      </w:pPr>
      <w:r>
        <w:rPr>
          <w:rFonts w:ascii="Arial" w:cs="Arial" w:eastAsia="Arial" w:hAnsi="Arial"/>
          <w:sz w:val="17"/>
          <w:szCs w:val="17"/>
          <w:b w:val="1"/>
          <w:bCs w:val="1"/>
          <w:color w:val="auto"/>
        </w:rPr>
        <w:t>We Are Exposed To A Variety Of Risks Relating To Our International Sales And Operations, Including Fluctuations In Exchange Rates, Local Economic Conditions And Delays In Collection Of Accounts Receivable.</w:t>
      </w:r>
    </w:p>
    <w:p>
      <w:pPr>
        <w:spacing w:after="0" w:line="102" w:lineRule="exact"/>
        <w:rPr>
          <w:sz w:val="20"/>
          <w:szCs w:val="20"/>
          <w:color w:val="auto"/>
        </w:rPr>
      </w:pPr>
    </w:p>
    <w:p>
      <w:pPr>
        <w:ind w:left="340" w:right="419"/>
        <w:spacing w:after="0" w:line="257" w:lineRule="auto"/>
        <w:rPr>
          <w:sz w:val="20"/>
          <w:szCs w:val="20"/>
          <w:color w:val="auto"/>
        </w:rPr>
      </w:pPr>
      <w:r>
        <w:rPr>
          <w:rFonts w:ascii="Arial" w:cs="Arial" w:eastAsia="Arial" w:hAnsi="Arial"/>
          <w:sz w:val="18"/>
          <w:szCs w:val="18"/>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161" w:lineRule="exact"/>
        <w:rPr>
          <w:sz w:val="20"/>
          <w:szCs w:val="20"/>
          <w:color w:val="auto"/>
        </w:rPr>
      </w:pPr>
    </w:p>
    <w:p>
      <w:pPr>
        <w:ind w:left="340" w:right="279"/>
        <w:spacing w:after="0" w:line="264" w:lineRule="auto"/>
        <w:rPr>
          <w:sz w:val="20"/>
          <w:szCs w:val="20"/>
          <w:color w:val="auto"/>
        </w:rPr>
      </w:pPr>
      <w:r>
        <w:rPr>
          <w:rFonts w:ascii="Arial" w:cs="Arial" w:eastAsia="Arial" w:hAnsi="Arial"/>
          <w:sz w:val="18"/>
          <w:szCs w:val="18"/>
          <w:color w:val="auto"/>
        </w:rPr>
        <w:t>Because we have operations based in Europe and we generate revenues and incur operating expenses in euros and British pounds, we experience currency exchange risk with respect to those foreign currency-denominated revenues and expenses. We also experience currency exchange risk with respect to the yen.</w:t>
      </w:r>
    </w:p>
    <w:p>
      <w:pPr>
        <w:spacing w:after="0" w:line="141" w:lineRule="exact"/>
        <w:rPr>
          <w:sz w:val="20"/>
          <w:szCs w:val="20"/>
          <w:color w:val="auto"/>
        </w:rPr>
      </w:pPr>
    </w:p>
    <w:p>
      <w:pPr>
        <w:ind w:left="340" w:right="319"/>
        <w:spacing w:after="0" w:line="259" w:lineRule="auto"/>
        <w:rPr>
          <w:sz w:val="20"/>
          <w:szCs w:val="20"/>
          <w:color w:val="auto"/>
        </w:rPr>
      </w:pPr>
      <w:r>
        <w:rPr>
          <w:rFonts w:ascii="Arial" w:cs="Arial" w:eastAsia="Arial" w:hAnsi="Arial"/>
          <w:sz w:val="18"/>
          <w:szCs w:val="18"/>
          <w:color w:val="auto"/>
        </w:rPr>
        <w:t>Currently, we do not use derivative financial instruments to manage operating foreign currency risk. As the volume of our business transacted in foreign currencies increases, we expect to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46" w:lineRule="exact"/>
        <w:rPr>
          <w:sz w:val="20"/>
          <w:szCs w:val="20"/>
          <w:color w:val="auto"/>
        </w:rPr>
      </w:pPr>
    </w:p>
    <w:p>
      <w:pPr>
        <w:ind w:left="340" w:right="439"/>
        <w:spacing w:after="0" w:line="342" w:lineRule="auto"/>
        <w:rPr>
          <w:sz w:val="20"/>
          <w:szCs w:val="20"/>
          <w:color w:val="auto"/>
        </w:rPr>
      </w:pPr>
      <w:r>
        <w:rPr>
          <w:rFonts w:ascii="Arial" w:cs="Arial" w:eastAsia="Arial" w:hAnsi="Arial"/>
          <w:sz w:val="16"/>
          <w:szCs w:val="16"/>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86" w:lineRule="auto"/>
        <w:rPr>
          <w:sz w:val="20"/>
          <w:szCs w:val="20"/>
          <w:color w:val="auto"/>
        </w:rPr>
      </w:pPr>
      <w:r>
        <w:rPr>
          <w:rFonts w:ascii="Arial" w:cs="Arial" w:eastAsia="Arial" w:hAnsi="Arial"/>
          <w:sz w:val="17"/>
          <w:szCs w:val="17"/>
          <w:color w:val="auto"/>
        </w:rPr>
        <w:t>Our international operations subject us to customs, import-export, sanctioned country and foreign corrupt practices laws. These laws restrict, and in some cases prohibit, United States companies from directly or indirectly selling goods, technology or services to people or entities in certain countries. These laws also prohibit transactions with certain designated persons.</w:t>
      </w:r>
    </w:p>
    <w:p>
      <w:pPr>
        <w:spacing w:after="0" w:line="139" w:lineRule="exact"/>
        <w:rPr>
          <w:sz w:val="20"/>
          <w:szCs w:val="20"/>
          <w:color w:val="auto"/>
        </w:rPr>
      </w:pPr>
    </w:p>
    <w:p>
      <w:pPr>
        <w:ind w:left="340" w:right="239"/>
        <w:spacing w:after="0" w:line="312" w:lineRule="auto"/>
        <w:rPr>
          <w:sz w:val="20"/>
          <w:szCs w:val="20"/>
          <w:color w:val="auto"/>
        </w:rPr>
      </w:pPr>
      <w:r>
        <w:rPr>
          <w:rFonts w:ascii="Arial" w:cs="Arial" w:eastAsia="Arial" w:hAnsi="Arial"/>
          <w:sz w:val="16"/>
          <w:szCs w:val="16"/>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02" w:lineRule="exact"/>
        <w:rPr>
          <w:sz w:val="20"/>
          <w:szCs w:val="20"/>
          <w:color w:val="auto"/>
        </w:rPr>
      </w:pPr>
    </w:p>
    <w:p>
      <w:pPr>
        <w:ind w:left="340" w:right="459"/>
        <w:spacing w:after="0" w:line="282" w:lineRule="auto"/>
        <w:rPr>
          <w:sz w:val="20"/>
          <w:szCs w:val="20"/>
          <w:color w:val="auto"/>
        </w:rPr>
      </w:pPr>
      <w:r>
        <w:rPr>
          <w:rFonts w:ascii="Arial" w:cs="Arial" w:eastAsia="Arial" w:hAnsi="Arial"/>
          <w:sz w:val="18"/>
          <w:szCs w:val="18"/>
          <w:b w:val="1"/>
          <w:bCs w:val="1"/>
          <w:color w:val="auto"/>
        </w:rPr>
        <w:t>We Had A Material Weakness In Our Internal Control Over Financial Reporting And Cannot Assure You That Additional Material Weaknesses Will Not Be Identified In The Future.</w:t>
      </w:r>
    </w:p>
    <w:p>
      <w:pPr>
        <w:spacing w:after="0" w:line="125" w:lineRule="exact"/>
        <w:rPr>
          <w:sz w:val="20"/>
          <w:szCs w:val="20"/>
          <w:color w:val="auto"/>
        </w:rPr>
      </w:pPr>
    </w:p>
    <w:p>
      <w:pPr>
        <w:ind w:left="340" w:right="199"/>
        <w:spacing w:after="0" w:line="302" w:lineRule="auto"/>
        <w:rPr>
          <w:sz w:val="20"/>
          <w:szCs w:val="20"/>
          <w:color w:val="auto"/>
        </w:rPr>
      </w:pPr>
      <w:r>
        <w:rPr>
          <w:rFonts w:ascii="Arial" w:cs="Arial" w:eastAsia="Arial" w:hAnsi="Arial"/>
          <w:sz w:val="16"/>
          <w:szCs w:val="16"/>
          <w:color w:val="auto"/>
        </w:rPr>
        <w:t>Management identified a material weakness in our internal control over the review and approval of certain account reconciliations that existed during the quarter ended March 31, 2007. This control deficiency resulted in adjustments to our March 31, 2007 interim consolidated financial statements identified by our external auditors in connection with their quarterly review. Management has taken steps to remediate the material weakness and will continue to monitor the implementation of the appropriate actions.</w:t>
      </w:r>
    </w:p>
    <w:p>
      <w:pPr>
        <w:spacing w:after="0" w:line="127" w:lineRule="exact"/>
        <w:rPr>
          <w:sz w:val="20"/>
          <w:szCs w:val="20"/>
          <w:color w:val="auto"/>
        </w:rPr>
      </w:pPr>
    </w:p>
    <w:p>
      <w:pPr>
        <w:ind w:left="340" w:right="179"/>
        <w:spacing w:after="0" w:line="269" w:lineRule="auto"/>
        <w:rPr>
          <w:sz w:val="20"/>
          <w:szCs w:val="20"/>
          <w:color w:val="auto"/>
        </w:rPr>
      </w:pPr>
      <w:r>
        <w:rPr>
          <w:rFonts w:ascii="Arial" w:cs="Arial" w:eastAsia="Arial" w:hAnsi="Arial"/>
          <w:sz w:val="17"/>
          <w:szCs w:val="17"/>
          <w:color w:val="auto"/>
        </w:rPr>
        <w:t>While we aim to work diligently to ensure a robust accounting system that is devoid of significant deficiencies and material weaknesses, given the growth of our business through acquisitions and the complexity of the accounting rules, we cannot assure you that additional significant deficiencies or material weaknesses in our disclosure controls and procedures and internal control over financial reporting will not be identified in the future.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340" w:right="259"/>
        <w:spacing w:after="0" w:line="264" w:lineRule="auto"/>
        <w:rPr>
          <w:sz w:val="20"/>
          <w:szCs w:val="20"/>
          <w:color w:val="auto"/>
        </w:rPr>
      </w:pPr>
      <w:r>
        <w:rPr>
          <w:rFonts w:ascii="Arial" w:cs="Arial" w:eastAsia="Arial" w:hAnsi="Arial"/>
          <w:sz w:val="18"/>
          <w:szCs w:val="18"/>
          <w:color w:val="auto"/>
        </w:rPr>
        <w:t>In October 2006, our Board of Directors adopted a new program that authorizes us to repurchase shares of our common stock for an aggregate purchase price not to exceed $75 million through December 31, 2007. Shares may be repurchased either in the open market or in privately negotiated transactions.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our repurchases of our common stock during the quarter ended March 31, 2007 under this program:</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Approximate</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Dollar Value of</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 as</w:t>
            </w:r>
          </w:p>
        </w:tc>
        <w:tc>
          <w:tcPr>
            <w:tcW w:w="1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Shares that May</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Total Number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Average</w:t>
            </w:r>
          </w:p>
        </w:tc>
        <w:tc>
          <w:tcPr>
            <w:tcW w:w="1680" w:type="dxa"/>
            <w:vAlign w:val="bottom"/>
            <w:gridSpan w:val="3"/>
          </w:tcPr>
          <w:p>
            <w:pPr>
              <w:jc w:val="center"/>
              <w:ind w:left="90"/>
              <w:spacing w:after="0"/>
              <w:rPr>
                <w:sz w:val="20"/>
                <w:szCs w:val="20"/>
                <w:color w:val="auto"/>
              </w:rPr>
            </w:pPr>
            <w:r>
              <w:rPr>
                <w:rFonts w:ascii="Arial" w:cs="Arial" w:eastAsia="Arial" w:hAnsi="Arial"/>
                <w:sz w:val="18"/>
                <w:szCs w:val="18"/>
                <w:color w:val="auto"/>
                <w:w w:val="94"/>
              </w:rPr>
              <w:t>Part of Publicly</w:t>
            </w:r>
          </w:p>
        </w:tc>
        <w:tc>
          <w:tcPr>
            <w:tcW w:w="1500" w:type="dxa"/>
            <w:vAlign w:val="bottom"/>
            <w:gridSpan w:val="4"/>
          </w:tcPr>
          <w:p>
            <w:pPr>
              <w:jc w:val="center"/>
              <w:ind w:left="10"/>
              <w:spacing w:after="0"/>
              <w:rPr>
                <w:sz w:val="20"/>
                <w:szCs w:val="20"/>
                <w:color w:val="auto"/>
              </w:rPr>
            </w:pPr>
            <w:r>
              <w:rPr>
                <w:rFonts w:ascii="Arial" w:cs="Arial" w:eastAsia="Arial" w:hAnsi="Arial"/>
                <w:sz w:val="18"/>
                <w:szCs w:val="18"/>
                <w:color w:val="auto"/>
                <w:w w:val="86"/>
              </w:rPr>
              <w:t>Yet be Purchased</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of 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Price Paid</w:t>
            </w:r>
          </w:p>
        </w:tc>
        <w:tc>
          <w:tcPr>
            <w:tcW w:w="3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Announced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Under the</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Period</w:t>
            </w:r>
          </w:p>
        </w:tc>
        <w:tc>
          <w:tcPr>
            <w:tcW w:w="2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8"/>
              </w:rPr>
              <w:t>per Share</w:t>
            </w:r>
          </w:p>
        </w:tc>
        <w:tc>
          <w:tcPr>
            <w:tcW w:w="36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Program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Program</w:t>
            </w:r>
          </w:p>
        </w:tc>
      </w:tr>
      <w:tr>
        <w:trPr>
          <w:trHeight w:val="129"/>
        </w:trPr>
        <w:tc>
          <w:tcPr>
            <w:tcW w:w="38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January 1, 2007 — January 31, 2007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32,635,106</w:t>
            </w:r>
          </w:p>
        </w:tc>
      </w:tr>
      <w:tr>
        <w:trPr>
          <w:trHeight w:val="351"/>
        </w:trPr>
        <w:tc>
          <w:tcPr>
            <w:tcW w:w="3860" w:type="dxa"/>
            <w:vAlign w:val="bottom"/>
          </w:tcPr>
          <w:p>
            <w:pPr>
              <w:spacing w:after="0"/>
              <w:rPr>
                <w:sz w:val="20"/>
                <w:szCs w:val="20"/>
                <w:color w:val="auto"/>
              </w:rPr>
            </w:pPr>
            <w:r>
              <w:rPr>
                <w:rFonts w:ascii="Arial" w:cs="Arial" w:eastAsia="Arial" w:hAnsi="Arial"/>
                <w:sz w:val="18"/>
                <w:szCs w:val="18"/>
                <w:color w:val="auto"/>
              </w:rPr>
              <w:t>February 1, 2007 — February 28, 2007</w:t>
            </w:r>
          </w:p>
        </w:tc>
        <w:tc>
          <w:tcPr>
            <w:tcW w:w="26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32,635,106</w:t>
            </w:r>
          </w:p>
        </w:tc>
      </w:tr>
      <w:tr>
        <w:trPr>
          <w:trHeight w:val="135"/>
        </w:trPr>
        <w:tc>
          <w:tcPr>
            <w:tcW w:w="3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March 1, 2007 — March 31, 2007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164,241(1)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25,733,011</w:t>
            </w:r>
          </w:p>
        </w:tc>
      </w:tr>
      <w:tr>
        <w:trPr>
          <w:trHeight w:val="20"/>
        </w:trPr>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86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264,241</w:t>
            </w:r>
          </w:p>
        </w:tc>
        <w:tc>
          <w:tcPr>
            <w:tcW w:w="3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41.95</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264,000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25,733,011</w:t>
            </w:r>
          </w:p>
        </w:tc>
      </w:tr>
      <w:tr>
        <w:trPr>
          <w:trHeight w:val="20"/>
        </w:trPr>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right="599" w:hanging="388"/>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241 shares withheld by us from an employee to satisfy withholding obligations upon the vesting of restricted stock issued to the employee.</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300" w:right="179" w:hanging="692"/>
        <w:spacing w:after="0" w:line="253"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Second Amendment, dated as of February 23, 2007,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4.1 to the Company’s Current Report on Form 8-K filed on February 27, 2007)</w:t>
      </w:r>
    </w:p>
    <w:p>
      <w:pPr>
        <w:spacing w:after="0" w:line="4" w:lineRule="exact"/>
        <w:rPr>
          <w:sz w:val="20"/>
          <w:szCs w:val="20"/>
          <w:color w:val="auto"/>
        </w:rPr>
      </w:pPr>
    </w:p>
    <w:p>
      <w:pPr>
        <w:ind w:left="1300" w:right="419" w:hanging="737"/>
        <w:spacing w:after="0" w:line="281"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between Judith O’Grady and the Company dated January 1, 2007 (Incorporated by reference to Exhibit 10.17 to the Company’s Annual Report on Form 10-K for the year ended December 31, 2006)</w:t>
      </w:r>
    </w:p>
    <w:p>
      <w:pPr>
        <w:spacing w:after="0" w:line="1" w:lineRule="exact"/>
        <w:rPr>
          <w:sz w:val="20"/>
          <w:szCs w:val="20"/>
          <w:color w:val="auto"/>
        </w:rPr>
      </w:pPr>
    </w:p>
    <w:p>
      <w:pPr>
        <w:ind w:left="1300" w:right="699" w:hanging="737"/>
        <w:spacing w:after="0" w:line="250"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Compensation of Directors of the Company (Incorporated by reference to Exhibit 10.33 to the Company’s Annual Report on Form 10-K for the year ended December 31, 2006)</w:t>
      </w:r>
    </w:p>
    <w:p>
      <w:pPr>
        <w:spacing w:after="0" w:line="1" w:lineRule="exact"/>
        <w:rPr>
          <w:sz w:val="20"/>
          <w:szCs w:val="20"/>
          <w:color w:val="auto"/>
        </w:rPr>
      </w:pPr>
    </w:p>
    <w:p>
      <w:pPr>
        <w:ind w:left="1300" w:right="459" w:hanging="737"/>
        <w:spacing w:after="0" w:line="250"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Agreement for Gerard S. Carlozzi and John B. Henneman, III (Incorporated by reference to Exhibit 10.1 to the Company’s Current Report on Form 8-K filed on February 27, 2007)</w:t>
      </w:r>
    </w:p>
    <w:p>
      <w:pPr>
        <w:spacing w:after="0" w:line="1" w:lineRule="exact"/>
        <w:rPr>
          <w:sz w:val="20"/>
          <w:szCs w:val="20"/>
          <w:color w:val="auto"/>
        </w:rPr>
      </w:pPr>
    </w:p>
    <w:p>
      <w:pPr>
        <w:ind w:left="1300" w:right="279" w:hanging="737"/>
        <w:spacing w:after="0" w:line="250"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Performance Stock Agreement for Gerard S. Carlozzi and John B. Henneman, III (Incorporated by reference to Exhibit 10.1 to the Company’s Current Report on Form 8-K filed on March 21, 2007)</w:t>
      </w:r>
    </w:p>
    <w:p>
      <w:pPr>
        <w:spacing w:after="0" w:line="1"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Integra LifeSciences Holdings Corporation Management Incentive Compensation Plan</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Section 302 of the Sarbanes-Oxley Act of 2002</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Section 906 of the Sarbanes-Oxley Act of 2002</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5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INTEGRA LIFESCIENCES HOLDINGS</w:t>
            </w:r>
          </w:p>
        </w:tc>
      </w:tr>
      <w:tr>
        <w:trPr>
          <w:trHeight w:val="234"/>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CORPORATION</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May 10,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i w:val="1"/>
                <w:iCs w:val="1"/>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48"/>
        </w:trPr>
        <w:tc>
          <w:tcPr>
            <w:tcW w:w="4660" w:type="dxa"/>
            <w:vAlign w:val="bottom"/>
          </w:tcPr>
          <w:p>
            <w:pPr>
              <w:spacing w:after="0"/>
              <w:rPr>
                <w:sz w:val="20"/>
                <w:szCs w:val="20"/>
                <w:color w:val="auto"/>
              </w:rPr>
            </w:pPr>
            <w:r>
              <w:rPr>
                <w:rFonts w:ascii="Arial" w:cs="Arial" w:eastAsia="Arial" w:hAnsi="Arial"/>
                <w:sz w:val="18"/>
                <w:szCs w:val="18"/>
                <w:color w:val="auto"/>
              </w:rPr>
              <w:t>Date: May 10,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Maureen B. Bellantoni</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i w:val="1"/>
                <w:iCs w:val="1"/>
                <w:color w:val="auto"/>
              </w:rPr>
              <w:t>Maureen B. Bellantoni</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Executive Vice President and</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1300" w:right="179" w:hanging="692"/>
        <w:spacing w:after="0" w:line="253"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Second Amendment, dated as of February 23, 2007,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4.1 to the Company’s Current Report on Form 8-K filed on February 27, 2007)</w:t>
      </w:r>
    </w:p>
    <w:p>
      <w:pPr>
        <w:spacing w:after="0" w:line="4" w:lineRule="exact"/>
        <w:rPr>
          <w:sz w:val="20"/>
          <w:szCs w:val="20"/>
          <w:color w:val="auto"/>
        </w:rPr>
      </w:pPr>
    </w:p>
    <w:p>
      <w:pPr>
        <w:ind w:left="1300" w:right="419" w:hanging="737"/>
        <w:spacing w:after="0" w:line="281"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between Judith O’Grady and the Company dated January 1, 2007 (Incorporated by reference to Exhibit 10.17 to the Company’s Annual Report on Form 10-K for the year ended December 31, 2006)</w:t>
      </w:r>
    </w:p>
    <w:p>
      <w:pPr>
        <w:spacing w:after="0" w:line="1" w:lineRule="exact"/>
        <w:rPr>
          <w:sz w:val="20"/>
          <w:szCs w:val="20"/>
          <w:color w:val="auto"/>
        </w:rPr>
      </w:pPr>
    </w:p>
    <w:p>
      <w:pPr>
        <w:ind w:left="1300" w:right="699" w:hanging="737"/>
        <w:spacing w:after="0" w:line="250"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Compensation of Directors of the Company (Incorporated by reference to Exhibit 10.33 to the Company’s Annual Report on Form 10-K for the year ended December 31, 2006)</w:t>
      </w:r>
    </w:p>
    <w:p>
      <w:pPr>
        <w:spacing w:after="0" w:line="1" w:lineRule="exact"/>
        <w:rPr>
          <w:sz w:val="20"/>
          <w:szCs w:val="20"/>
          <w:color w:val="auto"/>
        </w:rPr>
      </w:pPr>
    </w:p>
    <w:p>
      <w:pPr>
        <w:ind w:left="1300" w:right="459" w:hanging="737"/>
        <w:spacing w:after="0" w:line="250"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Agreement for Gerard S. Carlozzi and John B. Henneman, III (Incorporated by reference to Exhibit 10.1 to the Company’s Current Report on Form 8-K filed on February 27, 2007)</w:t>
      </w:r>
    </w:p>
    <w:p>
      <w:pPr>
        <w:spacing w:after="0" w:line="1" w:lineRule="exact"/>
        <w:rPr>
          <w:sz w:val="20"/>
          <w:szCs w:val="20"/>
          <w:color w:val="auto"/>
        </w:rPr>
      </w:pPr>
    </w:p>
    <w:p>
      <w:pPr>
        <w:ind w:left="1300" w:right="279" w:hanging="737"/>
        <w:spacing w:after="0" w:line="250"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Performance Stock Agreement for Gerard S. Carlozzi and John B. Henneman, III (Incorporated by reference to Exhibit 10.1 to the Company’s Current Report on Form 8-K filed on March 21, 2007)</w:t>
      </w:r>
    </w:p>
    <w:p>
      <w:pPr>
        <w:spacing w:after="0" w:line="1"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Integra LifeSciences Holdings Corporation Management Incentive Compensation Plan</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Section 302 of the Sarbanes-Oxley Act of 2002</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Section 906 of the Sarbanes-Oxley Act of 2002</w:t>
      </w:r>
    </w:p>
    <w:p>
      <w:pPr>
        <w:spacing w:after="0" w:line="9"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19"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b w:val="1"/>
          <w:bCs w:val="1"/>
          <w:color w:val="auto"/>
        </w:rPr>
        <w:t>Exhibit 10.5</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AMENDMENT TO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 INCENTIVE COMPENSATION PLAN</w:t>
      </w:r>
    </w:p>
    <w:p>
      <w:pPr>
        <w:spacing w:after="0" w:line="170" w:lineRule="exact"/>
        <w:rPr>
          <w:sz w:val="20"/>
          <w:szCs w:val="20"/>
          <w:color w:val="auto"/>
        </w:rPr>
      </w:pPr>
    </w:p>
    <w:p>
      <w:pPr>
        <w:ind w:right="659" w:firstLine="778"/>
        <w:spacing w:after="0" w:line="259" w:lineRule="auto"/>
        <w:rPr>
          <w:sz w:val="20"/>
          <w:szCs w:val="20"/>
          <w:color w:val="auto"/>
        </w:rPr>
      </w:pPr>
      <w:r>
        <w:rPr>
          <w:rFonts w:ascii="Arial" w:cs="Arial" w:eastAsia="Arial" w:hAnsi="Arial"/>
          <w:sz w:val="18"/>
          <w:szCs w:val="18"/>
          <w:color w:val="auto"/>
        </w:rPr>
        <w:t>This First Amendment (the “Amendment”) to the Integra LifeSciences Holdings Corporation Management Incentive Compensation Plan (the “Plan”), which was adopted by the Compensation Committee of the Board of Directors of Integra LifeSciences Holdings Corporation (the “Company”) on March 15, 2007 and shall be effective as of the Performance Period (as defined in the Plan) beginning January 1, 2007, amends the Plan as follows:</w:t>
      </w:r>
    </w:p>
    <w:p>
      <w:pPr>
        <w:spacing w:after="0" w:line="187" w:lineRule="exact"/>
        <w:rPr>
          <w:sz w:val="20"/>
          <w:szCs w:val="20"/>
          <w:color w:val="auto"/>
        </w:rPr>
      </w:pPr>
    </w:p>
    <w:p>
      <w:pPr>
        <w:ind w:left="860" w:hanging="382"/>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2(q) is hereby amended to read in its entirety as follows:</w:t>
      </w:r>
    </w:p>
    <w:p>
      <w:pPr>
        <w:spacing w:after="0" w:line="225" w:lineRule="exact"/>
        <w:rPr>
          <w:sz w:val="20"/>
          <w:szCs w:val="20"/>
          <w:color w:val="auto"/>
        </w:rPr>
      </w:pPr>
    </w:p>
    <w:p>
      <w:pPr>
        <w:ind w:left="780" w:right="179"/>
        <w:spacing w:after="0" w:line="276" w:lineRule="auto"/>
        <w:rPr>
          <w:sz w:val="20"/>
          <w:szCs w:val="20"/>
          <w:color w:val="auto"/>
        </w:rPr>
      </w:pPr>
      <w:r>
        <w:rPr>
          <w:rFonts w:ascii="Arial" w:cs="Arial" w:eastAsia="Arial" w:hAnsi="Arial"/>
          <w:sz w:val="17"/>
          <w:szCs w:val="17"/>
          <w:i w:val="1"/>
          <w:iCs w:val="1"/>
          <w:color w:val="auto"/>
        </w:rPr>
        <w:t xml:space="preserve">““Target Award Percentage” </w:t>
      </w:r>
      <w:r>
        <w:rPr>
          <w:rFonts w:ascii="Arial" w:cs="Arial" w:eastAsia="Arial" w:hAnsi="Arial"/>
          <w:sz w:val="17"/>
          <w:szCs w:val="17"/>
          <w:color w:val="auto"/>
        </w:rPr>
        <w:t>shall mean with respect to any Performance Period, the percentage of the Key Associate’s</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Salary that the Key Associate would earn as an Award for that Performance Period if the targeted level of performance was achieved for each of the Performance Goals for that Key Associate for the Performance Period. Unless otherwise specified prior to the Performance Period (or, if later, at the time of the Key Associate’s participation in the Plan), Target Award Percentages will be based on a Key Associate’s grade level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Grade Level</w:t>
            </w:r>
          </w:p>
        </w:tc>
        <w:tc>
          <w:tcPr>
            <w:tcW w:w="90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Management Group</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0"/>
              </w:rPr>
              <w:t>Percent of Base Salary</w:t>
            </w:r>
          </w:p>
        </w:tc>
      </w:tr>
      <w:tr>
        <w:trPr>
          <w:trHeight w:val="210"/>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SVP</w:t>
            </w:r>
          </w:p>
        </w:tc>
        <w:tc>
          <w:tcPr>
            <w:tcW w:w="90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25%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9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8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15%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Directors/Managers</w:t>
            </w:r>
          </w:p>
        </w:tc>
        <w:tc>
          <w:tcPr>
            <w:tcW w:w="18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Directors/Managers</w:t>
            </w: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5%</w:t>
            </w:r>
          </w:p>
        </w:tc>
      </w:tr>
    </w:tbl>
    <w:p>
      <w:pPr>
        <w:spacing w:after="0" w:line="160" w:lineRule="exact"/>
        <w:rPr>
          <w:sz w:val="20"/>
          <w:szCs w:val="20"/>
          <w:color w:val="auto"/>
        </w:rPr>
      </w:pPr>
    </w:p>
    <w:p>
      <w:pPr>
        <w:jc w:val="both"/>
        <w:ind w:left="780" w:right="379"/>
        <w:spacing w:after="0" w:line="259" w:lineRule="auto"/>
        <w:rPr>
          <w:sz w:val="20"/>
          <w:szCs w:val="20"/>
          <w:color w:val="auto"/>
        </w:rPr>
      </w:pPr>
      <w:r>
        <w:rPr>
          <w:rFonts w:ascii="Arial" w:cs="Arial" w:eastAsia="Arial" w:hAnsi="Arial"/>
          <w:sz w:val="18"/>
          <w:szCs w:val="18"/>
          <w:color w:val="auto"/>
        </w:rPr>
        <w:t>Notwithstanding the foregoing, if any Key Associate held more than one grade level during the Performance Period, then the Committee may designate different Target Award Percentages with respect to each grade level and the Award will be pro-rated to reflect (to the nearest semi-monthly increment) the period during which such Key Associate had each Target Award Percentage.”</w:t>
      </w:r>
    </w:p>
    <w:p>
      <w:pPr>
        <w:sectPr>
          <w:pgSz w:w="11900" w:h="16838" w:orient="portrait"/>
          <w:cols w:equalWidth="0" w:num="1">
            <w:col w:w="9879"/>
          </w:cols>
          <w:pgMar w:left="580" w:top="931"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98" w:lineRule="exact"/>
        <w:rPr>
          <w:sz w:val="20"/>
          <w:szCs w:val="20"/>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84" w:lineRule="exact"/>
        <w:rPr>
          <w:rFonts w:ascii="Arial" w:cs="Arial" w:eastAsia="Arial" w:hAnsi="Arial"/>
          <w:sz w:val="18"/>
          <w:szCs w:val="18"/>
          <w:color w:val="auto"/>
        </w:rPr>
      </w:pPr>
    </w:p>
    <w:p>
      <w:pPr>
        <w:ind w:left="388" w:right="45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ind w:left="748" w:right="179" w:hanging="370"/>
        <w:spacing w:after="0" w:line="312" w:lineRule="auto"/>
        <w:tabs>
          <w:tab w:leader="none" w:pos="7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748" w:right="599" w:hanging="370"/>
        <w:spacing w:after="0" w:line="312" w:lineRule="auto"/>
        <w:tabs>
          <w:tab w:leader="none" w:pos="7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jc w:val="both"/>
        <w:ind w:left="748" w:right="159" w:hanging="370"/>
        <w:spacing w:after="0" w:line="264"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748" w:right="159" w:hanging="370"/>
        <w:spacing w:after="0" w:line="312" w:lineRule="auto"/>
        <w:tabs>
          <w:tab w:leader="none" w:pos="7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388" w:right="35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4" w:lineRule="exact"/>
        <w:rPr>
          <w:rFonts w:ascii="Arial" w:cs="Arial" w:eastAsia="Arial" w:hAnsi="Arial"/>
          <w:sz w:val="18"/>
          <w:szCs w:val="18"/>
          <w:color w:val="auto"/>
        </w:rPr>
      </w:pPr>
    </w:p>
    <w:p>
      <w:pPr>
        <w:ind w:left="748" w:right="439" w:hanging="370"/>
        <w:spacing w:after="0" w:line="264"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48" w:right="819" w:hanging="370"/>
        <w:spacing w:after="0" w:line="277"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May 10,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121"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Maureen B. Bellantoni, certify that:</w:t>
      </w:r>
    </w:p>
    <w:p>
      <w:pPr>
        <w:spacing w:after="0" w:line="185" w:lineRule="exact"/>
        <w:rPr>
          <w:sz w:val="20"/>
          <w:szCs w:val="20"/>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225" w:lineRule="exact"/>
        <w:rPr>
          <w:rFonts w:ascii="Arial" w:cs="Arial" w:eastAsia="Arial" w:hAnsi="Arial"/>
          <w:sz w:val="18"/>
          <w:szCs w:val="18"/>
          <w:color w:val="auto"/>
        </w:rPr>
      </w:pPr>
    </w:p>
    <w:p>
      <w:pPr>
        <w:ind w:left="388" w:right="4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54" w:lineRule="exact"/>
        <w:rPr>
          <w:rFonts w:ascii="Arial" w:cs="Arial" w:eastAsia="Arial" w:hAnsi="Arial"/>
          <w:sz w:val="18"/>
          <w:szCs w:val="18"/>
          <w:color w:val="auto"/>
        </w:rPr>
      </w:pPr>
    </w:p>
    <w:p>
      <w:pPr>
        <w:ind w:left="748" w:right="17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748" w:right="59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48" w:right="15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748" w:right="15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388" w:right="3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ind w:left="748" w:right="43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48" w:right="819" w:hanging="370"/>
        <w:spacing w:after="0" w:line="277"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May 10,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B. Bellantoni</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Maureen B. Bellantoni</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931" w:right="1440" w:bottom="1440" w:gutter="0" w:footer="0" w:header="0"/>
        </w:sectPr>
      </w:pPr>
    </w:p>
    <w:bookmarkStart w:id="39" w:name="page40"/>
    <w:bookmarkEnd w:id="39"/>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579"/>
        <w:spacing w:after="0" w:line="277" w:lineRule="auto"/>
        <w:rPr>
          <w:sz w:val="20"/>
          <w:szCs w:val="20"/>
          <w:color w:val="auto"/>
        </w:rPr>
      </w:pPr>
      <w:r>
        <w:rPr>
          <w:rFonts w:ascii="Arial" w:cs="Arial" w:eastAsia="Arial" w:hAnsi="Arial"/>
          <w:sz w:val="18"/>
          <w:szCs w:val="18"/>
          <w:color w:val="auto"/>
        </w:rPr>
        <w:t>I, Stuart M. Essig, President and Chief Executive Officer of Integra LifeSciences Holdings Corporation (the “Company”), hereby certify that, to my knowledge:</w:t>
      </w:r>
    </w:p>
    <w:p>
      <w:pPr>
        <w:spacing w:after="0" w:line="130" w:lineRule="exact"/>
        <w:rPr>
          <w:sz w:val="20"/>
          <w:szCs w:val="20"/>
          <w:color w:val="auto"/>
        </w:rPr>
      </w:pPr>
    </w:p>
    <w:p>
      <w:pPr>
        <w:ind w:left="388" w:right="419" w:hanging="388"/>
        <w:spacing w:after="0" w:line="342" w:lineRule="auto"/>
        <w:tabs>
          <w:tab w:leader="none" w:pos="3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2007 (the “Report”) fully complies with the requirement of Section 13(a) or Section 15(d), as applicable, of the Securities Exchange Act of 1934, as amended; and</w:t>
      </w:r>
    </w:p>
    <w:p>
      <w:pPr>
        <w:spacing w:after="0" w:line="96" w:lineRule="exact"/>
        <w:rPr>
          <w:rFonts w:ascii="Arial" w:cs="Arial" w:eastAsia="Arial" w:hAnsi="Arial"/>
          <w:sz w:val="16"/>
          <w:szCs w:val="16"/>
          <w:color w:val="auto"/>
        </w:rPr>
      </w:pPr>
    </w:p>
    <w:p>
      <w:pPr>
        <w:ind w:left="388" w:right="29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May 10,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931"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499"/>
        <w:spacing w:after="0" w:line="277" w:lineRule="auto"/>
        <w:rPr>
          <w:sz w:val="20"/>
          <w:szCs w:val="20"/>
          <w:color w:val="auto"/>
        </w:rPr>
      </w:pPr>
      <w:r>
        <w:rPr>
          <w:rFonts w:ascii="Arial" w:cs="Arial" w:eastAsia="Arial" w:hAnsi="Arial"/>
          <w:sz w:val="18"/>
          <w:szCs w:val="18"/>
          <w:color w:val="auto"/>
        </w:rPr>
        <w:t>I, Maureen B. Bellantoni, Executive Vice President and Chief Financial Officer of Integra LifeSciences Holdings Corporation (the “Company”), hereby certify that, to my knowledge:</w:t>
      </w:r>
    </w:p>
    <w:p>
      <w:pPr>
        <w:spacing w:after="0" w:line="130" w:lineRule="exact"/>
        <w:rPr>
          <w:sz w:val="20"/>
          <w:szCs w:val="20"/>
          <w:color w:val="auto"/>
        </w:rPr>
      </w:pPr>
    </w:p>
    <w:p>
      <w:pPr>
        <w:ind w:left="388" w:right="419" w:hanging="388"/>
        <w:spacing w:after="0" w:line="342" w:lineRule="auto"/>
        <w:tabs>
          <w:tab w:leader="none" w:pos="3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2007 (the “Report”) fully complies with the requirement of Section 13(a) or Section 15(d), as applicable, of the Securities Exchange Act of 1934, as amended; and</w:t>
      </w:r>
    </w:p>
    <w:p>
      <w:pPr>
        <w:spacing w:after="0" w:line="96" w:lineRule="exact"/>
        <w:rPr>
          <w:rFonts w:ascii="Arial" w:cs="Arial" w:eastAsia="Arial" w:hAnsi="Arial"/>
          <w:sz w:val="16"/>
          <w:szCs w:val="16"/>
          <w:color w:val="auto"/>
        </w:rPr>
      </w:pPr>
    </w:p>
    <w:p>
      <w:pPr>
        <w:ind w:left="388" w:right="299" w:hanging="388"/>
        <w:spacing w:after="0" w:line="277"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May 10, 2007</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B. Bellantoni</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Maureen B. Bellantoni</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9887"/>
      </w:cols>
      <w:pgMar w:left="572" w:top="9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2019-12-14T02:36:38Z</dcterms:created>
  <dcterms:modified xsi:type="dcterms:W3CDTF">2019-12-14T02:36:38Z</dcterms:modified>
</cp:coreProperties>
</file>