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500"/>
        <w:spacing w:after="0"/>
        <w:tabs>
          <w:tab w:leader="none" w:pos="4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COMMISSION FILE NO. 0-26224</w:t>
      </w:r>
    </w:p>
    <w:p>
      <w:pPr>
        <w:spacing w:after="0" w:line="164" w:lineRule="exact"/>
        <w:rPr>
          <w:sz w:val="20"/>
          <w:szCs w:val="20"/>
          <w:color w:val="auto"/>
        </w:rPr>
      </w:pPr>
    </w:p>
    <w:p>
      <w:pPr>
        <w:jc w:val="center"/>
        <w:ind w:right="-180"/>
        <w:spacing w:after="0"/>
        <w:rPr>
          <w:sz w:val="20"/>
          <w:szCs w:val="20"/>
          <w:color w:val="auto"/>
        </w:rPr>
      </w:pPr>
      <w:r>
        <w:rPr>
          <w:rFonts w:ascii="Arial" w:cs="Arial" w:eastAsia="Arial" w:hAnsi="Arial"/>
          <w:sz w:val="36"/>
          <w:szCs w:val="36"/>
          <w:b w:val="1"/>
          <w:bCs w:val="1"/>
          <w:color w:val="auto"/>
        </w:rPr>
        <w:t>INTEGRA LIFESCIENCES HOLDINGS CORPORATION</w:t>
      </w:r>
    </w:p>
    <w:p>
      <w:pPr>
        <w:spacing w:after="0" w:line="4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4480" w:type="dxa"/>
            <w:vAlign w:val="bottom"/>
          </w:tcPr>
          <w:p>
            <w:pPr>
              <w:jc w:val="center"/>
              <w:ind w:right="1210"/>
              <w:spacing w:after="0"/>
              <w:rPr>
                <w:sz w:val="20"/>
                <w:szCs w:val="20"/>
                <w:color w:val="auto"/>
              </w:rPr>
            </w:pPr>
            <w:r>
              <w:rPr>
                <w:rFonts w:ascii="Arial" w:cs="Arial" w:eastAsia="Arial" w:hAnsi="Arial"/>
                <w:sz w:val="18"/>
                <w:szCs w:val="18"/>
                <w:color w:val="auto"/>
                <w:w w:val="96"/>
              </w:rPr>
              <w:t>DELAWARE</w:t>
            </w:r>
          </w:p>
        </w:tc>
        <w:tc>
          <w:tcPr>
            <w:tcW w:w="3140" w:type="dxa"/>
            <w:vAlign w:val="bottom"/>
          </w:tcPr>
          <w:p>
            <w:pPr>
              <w:jc w:val="right"/>
              <w:ind w:right="390"/>
              <w:spacing w:after="0"/>
              <w:rPr>
                <w:sz w:val="20"/>
                <w:szCs w:val="20"/>
                <w:color w:val="auto"/>
              </w:rPr>
            </w:pPr>
            <w:r>
              <w:rPr>
                <w:rFonts w:ascii="Arial" w:cs="Arial" w:eastAsia="Arial" w:hAnsi="Arial"/>
                <w:sz w:val="18"/>
                <w:szCs w:val="18"/>
                <w:color w:val="auto"/>
              </w:rPr>
              <w:t>51-0317849</w:t>
            </w:r>
          </w:p>
        </w:tc>
      </w:tr>
      <w:tr>
        <w:trPr>
          <w:trHeight w:val="216"/>
        </w:trPr>
        <w:tc>
          <w:tcPr>
            <w:tcW w:w="4480" w:type="dxa"/>
            <w:vAlign w:val="bottom"/>
          </w:tcPr>
          <w:p>
            <w:pPr>
              <w:jc w:val="center"/>
              <w:ind w:right="1210"/>
              <w:spacing w:after="0"/>
              <w:rPr>
                <w:sz w:val="20"/>
                <w:szCs w:val="20"/>
                <w:color w:val="auto"/>
              </w:rPr>
            </w:pPr>
            <w:r>
              <w:rPr>
                <w:rFonts w:ascii="Arial" w:cs="Arial" w:eastAsia="Arial" w:hAnsi="Arial"/>
                <w:sz w:val="18"/>
                <w:szCs w:val="18"/>
                <w:color w:val="auto"/>
                <w:w w:val="94"/>
              </w:rPr>
              <w:t>(STATE OR OTHER JURISDICTION OF</w:t>
            </w:r>
          </w:p>
        </w:tc>
        <w:tc>
          <w:tcPr>
            <w:tcW w:w="3140" w:type="dxa"/>
            <w:vAlign w:val="bottom"/>
          </w:tcPr>
          <w:p>
            <w:pPr>
              <w:jc w:val="center"/>
              <w:ind w:left="1210"/>
              <w:spacing w:after="0"/>
              <w:rPr>
                <w:sz w:val="20"/>
                <w:szCs w:val="20"/>
                <w:color w:val="auto"/>
              </w:rPr>
            </w:pPr>
            <w:r>
              <w:rPr>
                <w:rFonts w:ascii="Arial" w:cs="Arial" w:eastAsia="Arial" w:hAnsi="Arial"/>
                <w:sz w:val="18"/>
                <w:szCs w:val="18"/>
                <w:color w:val="auto"/>
                <w:w w:val="94"/>
              </w:rPr>
              <w:t>(I.R.S. EMPLOYER</w:t>
            </w:r>
          </w:p>
        </w:tc>
      </w:tr>
      <w:tr>
        <w:trPr>
          <w:trHeight w:val="230"/>
        </w:trPr>
        <w:tc>
          <w:tcPr>
            <w:tcW w:w="4480" w:type="dxa"/>
            <w:vAlign w:val="bottom"/>
          </w:tcPr>
          <w:p>
            <w:pPr>
              <w:jc w:val="center"/>
              <w:ind w:right="1190"/>
              <w:spacing w:after="0"/>
              <w:rPr>
                <w:sz w:val="20"/>
                <w:szCs w:val="20"/>
                <w:color w:val="auto"/>
              </w:rPr>
            </w:pPr>
            <w:r>
              <w:rPr>
                <w:rFonts w:ascii="Arial" w:cs="Arial" w:eastAsia="Arial" w:hAnsi="Arial"/>
                <w:sz w:val="18"/>
                <w:szCs w:val="18"/>
                <w:color w:val="auto"/>
                <w:w w:val="96"/>
              </w:rPr>
              <w:t>INCORPORATION OR ORGANIZATION)</w:t>
            </w:r>
          </w:p>
        </w:tc>
        <w:tc>
          <w:tcPr>
            <w:tcW w:w="3140" w:type="dxa"/>
            <w:vAlign w:val="bottom"/>
          </w:tcPr>
          <w:p>
            <w:pPr>
              <w:jc w:val="center"/>
              <w:ind w:left="1210"/>
              <w:spacing w:after="0"/>
              <w:rPr>
                <w:sz w:val="20"/>
                <w:szCs w:val="20"/>
                <w:color w:val="auto"/>
              </w:rPr>
            </w:pPr>
            <w:r>
              <w:rPr>
                <w:rFonts w:ascii="Arial" w:cs="Arial" w:eastAsia="Arial" w:hAnsi="Arial"/>
                <w:sz w:val="18"/>
                <w:szCs w:val="18"/>
                <w:color w:val="auto"/>
                <w:w w:val="98"/>
              </w:rPr>
              <w:t>IDENTIFICATION NO.)</w:t>
            </w:r>
          </w:p>
        </w:tc>
      </w:tr>
      <w:tr>
        <w:trPr>
          <w:trHeight w:val="418"/>
        </w:trPr>
        <w:tc>
          <w:tcPr>
            <w:tcW w:w="4480" w:type="dxa"/>
            <w:vAlign w:val="bottom"/>
          </w:tcPr>
          <w:p>
            <w:pPr>
              <w:jc w:val="center"/>
              <w:ind w:right="1210"/>
              <w:spacing w:after="0"/>
              <w:rPr>
                <w:sz w:val="20"/>
                <w:szCs w:val="20"/>
                <w:color w:val="auto"/>
              </w:rPr>
            </w:pPr>
            <w:r>
              <w:rPr>
                <w:rFonts w:ascii="Arial" w:cs="Arial" w:eastAsia="Arial" w:hAnsi="Arial"/>
                <w:sz w:val="18"/>
                <w:szCs w:val="18"/>
                <w:color w:val="auto"/>
                <w:w w:val="94"/>
              </w:rPr>
              <w:t>311 ENTERPRISE DRIVE</w:t>
            </w:r>
          </w:p>
        </w:tc>
        <w:tc>
          <w:tcPr>
            <w:tcW w:w="3140" w:type="dxa"/>
            <w:vAlign w:val="bottom"/>
          </w:tcPr>
          <w:p>
            <w:pPr>
              <w:spacing w:after="0"/>
              <w:rPr>
                <w:sz w:val="24"/>
                <w:szCs w:val="24"/>
                <w:color w:val="auto"/>
              </w:rPr>
            </w:pPr>
          </w:p>
        </w:tc>
      </w:tr>
      <w:tr>
        <w:trPr>
          <w:trHeight w:val="216"/>
        </w:trPr>
        <w:tc>
          <w:tcPr>
            <w:tcW w:w="4480" w:type="dxa"/>
            <w:vAlign w:val="bottom"/>
          </w:tcPr>
          <w:p>
            <w:pPr>
              <w:jc w:val="center"/>
              <w:ind w:right="1190"/>
              <w:spacing w:after="0"/>
              <w:rPr>
                <w:sz w:val="20"/>
                <w:szCs w:val="20"/>
                <w:color w:val="auto"/>
              </w:rPr>
            </w:pPr>
            <w:r>
              <w:rPr>
                <w:rFonts w:ascii="Arial" w:cs="Arial" w:eastAsia="Arial" w:hAnsi="Arial"/>
                <w:sz w:val="18"/>
                <w:szCs w:val="18"/>
                <w:color w:val="auto"/>
                <w:w w:val="95"/>
              </w:rPr>
              <w:t>PLAINSBORO, NEW JERSEY</w:t>
            </w:r>
          </w:p>
        </w:tc>
        <w:tc>
          <w:tcPr>
            <w:tcW w:w="3140" w:type="dxa"/>
            <w:vAlign w:val="bottom"/>
          </w:tcPr>
          <w:p>
            <w:pPr>
              <w:spacing w:after="0"/>
              <w:rPr>
                <w:sz w:val="18"/>
                <w:szCs w:val="18"/>
                <w:color w:val="auto"/>
              </w:rPr>
            </w:pPr>
          </w:p>
        </w:tc>
      </w:tr>
      <w:tr>
        <w:trPr>
          <w:trHeight w:val="216"/>
        </w:trPr>
        <w:tc>
          <w:tcPr>
            <w:tcW w:w="4480" w:type="dxa"/>
            <w:vAlign w:val="bottom"/>
          </w:tcPr>
          <w:p>
            <w:pPr>
              <w:jc w:val="center"/>
              <w:ind w:right="1190"/>
              <w:spacing w:after="0"/>
              <w:rPr>
                <w:sz w:val="20"/>
                <w:szCs w:val="20"/>
                <w:color w:val="auto"/>
              </w:rPr>
            </w:pPr>
            <w:r>
              <w:rPr>
                <w:rFonts w:ascii="Arial" w:cs="Arial" w:eastAsia="Arial" w:hAnsi="Arial"/>
                <w:sz w:val="18"/>
                <w:szCs w:val="18"/>
                <w:color w:val="auto"/>
                <w:w w:val="95"/>
              </w:rPr>
              <w:t>(ADDRESS OF PRINCIPAL</w:t>
            </w:r>
          </w:p>
        </w:tc>
        <w:tc>
          <w:tcPr>
            <w:tcW w:w="3140" w:type="dxa"/>
            <w:vAlign w:val="bottom"/>
          </w:tcPr>
          <w:p>
            <w:pPr>
              <w:jc w:val="right"/>
              <w:ind w:right="610"/>
              <w:spacing w:after="0"/>
              <w:rPr>
                <w:sz w:val="20"/>
                <w:szCs w:val="20"/>
                <w:color w:val="auto"/>
              </w:rPr>
            </w:pPr>
            <w:r>
              <w:rPr>
                <w:rFonts w:ascii="Arial" w:cs="Arial" w:eastAsia="Arial" w:hAnsi="Arial"/>
                <w:sz w:val="18"/>
                <w:szCs w:val="18"/>
                <w:color w:val="auto"/>
              </w:rPr>
              <w:t>08536</w:t>
            </w:r>
          </w:p>
        </w:tc>
      </w:tr>
      <w:tr>
        <w:trPr>
          <w:trHeight w:val="230"/>
        </w:trPr>
        <w:tc>
          <w:tcPr>
            <w:tcW w:w="4480" w:type="dxa"/>
            <w:vAlign w:val="bottom"/>
          </w:tcPr>
          <w:p>
            <w:pPr>
              <w:jc w:val="center"/>
              <w:ind w:right="1190"/>
              <w:spacing w:after="0"/>
              <w:rPr>
                <w:sz w:val="20"/>
                <w:szCs w:val="20"/>
                <w:color w:val="auto"/>
              </w:rPr>
            </w:pPr>
            <w:r>
              <w:rPr>
                <w:rFonts w:ascii="Arial" w:cs="Arial" w:eastAsia="Arial" w:hAnsi="Arial"/>
                <w:sz w:val="18"/>
                <w:szCs w:val="18"/>
                <w:color w:val="auto"/>
                <w:w w:val="96"/>
              </w:rPr>
              <w:t>EXECUTIVE OFFICES)</w:t>
            </w:r>
          </w:p>
        </w:tc>
        <w:tc>
          <w:tcPr>
            <w:tcW w:w="3140" w:type="dxa"/>
            <w:vAlign w:val="bottom"/>
          </w:tcPr>
          <w:p>
            <w:pPr>
              <w:jc w:val="center"/>
              <w:ind w:left="1210"/>
              <w:spacing w:after="0"/>
              <w:rPr>
                <w:sz w:val="20"/>
                <w:szCs w:val="20"/>
                <w:color w:val="auto"/>
              </w:rPr>
            </w:pPr>
            <w:r>
              <w:rPr>
                <w:rFonts w:ascii="Arial" w:cs="Arial" w:eastAsia="Arial" w:hAnsi="Arial"/>
                <w:sz w:val="18"/>
                <w:szCs w:val="18"/>
                <w:color w:val="auto"/>
                <w:w w:val="94"/>
              </w:rPr>
              <w:t>(ZIP CODE)</w:t>
            </w:r>
          </w:p>
        </w:tc>
      </w:tr>
    </w:tbl>
    <w:p>
      <w:pPr>
        <w:spacing w:after="0" w:line="17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REGISTRANT’S TELEPHONE NUMBER, INCLUDING AREA CODE: (609) 275-0500</w:t>
      </w:r>
    </w:p>
    <w:p>
      <w:pPr>
        <w:spacing w:after="0" w:line="185"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79"/>
        <w:spacing w:after="0" w:line="22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57"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8"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1880" w:type="dxa"/>
            <w:vAlign w:val="bottom"/>
          </w:tcPr>
          <w:p>
            <w:pPr>
              <w:jc w:val="center"/>
              <w:ind w:right="170"/>
              <w:spacing w:after="0"/>
              <w:rPr>
                <w:sz w:val="20"/>
                <w:szCs w:val="20"/>
                <w:color w:val="auto"/>
              </w:rPr>
            </w:pPr>
            <w:r>
              <w:rPr>
                <w:rFonts w:ascii="Arial" w:cs="Arial" w:eastAsia="Arial" w:hAnsi="Arial"/>
                <w:sz w:val="18"/>
                <w:szCs w:val="18"/>
                <w:color w:val="auto"/>
                <w:w w:val="90"/>
              </w:rPr>
              <w:t>Large accelerated filer</w:t>
            </w:r>
          </w:p>
        </w:tc>
        <w:tc>
          <w:tcPr>
            <w:tcW w:w="1840" w:type="dxa"/>
            <w:vAlign w:val="bottom"/>
          </w:tcPr>
          <w:p>
            <w:pPr>
              <w:ind w:left="260"/>
              <w:spacing w:after="0"/>
              <w:rPr>
                <w:sz w:val="20"/>
                <w:szCs w:val="20"/>
                <w:color w:val="auto"/>
              </w:rPr>
            </w:pPr>
            <w:r>
              <w:rPr>
                <w:rFonts w:ascii="Arial" w:cs="Arial" w:eastAsia="Arial" w:hAnsi="Arial"/>
                <w:sz w:val="18"/>
                <w:szCs w:val="18"/>
                <w:color w:val="auto"/>
              </w:rPr>
              <w:t>Accelerated filer o</w:t>
            </w:r>
          </w:p>
        </w:tc>
        <w:tc>
          <w:tcPr>
            <w:tcW w:w="370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2220" w:type="dxa"/>
            <w:vAlign w:val="bottom"/>
          </w:tcPr>
          <w:p>
            <w:pPr>
              <w:ind w:left="120"/>
              <w:spacing w:after="0"/>
              <w:rPr>
                <w:sz w:val="20"/>
                <w:szCs w:val="20"/>
                <w:color w:val="auto"/>
              </w:rPr>
            </w:pPr>
            <w:r>
              <w:rPr>
                <w:rFonts w:ascii="Arial" w:cs="Arial" w:eastAsia="Arial" w:hAnsi="Arial"/>
                <w:sz w:val="18"/>
                <w:szCs w:val="18"/>
                <w:color w:val="auto"/>
                <w:w w:val="90"/>
              </w:rPr>
              <w:t>Smaller reporting company o</w:t>
            </w:r>
          </w:p>
        </w:tc>
        <w:tc>
          <w:tcPr>
            <w:tcW w:w="0" w:type="dxa"/>
            <w:vAlign w:val="bottom"/>
          </w:tcPr>
          <w:p>
            <w:pPr>
              <w:spacing w:after="0"/>
              <w:rPr>
                <w:sz w:val="1"/>
                <w:szCs w:val="1"/>
                <w:color w:val="auto"/>
              </w:rPr>
            </w:pPr>
          </w:p>
        </w:tc>
      </w:tr>
      <w:tr>
        <w:trPr>
          <w:trHeight w:val="283"/>
        </w:trPr>
        <w:tc>
          <w:tcPr>
            <w:tcW w:w="1880" w:type="dxa"/>
            <w:vAlign w:val="bottom"/>
          </w:tcPr>
          <w:p>
            <w:pPr>
              <w:jc w:val="center"/>
              <w:ind w:right="170"/>
              <w:spacing w:after="0" w:line="181" w:lineRule="exact"/>
              <w:rPr>
                <w:sz w:val="20"/>
                <w:szCs w:val="20"/>
                <w:color w:val="auto"/>
              </w:rPr>
            </w:pPr>
            <w:r>
              <w:rPr>
                <w:rFonts w:ascii="MS PGothic" w:cs="MS PGothic" w:eastAsia="MS PGothic" w:hAnsi="MS PGothic"/>
                <w:sz w:val="18"/>
                <w:szCs w:val="18"/>
                <w:color w:val="auto"/>
                <w:w w:val="99"/>
              </w:rPr>
              <w:t>☑</w:t>
            </w:r>
          </w:p>
        </w:tc>
        <w:tc>
          <w:tcPr>
            <w:tcW w:w="1840" w:type="dxa"/>
            <w:vAlign w:val="bottom"/>
          </w:tcPr>
          <w:p>
            <w:pPr>
              <w:spacing w:after="0"/>
              <w:rPr>
                <w:sz w:val="24"/>
                <w:szCs w:val="24"/>
                <w:color w:val="auto"/>
              </w:rPr>
            </w:pPr>
          </w:p>
        </w:tc>
        <w:tc>
          <w:tcPr>
            <w:tcW w:w="3700" w:type="dxa"/>
            <w:vAlign w:val="bottom"/>
            <w:vMerge w:val="restart"/>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70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40" w:right="799"/>
        <w:spacing w:after="0" w:line="32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$0.01 par value, outstanding as of April 26, 2011 was 28,561,180.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128905</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146050</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803910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00" w:type="dxa"/>
            <w:vAlign w:val="bottom"/>
            <w:gridSpan w:val="10"/>
          </w:tcPr>
          <w:p>
            <w:pPr>
              <w:jc w:val="center"/>
              <w:ind w:right="640"/>
              <w:spacing w:after="0"/>
              <w:rPr>
                <w:sz w:val="20"/>
                <w:szCs w:val="20"/>
                <w:color w:val="auto"/>
              </w:rPr>
            </w:pPr>
            <w:r>
              <w:rPr>
                <w:rFonts w:ascii="Arial" w:cs="Arial" w:eastAsia="Arial" w:hAnsi="Arial"/>
                <w:sz w:val="18"/>
                <w:szCs w:val="18"/>
                <w:b w:val="1"/>
                <w:bCs w:val="1"/>
                <w:color w:val="auto"/>
              </w:rPr>
              <w:t>INTEGRA LIFESCIENCES HOLDINGS CORPORATION</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gridSpan w:val="8"/>
          </w:tcPr>
          <w:p>
            <w:pPr>
              <w:jc w:val="center"/>
              <w:ind w:right="1200"/>
              <w:spacing w:after="0"/>
              <w:rPr>
                <w:sz w:val="20"/>
                <w:szCs w:val="20"/>
                <w:color w:val="auto"/>
              </w:rPr>
            </w:pPr>
            <w:r>
              <w:rPr>
                <w:rFonts w:ascii="Arial" w:cs="Arial" w:eastAsia="Arial" w:hAnsi="Arial"/>
                <w:sz w:val="18"/>
                <w:szCs w:val="18"/>
                <w:b w:val="1"/>
                <w:bCs w:val="1"/>
                <w:color w:val="auto"/>
              </w:rPr>
              <w:t>INDEX</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Page Number</w:t>
            </w:r>
          </w:p>
        </w:tc>
      </w:tr>
      <w:tr>
        <w:trPr>
          <w:trHeight w:val="385"/>
        </w:trPr>
        <w:tc>
          <w:tcPr>
            <w:tcW w:w="288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FINANCIAL INFORMATION</w:t>
              </w:r>
            </w:hyperlink>
          </w:p>
        </w:tc>
        <w:tc>
          <w:tcPr>
            <w:tcW w:w="514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2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5960" w:type="dxa"/>
            <w:vAlign w:val="bottom"/>
            <w:gridSpan w:val="11"/>
          </w:tcPr>
          <w:p>
            <w:pPr>
              <w:spacing w:after="0"/>
              <w:rPr>
                <w:sz w:val="24"/>
                <w:szCs w:val="24"/>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r>
      <w:tr>
        <w:trPr>
          <w:trHeight w:val="412"/>
        </w:trPr>
        <w:tc>
          <w:tcPr>
            <w:tcW w:w="75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2011 and 2010</w:t>
              </w:r>
            </w:hyperlink>
          </w:p>
        </w:tc>
        <w:tc>
          <w:tcPr>
            <w:tcW w:w="50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1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412"/>
        </w:trPr>
        <w:tc>
          <w:tcPr>
            <w:tcW w:w="71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Balance Sheets as of March 31, 2011 and December 31, 2010 (Unaudited)</w:t>
              </w:r>
            </w:hyperlink>
          </w:p>
        </w:tc>
        <w:tc>
          <w:tcPr>
            <w:tcW w:w="840" w:type="dxa"/>
            <w:vAlign w:val="bottom"/>
            <w:gridSpan w:val="3"/>
          </w:tcPr>
          <w:p>
            <w:pPr>
              <w:spacing w:after="0"/>
              <w:rPr>
                <w:sz w:val="24"/>
                <w:szCs w:val="24"/>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412"/>
        </w:trPr>
        <w:tc>
          <w:tcPr>
            <w:tcW w:w="75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2011 and 2010</w:t>
              </w:r>
            </w:hyperlink>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1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412"/>
        </w:trPr>
        <w:tc>
          <w:tcPr>
            <w:tcW w:w="802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2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r>
      <w:tr>
        <w:trPr>
          <w:trHeight w:val="412"/>
        </w:trPr>
        <w:tc>
          <w:tcPr>
            <w:tcW w:w="49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020" w:type="dxa"/>
            <w:vAlign w:val="bottom"/>
            <w:gridSpan w:val="4"/>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r>
      <w:tr>
        <w:trPr>
          <w:trHeight w:val="412"/>
        </w:trPr>
        <w:tc>
          <w:tcPr>
            <w:tcW w:w="23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Item 4. Controls and Procedures</w:t>
              </w:r>
            </w:hyperlink>
          </w:p>
        </w:tc>
        <w:tc>
          <w:tcPr>
            <w:tcW w:w="5700" w:type="dxa"/>
            <w:vAlign w:val="bottom"/>
            <w:gridSpan w:val="10"/>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r>
      <w:tr>
        <w:trPr>
          <w:trHeight w:val="412"/>
        </w:trPr>
        <w:tc>
          <w:tcPr>
            <w:tcW w:w="802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PART II. OTHER INFORMATION</w:t>
              </w:r>
            </w:hyperlink>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2560" w:type="dxa"/>
            <w:vAlign w:val="bottom"/>
            <w:tcBorders>
              <w:top w:val="single" w:sz="8" w:color="0000EE"/>
            </w:tcBorders>
            <w:gridSpan w:val="1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 Legal Proceedings</w:t>
              </w:r>
            </w:hyperlink>
          </w:p>
        </w:tc>
        <w:tc>
          <w:tcPr>
            <w:tcW w:w="5460" w:type="dxa"/>
            <w:vAlign w:val="bottom"/>
            <w:gridSpan w:val="9"/>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r>
      <w:tr>
        <w:trPr>
          <w:trHeight w:val="412"/>
        </w:trPr>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6140" w:type="dxa"/>
            <w:vAlign w:val="bottom"/>
            <w:gridSpan w:val="12"/>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Item 2. Unregistered Sales of Equity Securities and Use of Proceeds</w:t>
              </w:r>
            </w:hyperlink>
          </w:p>
        </w:tc>
        <w:tc>
          <w:tcPr>
            <w:tcW w:w="3120" w:type="dxa"/>
            <w:vAlign w:val="bottom"/>
            <w:gridSpan w:val="6"/>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r>
      <w:tr>
        <w:trPr>
          <w:trHeight w:val="412"/>
        </w:trPr>
        <w:tc>
          <w:tcPr>
            <w:tcW w:w="802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6. Exhibits</w:t>
              </w:r>
            </w:hyperlink>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r>
      <w:tr>
        <w:trPr>
          <w:trHeight w:val="412"/>
        </w:trPr>
        <w:tc>
          <w:tcPr>
            <w:tcW w:w="11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SIGNATURES</w:t>
              </w:r>
            </w:hyperlink>
          </w:p>
        </w:tc>
        <w:tc>
          <w:tcPr>
            <w:tcW w:w="40" w:type="dxa"/>
            <w:vAlign w:val="bottom"/>
            <w:tcBorders>
              <w:top w:val="single" w:sz="8" w:color="0000EE"/>
            </w:tcBorders>
          </w:tcPr>
          <w:p>
            <w:pPr>
              <w:spacing w:after="0"/>
              <w:rPr>
                <w:sz w:val="24"/>
                <w:szCs w:val="24"/>
                <w:color w:val="auto"/>
              </w:rPr>
            </w:pPr>
          </w:p>
        </w:tc>
        <w:tc>
          <w:tcPr>
            <w:tcW w:w="6880" w:type="dxa"/>
            <w:vAlign w:val="bottom"/>
            <w:gridSpan w:val="14"/>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EX-10.2</w:t>
            </w:r>
          </w:p>
        </w:tc>
        <w:tc>
          <w:tcPr>
            <w:tcW w:w="7380" w:type="dxa"/>
            <w:vAlign w:val="bottom"/>
            <w:gridSpan w:val="17"/>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EX-31.1</w:t>
            </w:r>
          </w:p>
        </w:tc>
        <w:tc>
          <w:tcPr>
            <w:tcW w:w="7380" w:type="dxa"/>
            <w:vAlign w:val="bottom"/>
            <w:gridSpan w:val="17"/>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EX-31.2</w:t>
            </w:r>
          </w:p>
        </w:tc>
        <w:tc>
          <w:tcPr>
            <w:tcW w:w="7380" w:type="dxa"/>
            <w:vAlign w:val="bottom"/>
            <w:gridSpan w:val="17"/>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648335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FINANCIAL INFORMATION</w:t>
      </w:r>
    </w:p>
    <w:p>
      <w:pPr>
        <w:spacing w:after="0" w:line="202"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Financial Statements</w:t>
      </w:r>
    </w:p>
    <w:p>
      <w:pPr>
        <w:spacing w:after="0" w:line="18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(In thousands, except per share amounts)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Three Months Ended</w:t>
            </w:r>
          </w:p>
        </w:tc>
      </w:tr>
      <w:tr>
        <w:trPr>
          <w:trHeight w:val="234"/>
        </w:trPr>
        <w:tc>
          <w:tcPr>
            <w:tcW w:w="5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r>
      <w:tr>
        <w:trPr>
          <w:trHeight w:val="210"/>
        </w:trPr>
        <w:tc>
          <w:tcPr>
            <w:tcW w:w="5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revenue, net</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181,041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172,698</w:t>
            </w:r>
          </w:p>
        </w:tc>
      </w:tr>
      <w:tr>
        <w:trPr>
          <w:trHeight w:val="439"/>
        </w:trPr>
        <w:tc>
          <w:tcPr>
            <w:tcW w:w="5860" w:type="dxa"/>
            <w:vAlign w:val="bottom"/>
          </w:tcPr>
          <w:p>
            <w:pPr>
              <w:spacing w:after="0"/>
              <w:rPr>
                <w:sz w:val="20"/>
                <w:szCs w:val="20"/>
                <w:color w:val="auto"/>
              </w:rPr>
            </w:pPr>
            <w:r>
              <w:rPr>
                <w:rFonts w:ascii="Arial" w:cs="Arial" w:eastAsia="Arial" w:hAnsi="Arial"/>
                <w:sz w:val="18"/>
                <w:szCs w:val="18"/>
                <w:color w:val="auto"/>
              </w:rPr>
              <w:t>Costs and expenses:</w:t>
            </w:r>
          </w:p>
        </w:tc>
        <w:tc>
          <w:tcPr>
            <w:tcW w:w="14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64,921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63,224</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12,153</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11,301</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80,084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72,511</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3,011</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3,019</w:t>
            </w:r>
          </w:p>
        </w:tc>
      </w:tr>
      <w:tr>
        <w:trPr>
          <w:trHeight w:val="223"/>
        </w:trPr>
        <w:tc>
          <w:tcPr>
            <w:tcW w:w="5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160,169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150,055</w:t>
            </w:r>
          </w:p>
        </w:tc>
      </w:tr>
      <w:tr>
        <w:trPr>
          <w:trHeight w:val="20"/>
        </w:trPr>
        <w:tc>
          <w:tcPr>
            <w:tcW w:w="5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860" w:type="dxa"/>
            <w:vAlign w:val="bottom"/>
          </w:tcPr>
          <w:p>
            <w:pPr>
              <w:spacing w:after="0"/>
              <w:rPr>
                <w:sz w:val="20"/>
                <w:szCs w:val="20"/>
                <w:color w:val="auto"/>
              </w:rPr>
            </w:pPr>
            <w:r>
              <w:rPr>
                <w:rFonts w:ascii="Arial" w:cs="Arial" w:eastAsia="Arial" w:hAnsi="Arial"/>
                <w:sz w:val="18"/>
                <w:szCs w:val="18"/>
                <w:color w:val="auto"/>
              </w:rPr>
              <w:t>Operating income</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20,872</w:t>
            </w: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22,643</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(5,469)</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(4,541)</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w:t>
            </w:r>
          </w:p>
        </w:tc>
      </w:tr>
      <w:tr>
        <w:trPr>
          <w:trHeight w:val="20"/>
        </w:trPr>
        <w:tc>
          <w:tcPr>
            <w:tcW w:w="5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14,833</w:t>
            </w: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19,309</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3,346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4,087</w:t>
            </w:r>
          </w:p>
        </w:tc>
      </w:tr>
      <w:tr>
        <w:trPr>
          <w:trHeight w:val="20"/>
        </w:trPr>
        <w:tc>
          <w:tcPr>
            <w:tcW w:w="5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860" w:type="dxa"/>
            <w:vAlign w:val="bottom"/>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11,487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15,222</w:t>
            </w:r>
          </w:p>
        </w:tc>
      </w:tr>
      <w:tr>
        <w:trPr>
          <w:trHeight w:val="20"/>
        </w:trPr>
        <w:tc>
          <w:tcPr>
            <w:tcW w:w="5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(See Note 11):</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Basic</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29,562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29,488</w:t>
            </w:r>
          </w:p>
        </w:tc>
      </w:tr>
      <w:tr>
        <w:trPr>
          <w:trHeight w:val="216"/>
        </w:trPr>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30,185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29,982</w:t>
            </w:r>
          </w:p>
        </w:tc>
      </w:tr>
    </w:tbl>
    <w:p>
      <w:pPr>
        <w:spacing w:after="0" w:line="16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20" w:type="dxa"/>
            <w:vAlign w:val="bottom"/>
          </w:tcPr>
          <w:p>
            <w:pPr>
              <w:jc w:val="center"/>
              <w:ind w:left="1350"/>
              <w:spacing w:after="0"/>
              <w:rPr>
                <w:sz w:val="20"/>
                <w:szCs w:val="20"/>
                <w:color w:val="auto"/>
              </w:rPr>
            </w:pPr>
            <w:r>
              <w:rPr>
                <w:rFonts w:ascii="Arial" w:cs="Arial" w:eastAsia="Arial" w:hAnsi="Arial"/>
                <w:sz w:val="18"/>
                <w:szCs w:val="18"/>
                <w:b w:val="1"/>
                <w:bCs w:val="1"/>
                <w:color w:val="auto"/>
              </w:rPr>
              <w:t>INTEGRA LIFESCIENCES HOLDINGS CORPORATION</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2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20" w:type="dxa"/>
            <w:vAlign w:val="bottom"/>
          </w:tcPr>
          <w:p>
            <w:pPr>
              <w:jc w:val="center"/>
              <w:ind w:left="135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20" w:type="dxa"/>
            <w:vAlign w:val="bottom"/>
          </w:tcPr>
          <w:p>
            <w:pPr>
              <w:jc w:val="center"/>
              <w:ind w:left="1370"/>
              <w:spacing w:after="0"/>
              <w:rPr>
                <w:sz w:val="20"/>
                <w:szCs w:val="20"/>
                <w:color w:val="auto"/>
              </w:rPr>
            </w:pPr>
            <w:r>
              <w:rPr>
                <w:rFonts w:ascii="Arial" w:cs="Arial" w:eastAsia="Arial" w:hAnsi="Arial"/>
                <w:sz w:val="18"/>
                <w:szCs w:val="18"/>
                <w:color w:val="auto"/>
                <w:w w:val="90"/>
              </w:rPr>
              <w:t>(In thousands)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March 31,</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104,354</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128,763</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Trade accounts receivable, net of allowances of $6,678 and $7,322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106,117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106,005</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146,928</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35,306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35,284</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27,869</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240" w:type="dxa"/>
            <w:vAlign w:val="bottom"/>
            <w:gridSpan w:val="2"/>
          </w:tcPr>
          <w:p>
            <w:pPr>
              <w:ind w:left="40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425,185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444,849</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99,456</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191,210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194,904</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261,928</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10,427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7,894</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1,007,028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1,019,133</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Borrowings under senior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69,375</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108,438</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Accounts payable, trade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27,783</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4,444</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20,425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27,562</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33,630</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240" w:type="dxa"/>
            <w:vAlign w:val="bottom"/>
            <w:gridSpan w:val="2"/>
          </w:tcPr>
          <w:p>
            <w:pPr>
              <w:ind w:left="4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163,316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201,857</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borrowings under senior credit facility</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139,688</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Long-term convertible securities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156,824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155,154</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10,645</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11,826</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519,170</w:t>
            </w:r>
          </w:p>
        </w:tc>
      </w:tr>
      <w:tr>
        <w:trPr>
          <w:trHeight w:val="439"/>
        </w:trPr>
        <w:tc>
          <w:tcPr>
            <w:tcW w:w="34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$0.01 par value; 60,000 authorized shares; 35,807 and 35,745 issued</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558,527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552,227</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Treasury stock, at cost; 7,299 and 7,212 shares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(287,978)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(283,658)</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400"/>
              <w:spacing w:after="0"/>
              <w:rPr>
                <w:sz w:val="20"/>
                <w:szCs w:val="20"/>
                <w:color w:val="auto"/>
              </w:rPr>
            </w:pPr>
            <w:r>
              <w:rPr>
                <w:rFonts w:ascii="Arial" w:cs="Arial" w:eastAsia="Arial" w:hAnsi="Arial"/>
                <w:sz w:val="18"/>
                <w:szCs w:val="18"/>
                <w:color w:val="auto"/>
              </w:rPr>
              <w:t>Pension liability adjustment, net of tax</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(771)</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Unrealized gain (loss) on derivatives, net of tax</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244,317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232,830</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499,963</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1,007,028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1,019,133</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20" w:type="dxa"/>
            <w:vAlign w:val="bottom"/>
          </w:tcPr>
          <w:p>
            <w:pPr>
              <w:jc w:val="center"/>
              <w:ind w:left="1350"/>
              <w:spacing w:after="0"/>
              <w:rPr>
                <w:sz w:val="20"/>
                <w:szCs w:val="20"/>
                <w:color w:val="auto"/>
              </w:rPr>
            </w:pPr>
            <w:r>
              <w:rPr>
                <w:rFonts w:ascii="Arial" w:cs="Arial" w:eastAsia="Arial" w:hAnsi="Arial"/>
                <w:sz w:val="18"/>
                <w:szCs w:val="18"/>
                <w:b w:val="1"/>
                <w:bCs w:val="1"/>
                <w:color w:val="auto"/>
              </w:rPr>
              <w:t>INTEGRA LIFESCIENCES HOLDINGS CORPORATION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6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20" w:type="dxa"/>
            <w:vAlign w:val="bottom"/>
          </w:tcPr>
          <w:p>
            <w:pPr>
              <w:jc w:val="center"/>
              <w:ind w:left="1350"/>
              <w:spacing w:after="0"/>
              <w:rPr>
                <w:sz w:val="20"/>
                <w:szCs w:val="20"/>
                <w:color w:val="auto"/>
              </w:rPr>
            </w:pPr>
            <w:r>
              <w:rPr>
                <w:rFonts w:ascii="Arial" w:cs="Arial" w:eastAsia="Arial" w:hAnsi="Arial"/>
                <w:sz w:val="18"/>
                <w:szCs w:val="18"/>
                <w:b w:val="1"/>
                <w:bCs w:val="1"/>
                <w:color w:val="auto"/>
              </w:rPr>
              <w:t>(UNAUDITED)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20" w:type="dxa"/>
            <w:vAlign w:val="bottom"/>
          </w:tcPr>
          <w:p>
            <w:pPr>
              <w:jc w:val="center"/>
              <w:ind w:left="1370"/>
              <w:spacing w:after="0"/>
              <w:rPr>
                <w:sz w:val="20"/>
                <w:szCs w:val="20"/>
                <w:color w:val="auto"/>
              </w:rPr>
            </w:pPr>
            <w:r>
              <w:rPr>
                <w:rFonts w:ascii="Arial" w:cs="Arial" w:eastAsia="Arial" w:hAnsi="Arial"/>
                <w:sz w:val="18"/>
                <w:szCs w:val="18"/>
                <w:color w:val="auto"/>
                <w:w w:val="90"/>
              </w:rPr>
              <w:t>(In thousands)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11,487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15,222</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9,958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9,431</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 benefit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Amortization of bond issuance costs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interest expense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4,034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3,843</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Excess tax benefits from stock-based compensation arrangements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(2,912)</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 net of business acquisitions: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Accounts receivable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1,096</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3,278</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(4,770)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(2,199)</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2,871</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(821)</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Accounts payable, accrued expenses and other current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(2,797)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3,196</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r>
      <w:tr>
        <w:trPr>
          <w:trHeight w:val="216"/>
        </w:trPr>
        <w:tc>
          <w:tcPr>
            <w:tcW w:w="340" w:type="dxa"/>
            <w:vAlign w:val="bottom"/>
          </w:tcPr>
          <w:p>
            <w:pPr>
              <w:spacing w:after="0"/>
              <w:rPr>
                <w:sz w:val="18"/>
                <w:szCs w:val="18"/>
                <w:color w:val="auto"/>
              </w:rPr>
            </w:pP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Other non-current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(2,836)</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21,255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28,137</w:t>
            </w:r>
          </w:p>
        </w:tc>
      </w:tr>
      <w:tr>
        <w:trPr>
          <w:trHeight w:val="439"/>
        </w:trPr>
        <w:tc>
          <w:tcPr>
            <w:tcW w:w="34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(5,922)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(5,944)</w:t>
            </w:r>
          </w:p>
        </w:tc>
      </w:tr>
      <w:tr>
        <w:trPr>
          <w:trHeight w:val="439"/>
        </w:trPr>
        <w:tc>
          <w:tcPr>
            <w:tcW w:w="34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 under senior credit facility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(41,875)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r>
      <w:tr>
        <w:trPr>
          <w:trHeight w:val="216"/>
        </w:trPr>
        <w:tc>
          <w:tcPr>
            <w:tcW w:w="3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(4,320)</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stock options, net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w:t>
            </w:r>
          </w:p>
        </w:tc>
      </w:tr>
      <w:tr>
        <w:trPr>
          <w:trHeight w:val="216"/>
        </w:trPr>
        <w:tc>
          <w:tcPr>
            <w:tcW w:w="3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2,912</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(44,455)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4,713</w:t>
            </w:r>
          </w:p>
        </w:tc>
        <w:tc>
          <w:tcPr>
            <w:tcW w:w="24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(2,946)</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(24,409)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9,783</w:t>
            </w:r>
          </w:p>
        </w:tc>
      </w:tr>
      <w:tr>
        <w:trPr>
          <w:trHeight w:val="216"/>
        </w:trPr>
        <w:tc>
          <w:tcPr>
            <w:tcW w:w="34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128,763</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71,891</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104,354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81,674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BASIS OF PRESENTATION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General</w:t>
      </w:r>
    </w:p>
    <w:p>
      <w:pPr>
        <w:spacing w:after="0" w:line="18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43"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In the opinion of management, the March 31, 2011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2010 included in the Company’s Annual Report on Form 10-K. The December 31, 2010 condensed consolidated balance sheet was derived from audited financial statements but does not include all disclosures required by accounting principles generally accepted in the United States. Operating results for the three-month period ended March 31, 2011 are not necessarily indicative of the results to be expected for the entire year.</w:t>
      </w:r>
    </w:p>
    <w:p>
      <w:pPr>
        <w:spacing w:after="0" w:line="126"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and loss contingencies. These estimates are based on historical experience and on various other assumptions that are believed to be reasonable under the current circumstances. Actual results could differ from these estimates.</w:t>
      </w:r>
    </w:p>
    <w:p>
      <w:pPr>
        <w:spacing w:after="0" w:line="14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recently issued accounting standards that have an impact on the Company’s financial statements.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Supplemental Cash Flow Information</w:t>
      </w:r>
    </w:p>
    <w:p>
      <w:pPr>
        <w:spacing w:after="0" w:line="19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During the three months ended March 31, 2010, 282,086 stock options were exercised, whereby in lieu of a cash payment for the exercise price, an option holder tendered 73,546 shares of Company stock that had a fair market value of approximately $3.1 million. These tendered shares were then immediately retired.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BUSINESS AND ASSET ACQUISITIONS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Integra Neurosciences Pty Ltd.</w:t>
      </w:r>
    </w:p>
    <w:p>
      <w:pPr>
        <w:spacing w:after="0" w:line="198"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In October 2008, the Company acquired Integra Neurosciences Pty Ltd. in Australia and Integra Neurosciences Pty Ltd. in New Zealand for $4.0 million (6.0 million Australian dollars) in cash at closing, $0.3 million in acquisition expenses and working capital adjustments, and up to $2.1 million based on the exchange rates in effect at the time of the acquisition (3.1 million Australian dollars) in future payments based on the performance of business in the three years after closing. Approximately $0.9 million (1.0 million Australian dollars) of this potential revenue performance obligation was paid in November 2009 for the first revenue performance year, $1.0 million (1.0 million Australian dollars) was paid in December 2010 for the second revenue performance year, and $1.1 million (1.0 million Australian dollars) has been accrued at March 31, 2011 for the third revenue performance year.</w:t>
      </w: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Theken</w:t>
      </w:r>
    </w:p>
    <w:p>
      <w:pPr>
        <w:spacing w:after="0" w:line="198"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In August 2008 the Company acquired Theken Spine, LLC, Theken Disc, LLC and Therics, LLC (collectively, “Integra Spine”) for $75.0 million in cash, subject to certain adjustments, acquisition expenses of $2.4 million, working capital adjustments of $3.9 million, and up to $125.0 million in future payments based on the revenue performance of the business in each of the two years after closing. The Company paid approximately $52.0 million for the first year revenue performance obligation in November 2009 and accrued an additional $3.4 million in September 2010 related to the disputed settlement amount (see Note 13, “Commitments and Contingencies”). The Company believes that there are no additional amounts due for the second performance year.</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740" w:type="dxa"/>
            <w:vAlign w:val="bottom"/>
          </w:tcPr>
          <w:p>
            <w:pPr>
              <w:spacing w:after="0"/>
              <w:rPr>
                <w:sz w:val="20"/>
                <w:szCs w:val="20"/>
                <w:color w:val="auto"/>
              </w:rPr>
            </w:pPr>
            <w:r>
              <w:rPr>
                <w:rFonts w:ascii="Arial" w:cs="Arial" w:eastAsia="Arial" w:hAnsi="Arial"/>
                <w:sz w:val="18"/>
                <w:szCs w:val="18"/>
                <w:color w:val="auto"/>
              </w:rPr>
              <w:t>Inventories, net consisted of the following:</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3"/>
              </w:rPr>
              <w:t>March 31,</w:t>
            </w:r>
          </w:p>
        </w:tc>
        <w:tc>
          <w:tcPr>
            <w:tcW w:w="1320" w:type="dxa"/>
            <w:vAlign w:val="bottom"/>
            <w:gridSpan w:val="4"/>
          </w:tcPr>
          <w:p>
            <w:pPr>
              <w:ind w:left="1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ind w:left="440"/>
              <w:spacing w:after="0"/>
              <w:rPr>
                <w:sz w:val="20"/>
                <w:szCs w:val="20"/>
                <w:color w:val="auto"/>
              </w:rPr>
            </w:pPr>
            <w:r>
              <w:rPr>
                <w:rFonts w:ascii="Arial" w:cs="Arial" w:eastAsia="Arial" w:hAnsi="Arial"/>
                <w:sz w:val="18"/>
                <w:szCs w:val="18"/>
                <w:b w:val="1"/>
                <w:bCs w:val="1"/>
                <w:color w:val="auto"/>
              </w:rPr>
              <w:t>(In</w:t>
            </w:r>
          </w:p>
        </w:tc>
        <w:tc>
          <w:tcPr>
            <w:tcW w:w="14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80"/>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92,087</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Work-in process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33,035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31,536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29,479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27,884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154,601</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146,928</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4. GOODWILL AND OTHER INTANGIBLE ASSETS</w:t>
            </w: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7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for the three months ended March 31, 2011 were as follows (in thousands):</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261,928</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 at December 31, 2010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261,928</w:t>
            </w: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Integra Neurosciences Pty Ltd. earnout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8"/>
                <w:szCs w:val="18"/>
                <w:color w:val="auto"/>
              </w:rPr>
            </w:pPr>
          </w:p>
        </w:tc>
      </w:tr>
      <w:tr>
        <w:trPr>
          <w:trHeight w:val="439"/>
        </w:trPr>
        <w:tc>
          <w:tcPr>
            <w:tcW w:w="8660" w:type="dxa"/>
            <w:vAlign w:val="bottom"/>
          </w:tcPr>
          <w:p>
            <w:pPr>
              <w:spacing w:after="0"/>
              <w:rPr>
                <w:sz w:val="20"/>
                <w:szCs w:val="20"/>
                <w:color w:val="auto"/>
              </w:rPr>
            </w:pPr>
            <w:r>
              <w:rPr>
                <w:rFonts w:ascii="Arial" w:cs="Arial" w:eastAsia="Arial" w:hAnsi="Arial"/>
                <w:sz w:val="18"/>
                <w:szCs w:val="18"/>
                <w:color w:val="auto"/>
              </w:rPr>
              <w:t>Goodwill at March 31, 2011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267,426</w:t>
            </w:r>
          </w:p>
        </w:tc>
        <w:tc>
          <w:tcPr>
            <w:tcW w:w="100" w:type="dxa"/>
            <w:vAlign w:val="bottom"/>
          </w:tcPr>
          <w:p>
            <w:pPr>
              <w:spacing w:after="0"/>
              <w:rPr>
                <w:sz w:val="24"/>
                <w:szCs w:val="24"/>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The Company’s assessment of the recoverability of goodwill is based upon a comparison of the carrying value of goodwill with its estimated fair value, determined using a discounted cash flow methodology. This assessment is performed annually during the second quarter and was performed most recently during the second quarter of 2010 resulting in no impairment.</w:t>
      </w:r>
    </w:p>
    <w:p>
      <w:pPr>
        <w:spacing w:after="0" w:line="139"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During the first quarter of 2011, the Company recorded impairment charges of $0.1 million related to a technology asset whose related products are being discontinued, and $0.1 million related to an associated brand name that will no longer be used as a result of our re-branding strategy. These amounts have been recorded in cost of product revenues and amortization expense, respectively.</w:t>
      </w:r>
    </w:p>
    <w:p>
      <w:pPr>
        <w:spacing w:after="0" w:line="200" w:lineRule="exact"/>
        <w:rPr>
          <w:sz w:val="20"/>
          <w:szCs w:val="20"/>
          <w:color w:val="auto"/>
        </w:rPr>
      </w:pPr>
    </w:p>
    <w:p>
      <w:pPr>
        <w:spacing w:after="0" w:line="29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860" w:type="dxa"/>
            <w:vAlign w:val="bottom"/>
            <w:gridSpan w:val="20"/>
          </w:tcPr>
          <w:p>
            <w:pPr>
              <w:spacing w:after="0"/>
              <w:rPr>
                <w:sz w:val="20"/>
                <w:szCs w:val="20"/>
                <w:color w:val="auto"/>
              </w:rPr>
            </w:pPr>
            <w:r>
              <w:rPr>
                <w:rFonts w:ascii="Arial" w:cs="Arial" w:eastAsia="Arial" w:hAnsi="Arial"/>
                <w:sz w:val="18"/>
                <w:szCs w:val="18"/>
                <w:color w:val="auto"/>
                <w:w w:val="95"/>
              </w:rPr>
              <w:t>The components of the Company’s identifiable intangible assets were as follows (dollars in thousands):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9"/>
              </w:rPr>
              <w:t>March 31, 2011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2"/>
              </w:rPr>
              <w:t>December 31, 2010</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Cost</w:t>
            </w:r>
          </w:p>
        </w:tc>
        <w:tc>
          <w:tcPr>
            <w:tcW w:w="18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Cost</w:t>
            </w:r>
          </w:p>
        </w:tc>
        <w:tc>
          <w:tcPr>
            <w:tcW w:w="26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Net</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 years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69,675</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39,773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69,261</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41,199</w:t>
            </w:r>
          </w:p>
        </w:tc>
      </w:tr>
      <w:tr>
        <w:trPr>
          <w:trHeight w:val="216"/>
        </w:trPr>
        <w:tc>
          <w:tcPr>
            <w:tcW w:w="34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12 years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100,090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(48,083)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52,007</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99,290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(45,505)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53,785</w:t>
            </w:r>
          </w:p>
        </w:tc>
      </w:tr>
      <w:tr>
        <w:trPr>
          <w:trHeight w:val="216"/>
        </w:trPr>
        <w:tc>
          <w:tcPr>
            <w:tcW w:w="34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Trademarks/brand names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35 years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33,621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24,776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33,448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24,981</w:t>
            </w:r>
          </w:p>
        </w:tc>
      </w:tr>
      <w:tr>
        <w:trPr>
          <w:trHeight w:val="216"/>
        </w:trPr>
        <w:tc>
          <w:tcPr>
            <w:tcW w:w="34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Trademarks/brand names</w:t>
            </w: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49,384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49,384</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49,384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49,384</w:t>
            </w:r>
          </w:p>
        </w:tc>
      </w:tr>
      <w:tr>
        <w:trPr>
          <w:trHeight w:val="216"/>
        </w:trPr>
        <w:tc>
          <w:tcPr>
            <w:tcW w:w="34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30 years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24,531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29,300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24,775</w:t>
            </w:r>
          </w:p>
        </w:tc>
      </w:tr>
      <w:tr>
        <w:trPr>
          <w:trHeight w:val="216"/>
        </w:trPr>
        <w:tc>
          <w:tcPr>
            <w:tcW w:w="34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All other *</w:t>
            </w: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8,505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(7,766)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8,440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(7,660)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290,575</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191,210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289,123</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194,904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includes $0.3 million of in-process research and development which is indefinite lived.</w:t>
      </w:r>
    </w:p>
    <w:p>
      <w:pPr>
        <w:spacing w:after="0" w:line="198"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Based on quarter-end exchange rates, annual amortization expense is expected to approximate $17.2 million in 2011, $16.6 million in 2012, $13.9 million in 2013, $13.0 million in 2014 and $11.4 million in 2015. Identifiable intangible assets are initially recorded at fair market value at the time of acquisition generally using an income or cost approach.</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DEBT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Amended and Restated Senior Credit Agreement</w:t>
      </w:r>
    </w:p>
    <w:p>
      <w:pPr>
        <w:spacing w:after="0" w:line="19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During 2010, the Company entered into an amended and restated credit agreement with a syndicate of lending banks (the “Senior Credit Facility”). The Senior Credit Facility provides for a revolving credit component of $450.0 million, a $150.0 million term loan component and allows the Company to further increase the size of either the term loan component or the revolving credit component, or a combination thereof, by an aggregate of $150.0 million with additional commitments. The Senior Credit Facility matures on August 10, 2015 and is collateralized by substantially all of the assets of the Company’s U.S. subsidiaries, excluding intangible assets. The Senior Credit Facility is also subject to various financial and negative covenants and at March 31, 2011 the Company was in compliance with all such covenants.</w:t>
      </w:r>
    </w:p>
    <w:p>
      <w:pPr>
        <w:spacing w:after="0" w:line="149" w:lineRule="exact"/>
        <w:rPr>
          <w:sz w:val="20"/>
          <w:szCs w:val="20"/>
          <w:color w:val="auto"/>
        </w:rPr>
      </w:pPr>
    </w:p>
    <w:p>
      <w:pPr>
        <w:jc w:val="both"/>
        <w:ind w:left="340" w:right="179"/>
        <w:spacing w:after="0" w:line="297" w:lineRule="auto"/>
        <w:rPr>
          <w:sz w:val="20"/>
          <w:szCs w:val="20"/>
          <w:color w:val="auto"/>
        </w:rPr>
      </w:pPr>
      <w:r>
        <w:rPr>
          <w:rFonts w:ascii="Arial" w:cs="Arial" w:eastAsia="Arial" w:hAnsi="Arial"/>
          <w:sz w:val="16"/>
          <w:szCs w:val="16"/>
          <w:color w:val="auto"/>
        </w:rPr>
        <w:t>At March 31, 2011 and December 31, 2010, there was $60.0 million and $100.0 million outstanding, respectively, under the revolving credit component of the Senior Credit Facility at a weighted average interest rate of 2.5%. At March 31, 2011, there was approximately $390.0 million available for borrowing under the revolving credit component. The fair value of outstanding borrowings under the revolving credit component at March 31, 2011 was approximately $60.7 million. The Company considers the balance to be current in nature based on its current intent and ability to repay the borrowing during the next twelve-month period.</w:t>
      </w:r>
    </w:p>
    <w:p>
      <w:pPr>
        <w:spacing w:after="0" w:line="11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At March 31, 2011 and December 31, 2010, there was $146.3 million and $148.1 million outstanding, respectively, under the term loan component of the Senior Credit Facility at an interest rate of 2.6%. The Company considers $9.4 million of the March 31, 2011 balance as short-term and $136.9 million as long-term based on the terms of this component of the agreement. Under the term loan component, annual principal payments are expected to be as follows: $8.4 million in 2011, $12.2 million in 2012, $15.0 million in 2013, $15.0 million in 2014 and $97.5 million in 2015. The fair value of outstanding borrowings on the term loan component at March 31, 2011 was approximately $142.8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2010 and 2012 Senior Convertible Notes</w:t>
      </w:r>
    </w:p>
    <w:p>
      <w:pPr>
        <w:spacing w:after="0" w:line="18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On June 11, 2007, the Company issued $165.0 million aggregate principal amount of its 2010 Notes and $165.0 million aggregate principal amount of its 2012 Notes (the 2010 Notes and the 2012 Notes, collectively the “Notes”). The 2010 Notes and the 2012 Notes bear interest at a rate of 2.75% per annum and 2.375% per annum, respectively, in each case payable semi-annually in arrears on December 1 and June 1 of each year. The 2010 Notes were paid off in June 2010 in accordance with their terms. The principal amount outstanding under the 2012 Notes at March 31, 2011 was $165.0 million. The fair value of the 2012 Notes at March 31, 2011 was approximately $169.6 million.</w:t>
      </w: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The 2012 Notes are the senior, unsecured obligations of the Company, and are convertible into cash and, if applicable, shares of its common stock based on an initial conversion rate, subject to adjustment, of 15.3935 shares per $1,000 principal amount of notes (which represents an initial conversion price of approximately $64.96 per share). The Company will satisfy any conversion of the 2012 Notes with cash up to the principal amount pursuant to the net share settlement mechanism set forth in the indenture and, with respect to any excess conversion value, with shares of the Company’s common stock. The 2012 Notes are convertible only in the following circumstances: (1) if the closing sale price of the Company’s common stock exceeds 130% of the conversion price during a period as defined in the indenture; (2) if the average trading price per $1,000 principal amount of the 2012 Notes is less than or equal to 97% of the average conversion value of the 2012 Notes during a period as defined in the indenture; (3) anytime after December 15, 2011; or (4) if specified corporate transactions occur. None of these conditions existed with respect to the 2012 Notes as of March 31, 2011 and, therefore, the 2012 Notes are classified as long term. The issue price of the 2012 Notes was equal to their face amount, which is also the amount holders are entitled to receive at maturity if the 2012 Notes are not converted.</w:t>
      </w:r>
    </w:p>
    <w:p>
      <w:pPr>
        <w:spacing w:after="0" w:line="146"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connection with the issuance of the 2012 Notes, the Company entered into call transactions and warrant transactions, primarily with affiliates of the initial purchasers of the Notes (the “hedge participants”). The initial strike price of the call transactions for the 2012 Notes is approximately $64.96, subject to anti-dilution adjustments. The initial strike price of the warrant transactions for the 2012 Notes is approximately $90.95 subject to customary anti-dilution adjustments.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DERIVATIVE INSTRUMENTS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Interest Rate Hedging</w:t>
      </w:r>
    </w:p>
    <w:p>
      <w:pPr>
        <w:spacing w:after="0" w:line="198"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131"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3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Company expects that approximately $2.0 million of pre-tax losses recorded as net in AOCI related to the interest rate hedge could be reclassified to earnings within the next twelve months.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Foreign Currency Hedging</w:t>
      </w:r>
    </w:p>
    <w:p>
      <w:pPr>
        <w:spacing w:after="0" w:line="185"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There were no foreign currency hedge contracts outstanding as of March 31, 2011 or December 31, 2010.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37"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Counterparty Credit Risk</w:t>
      </w:r>
    </w:p>
    <w:p>
      <w:pPr>
        <w:spacing w:after="0" w:line="198"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is subject to collateral or other security arrangements, and none contains provisions that depend upon the Company’s credit ratings from any credit rating agency.</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following table summarizes the fair value, notional amounts presented in U.S. dollars, and presentation in the consolidated balance sheet for derivatives designated as hedging instruments as of March 31, 2011 and December 31, 2010:</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w w:val="96"/>
              </w:rPr>
              <w:t>Fair Value as of</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7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3"/>
              </w:rPr>
              <w:t>March 31,</w:t>
            </w:r>
          </w:p>
        </w:tc>
        <w:tc>
          <w:tcPr>
            <w:tcW w:w="1400" w:type="dxa"/>
            <w:vAlign w:val="bottom"/>
            <w:gridSpan w:val="3"/>
          </w:tcPr>
          <w:p>
            <w:pPr>
              <w:ind w:left="360"/>
              <w:spacing w:after="0" w:line="191" w:lineRule="exact"/>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6"/>
                <w:szCs w:val="16"/>
                <w:color w:val="auto"/>
              </w:rPr>
            </w:pPr>
          </w:p>
        </w:tc>
      </w:tr>
      <w:tr>
        <w:trPr>
          <w:trHeight w:val="234"/>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Location on Balance Sheet (1):</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28"/>
        </w:trPr>
        <w:tc>
          <w:tcPr>
            <w:tcW w:w="17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(In</w:t>
            </w: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w w:val="92"/>
              </w:rPr>
              <w:t>thousands)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17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Interest rate swap — Other assets</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2,527</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1,825</w:t>
            </w:r>
          </w:p>
        </w:tc>
      </w:tr>
      <w:tr>
        <w:trPr>
          <w:trHeight w:val="20"/>
        </w:trPr>
        <w:tc>
          <w:tcPr>
            <w:tcW w:w="17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7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Interest rate swap — Accrued expenses and other current liabilities(2)</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2,046</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2,095</w:t>
            </w:r>
          </w:p>
        </w:tc>
      </w:tr>
      <w:tr>
        <w:trPr>
          <w:trHeight w:val="20"/>
        </w:trPr>
        <w:tc>
          <w:tcPr>
            <w:tcW w:w="17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740" w:type="dxa"/>
            <w:vAlign w:val="bottom"/>
            <w:tcBorders>
              <w:bottom w:val="single" w:sz="8" w:color="auto"/>
            </w:tcBorders>
          </w:tcPr>
          <w:p>
            <w:pPr>
              <w:spacing w:after="0"/>
              <w:rPr>
                <w:sz w:val="15"/>
                <w:szCs w:val="15"/>
                <w:color w:val="auto"/>
              </w:rPr>
            </w:pPr>
          </w:p>
        </w:tc>
        <w:tc>
          <w:tcPr>
            <w:tcW w:w="5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75" w:lineRule="exact"/>
        <w:rPr>
          <w:sz w:val="20"/>
          <w:szCs w:val="20"/>
          <w:color w:val="auto"/>
        </w:rPr>
      </w:pPr>
    </w:p>
    <w:p>
      <w:pPr>
        <w:ind w:left="720" w:right="179" w:hanging="388"/>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classifies derivative assets and liabilities as current based on the cash flows expected to be incurred within the following 12 months.</w:t>
      </w:r>
    </w:p>
    <w:p>
      <w:pPr>
        <w:spacing w:after="0" w:line="21" w:lineRule="exact"/>
        <w:rPr>
          <w:rFonts w:ascii="Arial" w:cs="Arial" w:eastAsia="Arial" w:hAnsi="Arial"/>
          <w:sz w:val="18"/>
          <w:szCs w:val="18"/>
          <w:color w:val="auto"/>
        </w:rPr>
      </w:pPr>
    </w:p>
    <w:p>
      <w:pPr>
        <w:jc w:val="both"/>
        <w:ind w:left="720" w:right="159" w:hanging="388"/>
        <w:spacing w:after="0" w:line="26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March 31, 2011 and December 31, 2010, the notional amount related to the Company’s sole interest rate swap was $146.3 million and $148.1 million, respectively. In the subsequent twelve months, the Company expects to reduce these amounts by $9.4 million and $8.4 million, respectively.</w:t>
      </w:r>
    </w:p>
    <w:p>
      <w:pPr>
        <w:spacing w:after="0" w:line="141"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consolidated statements of operations during the three months ended March 31, 2011 and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Amount of Gain</w:t>
            </w:r>
          </w:p>
        </w:tc>
        <w:tc>
          <w:tcPr>
            <w:tcW w:w="1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72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3"/>
              </w:rPr>
              <w:t>Amount of Gain</w:t>
            </w:r>
          </w:p>
        </w:tc>
        <w:tc>
          <w:tcPr>
            <w:tcW w:w="17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(Loss) Reclassified</w:t>
            </w:r>
          </w:p>
        </w:tc>
        <w:tc>
          <w:tcPr>
            <w:tcW w:w="174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72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86"/>
              </w:rPr>
              <w:t>(Loss) Recognized</w:t>
            </w:r>
          </w:p>
        </w:tc>
        <w:tc>
          <w:tcPr>
            <w:tcW w:w="17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6"/>
              </w:rPr>
              <w:t>from AOCI Into</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in</w:t>
            </w: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9"/>
              </w:rPr>
              <w:t>in AOCI-</w:t>
            </w:r>
          </w:p>
        </w:tc>
        <w:tc>
          <w:tcPr>
            <w:tcW w:w="108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Earnings-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7"/>
              </w:rPr>
              <w:t>Statements of</w:t>
            </w:r>
          </w:p>
        </w:tc>
      </w:tr>
      <w:tr>
        <w:trPr>
          <w:trHeight w:val="234"/>
        </w:trPr>
        <w:tc>
          <w:tcPr>
            <w:tcW w:w="4520" w:type="dxa"/>
            <w:vAlign w:val="bottom"/>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Effective Portion</w:t>
            </w:r>
          </w:p>
        </w:tc>
        <w:tc>
          <w:tcPr>
            <w:tcW w:w="320" w:type="dxa"/>
            <w:vAlign w:val="bottom"/>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Effective Portion</w:t>
            </w:r>
          </w:p>
        </w:tc>
        <w:tc>
          <w:tcPr>
            <w:tcW w:w="34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Operations</w:t>
            </w:r>
          </w:p>
        </w:tc>
      </w:tr>
      <w:tr>
        <w:trPr>
          <w:trHeight w:val="228"/>
        </w:trPr>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1400" w:type="dxa"/>
            <w:vAlign w:val="bottom"/>
            <w:gridSpan w:val="2"/>
          </w:tcPr>
          <w:p>
            <w:pPr>
              <w:jc w:val="center"/>
              <w:ind w:right="590"/>
              <w:spacing w:after="0"/>
              <w:rPr>
                <w:sz w:val="20"/>
                <w:szCs w:val="20"/>
                <w:color w:val="auto"/>
              </w:rPr>
            </w:pPr>
            <w:r>
              <w:rPr>
                <w:rFonts w:ascii="Arial" w:cs="Arial" w:eastAsia="Arial" w:hAnsi="Arial"/>
                <w:sz w:val="18"/>
                <w:szCs w:val="18"/>
                <w:b w:val="1"/>
                <w:bCs w:val="1"/>
                <w:color w:val="auto"/>
                <w:w w:val="74"/>
              </w:rPr>
              <w:t>thousands)</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98"/>
        </w:trPr>
        <w:tc>
          <w:tcPr>
            <w:tcW w:w="4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2011</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Interest rate swap</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18"/>
                <w:szCs w:val="18"/>
                <w:color w:val="auto"/>
              </w:rPr>
            </w:pPr>
          </w:p>
        </w:tc>
        <w:tc>
          <w:tcPr>
            <w:tcW w:w="1080" w:type="dxa"/>
            <w:vAlign w:val="bottom"/>
          </w:tcPr>
          <w:p>
            <w:pPr>
              <w:jc w:val="center"/>
              <w:ind w:right="91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(573)</w:t>
            </w:r>
          </w:p>
        </w:tc>
        <w:tc>
          <w:tcPr>
            <w:tcW w:w="1740" w:type="dxa"/>
            <w:vAlign w:val="bottom"/>
          </w:tcPr>
          <w:p>
            <w:pPr>
              <w:spacing w:after="0"/>
              <w:rPr>
                <w:sz w:val="20"/>
                <w:szCs w:val="20"/>
                <w:color w:val="auto"/>
              </w:rPr>
            </w:pPr>
            <w:r>
              <w:rPr>
                <w:rFonts w:ascii="Arial" w:cs="Arial" w:eastAsia="Arial" w:hAnsi="Arial"/>
                <w:sz w:val="18"/>
                <w:szCs w:val="18"/>
                <w:color w:val="auto"/>
              </w:rPr>
              <w:t>Interest (expense)</w:t>
            </w:r>
          </w:p>
        </w:tc>
      </w:tr>
      <w:tr>
        <w:trPr>
          <w:trHeight w:val="20"/>
        </w:trPr>
        <w:tc>
          <w:tcPr>
            <w:tcW w:w="4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10"/>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2010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Currency hedge contracts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(717)</w:t>
            </w:r>
          </w:p>
        </w:tc>
        <w:tc>
          <w:tcPr>
            <w:tcW w:w="320" w:type="dxa"/>
            <w:vAlign w:val="bottom"/>
          </w:tcPr>
          <w:p>
            <w:pPr>
              <w:spacing w:after="0"/>
              <w:rPr>
                <w:sz w:val="18"/>
                <w:szCs w:val="18"/>
                <w:color w:val="auto"/>
              </w:rPr>
            </w:pPr>
          </w:p>
        </w:tc>
        <w:tc>
          <w:tcPr>
            <w:tcW w:w="1080" w:type="dxa"/>
            <w:vAlign w:val="bottom"/>
          </w:tcPr>
          <w:p>
            <w:pPr>
              <w:jc w:val="center"/>
              <w:ind w:right="91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(709)</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Other income (expense)</w:t>
            </w:r>
          </w:p>
        </w:tc>
      </w:tr>
      <w:tr>
        <w:trPr>
          <w:trHeight w:val="20"/>
        </w:trPr>
        <w:tc>
          <w:tcPr>
            <w:tcW w:w="4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Company recognized no gains or losses resulting from ineffectiveness of cash flow hedges during the three months ended March 31, 2011 and 2010.</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STOCK-BASED COMPENSATION</w:t>
      </w:r>
    </w:p>
    <w:p>
      <w:pPr>
        <w:spacing w:after="0" w:line="202" w:lineRule="exact"/>
        <w:rPr>
          <w:sz w:val="20"/>
          <w:szCs w:val="20"/>
          <w:color w:val="auto"/>
        </w:rPr>
      </w:pPr>
    </w:p>
    <w:p>
      <w:pPr>
        <w:jc w:val="both"/>
        <w:ind w:left="340" w:right="1360"/>
        <w:spacing w:after="0" w:line="297" w:lineRule="auto"/>
        <w:rPr>
          <w:sz w:val="20"/>
          <w:szCs w:val="20"/>
          <w:color w:val="auto"/>
        </w:rPr>
      </w:pPr>
      <w:r>
        <w:rPr>
          <w:rFonts w:ascii="Arial" w:cs="Arial" w:eastAsia="Arial" w:hAnsi="Arial"/>
          <w:sz w:val="16"/>
          <w:szCs w:val="16"/>
          <w:color w:val="auto"/>
        </w:rPr>
        <w:t>As of March 31, 2011, the Company had stock options, restricted stock awards, performance stock awards, contract stock awards and restricted stock unit awards outstanding under six plans,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1996 Plan, the 1998 Plan, the 1999 Plan or the 2000 Plan.</w:t>
      </w:r>
    </w:p>
    <w:p>
      <w:pPr>
        <w:spacing w:after="0" w:line="118" w:lineRule="exact"/>
        <w:rPr>
          <w:sz w:val="20"/>
          <w:szCs w:val="20"/>
          <w:color w:val="auto"/>
        </w:rPr>
      </w:pPr>
    </w:p>
    <w:p>
      <w:pPr>
        <w:jc w:val="both"/>
        <w:ind w:left="340" w:right="1380"/>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Restricted stock issued under the Plans vest over specified periods, generally three years after the date of grant.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Options</w:t>
      </w:r>
    </w:p>
    <w:p>
      <w:pPr>
        <w:spacing w:after="0" w:line="198" w:lineRule="exact"/>
        <w:rPr>
          <w:sz w:val="20"/>
          <w:szCs w:val="20"/>
          <w:color w:val="auto"/>
        </w:rPr>
      </w:pPr>
    </w:p>
    <w:p>
      <w:pPr>
        <w:jc w:val="both"/>
        <w:ind w:left="340" w:right="1360"/>
        <w:spacing w:after="0" w:line="279" w:lineRule="auto"/>
        <w:rPr>
          <w:sz w:val="20"/>
          <w:szCs w:val="20"/>
          <w:color w:val="auto"/>
        </w:rPr>
      </w:pPr>
      <w:r>
        <w:rPr>
          <w:rFonts w:ascii="Arial" w:cs="Arial" w:eastAsia="Arial" w:hAnsi="Arial"/>
          <w:sz w:val="17"/>
          <w:szCs w:val="17"/>
          <w:color w:val="auto"/>
        </w:rPr>
        <w:t>The Company did not grant stock options during the three months ended March 31, 2011 or March 31, 2010. As of March 31, 2011, there was approximately $1.2 million of total unrecognized compensation costs related to unvested stock options. These costs are expected to be recognized over the next nine months. The Company received net proceeds of $1.7 million and $2.6 million from stock option exercises for the three months ended March 31, 2011 and 2010, respectively.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185" w:lineRule="exact"/>
        <w:rPr>
          <w:sz w:val="20"/>
          <w:szCs w:val="20"/>
          <w:color w:val="auto"/>
        </w:rPr>
      </w:pPr>
    </w:p>
    <w:p>
      <w:pPr>
        <w:jc w:val="both"/>
        <w:ind w:left="340" w:right="1360"/>
        <w:spacing w:after="0" w:line="257"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Company expenses the fair value of these awards on a straight-line basis over the vesting period or requisite service period, whichever is shorter. As of March 31, 2011, there were approximately $13.8 million of total unrecognized compensation costs related to unvested awards. The Company expects to recognize these costs over a weighted-average period of approximately 1.5 years.</w:t>
      </w:r>
    </w:p>
    <w:p>
      <w:pPr>
        <w:spacing w:after="0" w:line="161" w:lineRule="exact"/>
        <w:rPr>
          <w:sz w:val="20"/>
          <w:szCs w:val="20"/>
          <w:color w:val="auto"/>
        </w:rPr>
      </w:pPr>
    </w:p>
    <w:p>
      <w:pPr>
        <w:jc w:val="both"/>
        <w:ind w:left="340" w:right="1380"/>
        <w:spacing w:after="0" w:line="264" w:lineRule="auto"/>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 Independent of these programs, the Company does have a practice of repurchasing shares, from time to time, in the open market.</w:t>
      </w:r>
    </w:p>
    <w:p>
      <w:pPr>
        <w:spacing w:after="0" w:line="141" w:lineRule="exact"/>
        <w:rPr>
          <w:sz w:val="20"/>
          <w:szCs w:val="20"/>
          <w:color w:val="auto"/>
        </w:rPr>
      </w:pPr>
    </w:p>
    <w:p>
      <w:pPr>
        <w:jc w:val="both"/>
        <w:ind w:left="340" w:right="1360"/>
        <w:spacing w:after="0" w:line="264" w:lineRule="auto"/>
        <w:rPr>
          <w:sz w:val="20"/>
          <w:szCs w:val="20"/>
          <w:color w:val="auto"/>
        </w:rPr>
      </w:pPr>
      <w:r>
        <w:rPr>
          <w:rFonts w:ascii="Arial" w:cs="Arial" w:eastAsia="Arial" w:hAnsi="Arial"/>
          <w:sz w:val="18"/>
          <w:szCs w:val="18"/>
          <w:color w:val="auto"/>
        </w:rPr>
        <w:t>The Company also maintains an Employee Stock Purchase Plan (the “ESPP”), which provides eligible employees of the Company with the opportunity to acquire shares of common stock at periodic intervals by means of accumulated payroll deductions. The ESPP is a non-compensatory plan.</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TREASURY STOCK</w:t>
      </w:r>
    </w:p>
    <w:p>
      <w:pPr>
        <w:spacing w:after="0" w:line="202" w:lineRule="exact"/>
        <w:rPr>
          <w:sz w:val="20"/>
          <w:szCs w:val="20"/>
          <w:color w:val="auto"/>
        </w:rPr>
      </w:pPr>
    </w:p>
    <w:p>
      <w:pPr>
        <w:jc w:val="both"/>
        <w:ind w:left="340" w:right="1360"/>
        <w:spacing w:after="0" w:line="302" w:lineRule="auto"/>
        <w:rPr>
          <w:sz w:val="20"/>
          <w:szCs w:val="20"/>
          <w:color w:val="auto"/>
        </w:rPr>
      </w:pPr>
      <w:r>
        <w:rPr>
          <w:rFonts w:ascii="Arial" w:cs="Arial" w:eastAsia="Arial" w:hAnsi="Arial"/>
          <w:sz w:val="16"/>
          <w:szCs w:val="16"/>
          <w:color w:val="auto"/>
        </w:rPr>
        <w:t>On October 29, 2010, the Company’s Board of Directors authorized the Company to repurchase shares of the Company’s common stock for an aggregate purchase price not to exceed $75.0 million through December 31, 2012. Shares may be purchased either in the open market or in privately negotiated transactions. As of March 31, 2011, there remained $70.7 million available for share repurchases under this latest authorization. The following table sets forth the Company’s treasury stock activity: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6"/>
              </w:rPr>
              <w:t>March 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ind w:left="310"/>
              <w:spacing w:after="0"/>
              <w:rPr>
                <w:sz w:val="20"/>
                <w:szCs w:val="20"/>
                <w:color w:val="auto"/>
              </w:rPr>
            </w:pPr>
            <w:r>
              <w:rPr>
                <w:rFonts w:ascii="Arial" w:cs="Arial" w:eastAsia="Arial" w:hAnsi="Arial"/>
                <w:sz w:val="18"/>
                <w:szCs w:val="18"/>
                <w:b w:val="1"/>
                <w:bCs w:val="1"/>
                <w:color w:val="auto"/>
                <w:w w:val="89"/>
              </w:rPr>
              <w:t>2011</w:t>
            </w: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 of Shares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rPr>
              <w:t>(In</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9"/>
              </w:rPr>
              <w:t>Shares repurchased in the open market in connection with the Board approved buyback program</w:t>
            </w:r>
          </w:p>
        </w:tc>
        <w:tc>
          <w:tcPr>
            <w:tcW w:w="7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4,320</w:t>
            </w:r>
          </w:p>
        </w:tc>
        <w:tc>
          <w:tcPr>
            <w:tcW w:w="7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20" w:type="dxa"/>
            <w:vAlign w:val="bottom"/>
            <w:vMerge w:val="restart"/>
          </w:tcPr>
          <w:p>
            <w:pPr>
              <w:jc w:val="right"/>
              <w:ind w:right="213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7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7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RETIREMENT BENEFIT PLANS</w:t>
      </w:r>
    </w:p>
    <w:p>
      <w:pPr>
        <w:spacing w:after="0" w:line="202"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Company maintains defined benefit pension plans that cover employees in its manufacturing plants located in Andover, United Kingdom (the “UK Plan”) and Tuttlingen, Germany (the “Germany Plan”). The Company closed the Tuttlingen, Germany plant in December 2005. The Company did not terminate the Germany Plan and the Company remains obligated for the accrued pension benefits related to this plan. The plans cover certain current and former employees.</w:t>
      </w:r>
    </w:p>
    <w:p>
      <w:pPr>
        <w:spacing w:after="0" w:line="131"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Effective March 31, 2011, the Company froze the benefits due to the participants of the UK Plan in their entirety. This curtailment resulted in a $0.3 million reduction in the projected benefit obligations which we recorded during the quarter ended March 31, 2011. The Company recorded the entire curtailment gain as an offset to the unrecognized net actuarial loss in accumulated other comprehensive income; therefore, this gain had no impact on the condensed consolidated statements of operations.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Three Months Ended</w:t>
            </w:r>
          </w:p>
        </w:tc>
      </w:tr>
      <w:tr>
        <w:trPr>
          <w:trHeight w:val="234"/>
        </w:trPr>
        <w:tc>
          <w:tcPr>
            <w:tcW w:w="47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74"/>
              </w:rPr>
              <w:t>thousands)</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cost</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23"/>
        </w:trPr>
        <w:tc>
          <w:tcPr>
            <w:tcW w:w="47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period benefit cost</w:t>
            </w:r>
          </w:p>
        </w:tc>
        <w:tc>
          <w:tcPr>
            <w:tcW w:w="2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0"/>
        </w:trPr>
        <w:tc>
          <w:tcPr>
            <w:tcW w:w="4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Company made $0.2 million and $0.3 million of contributions to its defined benefit pension plans during the three months ended March 31, 2011 and March 31, 2010, respectively.</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Arial" w:cs="Arial" w:eastAsia="Arial" w:hAnsi="Arial"/>
                <w:sz w:val="18"/>
                <w:szCs w:val="18"/>
                <w:b w:val="1"/>
                <w:bCs w:val="1"/>
                <w:color w:val="auto"/>
              </w:rPr>
              <w:t>10. COMPREHENSIVE INCOME</w:t>
            </w: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140" w:type="dxa"/>
            <w:vAlign w:val="bottom"/>
          </w:tcPr>
          <w:p>
            <w:pPr>
              <w:spacing w:after="0"/>
              <w:rPr>
                <w:sz w:val="20"/>
                <w:szCs w:val="20"/>
                <w:color w:val="auto"/>
              </w:rPr>
            </w:pPr>
            <w:r>
              <w:rPr>
                <w:rFonts w:ascii="Arial" w:cs="Arial" w:eastAsia="Arial" w:hAnsi="Arial"/>
                <w:sz w:val="18"/>
                <w:szCs w:val="18"/>
                <w:color w:val="auto"/>
              </w:rPr>
              <w:t>Comprehensive income was as follows:</w:t>
            </w: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ind w:left="40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11,487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13,466</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(11,229)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derivatives, net of tax</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Pension liability adjustments, net of tax</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25,643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11. NET INCOME PER SHARE</w:t>
            </w:r>
          </w:p>
        </w:tc>
        <w:tc>
          <w:tcPr>
            <w:tcW w:w="2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4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Certain of the Company’s unvested restricted share units contain rights to receive nonforfeitable dividends, and thus, are participating securities requiring the two-class method of computing EPS. The participating securities had an insignificant impact (impacts the rounding by less than $0.01 per share) on basic and diluted net income per share for the three months ended March 31, 2011 and 2010; therefore, we do not present the full calculation below.</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Basic and diluted net income per share were as follows: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96"/>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Pr>
          <w:p>
            <w:pPr>
              <w:spacing w:after="0"/>
              <w:rPr>
                <w:sz w:val="18"/>
                <w:szCs w:val="18"/>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9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78"/>
              </w:rPr>
              <w:t>(In thousands,</w:t>
            </w:r>
          </w:p>
        </w:tc>
        <w:tc>
          <w:tcPr>
            <w:tcW w:w="1380" w:type="dxa"/>
            <w:vAlign w:val="bottom"/>
            <w:gridSpan w:val="3"/>
          </w:tcPr>
          <w:p>
            <w:pPr>
              <w:jc w:val="right"/>
              <w:spacing w:after="0" w:line="191" w:lineRule="exact"/>
              <w:rPr>
                <w:sz w:val="20"/>
                <w:szCs w:val="20"/>
                <w:color w:val="auto"/>
              </w:rPr>
            </w:pPr>
            <w:r>
              <w:rPr>
                <w:rFonts w:ascii="Arial" w:cs="Arial" w:eastAsia="Arial" w:hAnsi="Arial"/>
                <w:sz w:val="18"/>
                <w:szCs w:val="18"/>
                <w:b w:val="1"/>
                <w:bCs w:val="1"/>
                <w:color w:val="auto"/>
                <w:w w:val="95"/>
              </w:rPr>
              <w:t>except per share</w:t>
            </w: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8"/>
              </w:rPr>
              <w:t>amounts)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11,487</w:t>
            </w:r>
          </w:p>
        </w:tc>
        <w:tc>
          <w:tcPr>
            <w:tcW w:w="40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15,222</w:t>
            </w: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29,562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29,488</w:t>
            </w:r>
          </w:p>
        </w:tc>
      </w:tr>
      <w:tr>
        <w:trPr>
          <w:trHeight w:val="230"/>
        </w:trPr>
        <w:tc>
          <w:tcPr>
            <w:tcW w:w="340" w:type="dxa"/>
            <w:vAlign w:val="bottom"/>
          </w:tcPr>
          <w:p>
            <w:pPr>
              <w:spacing w:after="0"/>
              <w:rPr>
                <w:sz w:val="20"/>
                <w:szCs w:val="20"/>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0.39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11,487</w:t>
            </w:r>
          </w:p>
        </w:tc>
        <w:tc>
          <w:tcPr>
            <w:tcW w:w="40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15,222</w:t>
            </w: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29,562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29,488</w:t>
            </w:r>
          </w:p>
        </w:tc>
      </w:tr>
      <w:tr>
        <w:trPr>
          <w:trHeight w:val="216"/>
        </w:trPr>
        <w:tc>
          <w:tcPr>
            <w:tcW w:w="34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623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200" w:type="dxa"/>
            <w:vAlign w:val="bottom"/>
          </w:tcPr>
          <w:p>
            <w:pPr>
              <w:spacing w:after="0"/>
              <w:rPr>
                <w:sz w:val="24"/>
                <w:szCs w:val="24"/>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30,185</w:t>
            </w:r>
          </w:p>
        </w:tc>
        <w:tc>
          <w:tcPr>
            <w:tcW w:w="2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29,982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0.38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bl>
    <w:p>
      <w:pPr>
        <w:spacing w:after="0" w:line="175" w:lineRule="exact"/>
        <w:rPr>
          <w:sz w:val="20"/>
          <w:szCs w:val="20"/>
          <w:color w:val="auto"/>
        </w:rPr>
      </w:pPr>
    </w:p>
    <w:p>
      <w:pPr>
        <w:jc w:val="both"/>
        <w:ind w:left="340" w:right="1360"/>
        <w:spacing w:after="0" w:line="254" w:lineRule="auto"/>
        <w:rPr>
          <w:sz w:val="20"/>
          <w:szCs w:val="20"/>
          <w:color w:val="auto"/>
        </w:rPr>
      </w:pPr>
      <w:r>
        <w:rPr>
          <w:rFonts w:ascii="Arial" w:cs="Arial" w:eastAsia="Arial" w:hAnsi="Arial"/>
          <w:sz w:val="18"/>
          <w:szCs w:val="18"/>
          <w:color w:val="auto"/>
        </w:rPr>
        <w:t>At March 31, 2011 and 2010, the Company had 1.5 million and 1.9 million of outstanding stock options, respectively. The Company also has warrants outstanding relating to its 2012 Notes at March 31, 2011 and its 2010 Notes and 2012 Notes at March 31, 2010. Stock options and warrants are included in the diluted earnings per share calculation using the treasury stock method, unless the effect of including the stock options would be anti-dilutive. For the three months ended March 31, 2011 and 2010, 0.2 million and 0.7 million anti-dilutive stock options, respectively, were excluded from the diluted earnings per share calculation. As the strike price of the warrants exceeds the Company’s average stock price for the period, the warrants are anti-dilutive and we excluded the entire number of warrants, the amount of which is based on the Company’s average stock price, from the diluted earnings per share calculation.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189" w:lineRule="exact"/>
        <w:rPr>
          <w:sz w:val="20"/>
          <w:szCs w:val="20"/>
          <w:color w:val="auto"/>
        </w:rPr>
      </w:pPr>
    </w:p>
    <w:p>
      <w:pPr>
        <w:jc w:val="both"/>
        <w:ind w:left="340" w:right="1380"/>
        <w:spacing w:after="0" w:line="259" w:lineRule="auto"/>
        <w:rPr>
          <w:sz w:val="20"/>
          <w:szCs w:val="20"/>
          <w:color w:val="auto"/>
        </w:rPr>
      </w:pPr>
      <w:r>
        <w:rPr>
          <w:rFonts w:ascii="Arial" w:cs="Arial" w:eastAsia="Arial" w:hAnsi="Arial"/>
          <w:sz w:val="18"/>
          <w:szCs w:val="18"/>
          <w:color w:val="auto"/>
        </w:rPr>
        <w:t>The Company’s chief operating decision maker reviews financial results and manages the business on an aggregate basis. Therefore, the Company presents financial results in a single reporting segment — the development, manufacture and marketing of medical devices for use in cranial and spinal procedures, peripheral nerve repair, small bone and joint injuries, and the repair and reconstruction of soft tissue.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Revenue consisted of the following:</w:t>
            </w: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74"/>
              </w:rPr>
              <w:t>thousands)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Orthopedics</w:t>
            </w:r>
          </w:p>
        </w:tc>
        <w:tc>
          <w:tcPr>
            <w:tcW w:w="3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72,234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70,187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Neurosurgery</w:t>
            </w: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68,358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64,774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40,449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revenues</w:t>
            </w:r>
          </w:p>
        </w:tc>
        <w:tc>
          <w:tcPr>
            <w:tcW w:w="3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181,041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172,698</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620" w:type="dxa"/>
            <w:vAlign w:val="bottom"/>
            <w:vMerge w:val="restart"/>
          </w:tcPr>
          <w:p>
            <w:pPr>
              <w:jc w:val="right"/>
              <w:ind w:right="2270"/>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We summarize total revenues by major geographic area below:</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ind w:left="40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133,300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129,363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Europe</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25,087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24,152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10,748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9,237</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Foreign</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11,906</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9,946</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181,041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172,698</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13. COMMITMENTS AND CONTINGENCIES</w:t>
            </w:r>
          </w:p>
        </w:tc>
        <w:tc>
          <w:tcPr>
            <w:tcW w:w="1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0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we sell. The royalty payments that the Company made under these agreements were not significant for any of the periods presented.</w:t>
      </w:r>
    </w:p>
    <w:p>
      <w:pPr>
        <w:spacing w:after="0" w:line="14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Company has settled, or has pending against it, various other lawsuits, claims and proceedings. We describe the most significant of these below.</w:t>
      </w:r>
    </w:p>
    <w:p>
      <w:pPr>
        <w:spacing w:after="0" w:line="143"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In January 2010, the Company received a notice from the seller’s representative of the former Theken companies of a disagreement in the calculation of “trade sales” used in calculating a revenue performance payment that the Company made in November 2009 related to the first performance year that ended September 30, 2009. The notice alleged that the Company owed an additional $6.7 million. In January 2011, the Company received a notice from the seller’s representative that the alleged amount owed had been reduced to $5.7 million. The Company is currently discussing this matter with the seller’s representative in an attempt to resolve the dispute in accordance with the provisions contained in the asset purchase agreement governing the transaction. The Company has accrued $3.4 million at March 31, 2011 for the settlement in this matter. The Company believes that there are no additional amounts due under the asset purchase agreement for the second performance year that ended September 30, 2010.</w:t>
      </w:r>
    </w:p>
    <w:p>
      <w:pPr>
        <w:spacing w:after="0" w:line="126"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The Company has various product liability claims pending against it for which it currently has accruals totaling $2.5 million recorded in the financial statements. The Company’s insurance policies cover these matters and the Company has recorded a corresponding receivable. Therefore, there is no impact on the Company’s consolidated statements of operations.</w:t>
      </w:r>
    </w:p>
    <w:p>
      <w:pPr>
        <w:spacing w:after="0" w:line="125"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In addition to these matters, the Company is subject to various claims, lawsuits and proceedings in the ordinary course of its business, including claims by current or former employees, distributors and competitors and with respect to its products. In the opinion of management, such claims are either adequately covered by insurance or otherwise indemnified, or are not expected, individually or in the aggregate, to result in a material adverse effect on the Company’s financial condition. However, it is possible that these contingencies could materially affect its results of operations, financial position and cash flows in a particular period.</w:t>
      </w:r>
    </w:p>
    <w:p>
      <w:pPr>
        <w:spacing w:after="0" w:line="146"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a period cost as outside counsel incurs those fees.</w:t>
      </w:r>
    </w:p>
    <w:p>
      <w:pPr>
        <w:spacing w:after="0" w:line="200" w:lineRule="exact"/>
        <w:rPr>
          <w:sz w:val="20"/>
          <w:szCs w:val="20"/>
          <w:color w:val="auto"/>
        </w:rPr>
      </w:pPr>
    </w:p>
    <w:p>
      <w:pPr>
        <w:spacing w:after="0" w:line="30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100" w:right="179" w:hanging="76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2010 included in our Annual Report on Form 10-K.</w:t>
      </w:r>
    </w:p>
    <w:p>
      <w:pPr>
        <w:spacing w:after="0" w:line="12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2010. We undertake no obligation to publicly update or revise any forward-looking statements, whether as a result of new information, future events or otherwise.</w:t>
      </w:r>
    </w:p>
    <w:p>
      <w:pPr>
        <w:spacing w:after="0" w:line="149"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You can identify these forward-looking statements by forward-looking words such as “believe,” “may,” “could,” “will,” “estimate,” “continue,” “anticipate,” “intend,” “seek,” “plan,” “expect,” “should,” “would” and similar expressions in this report.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Integra is a world leader in medical devices and is focused on limiting uncertainty for surgeons so they can concentrate on providing the best patient care. Integra offers innovative solutions in orthopedic surgery, neurosurgery, spine surgery, and reconstructive and general surgery.</w:t>
      </w:r>
    </w:p>
    <w:p>
      <w:pPr>
        <w:spacing w:after="0" w:line="141"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We present revenues in three market categories — Orthopedics, Neurosurgery and Instruments. Our orthopedics products include specialty metal implants for surgery of the extremities and spine, orthobiologics products for repair and grafting of bone, dermal regeneration products and tissue engineered wound dressings and nerve and tendon repair products. Our neurosurgery products group includes, among other things,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 products include a wide range of specialty and general surgical and dental instruments and surgical lighting for sale to hospitals, surgery centers, and dental, podiatry, veterinary and physician offices.</w:t>
      </w:r>
    </w:p>
    <w:p>
      <w:pPr>
        <w:spacing w:after="0" w:line="15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We manage these product groups and distribution channels on a centralized basis. Accordingly, we report our financial results under a single operating segment — the development, manufacture and distribution of medical devices.</w:t>
      </w:r>
    </w:p>
    <w:p>
      <w:pPr>
        <w:spacing w:after="0" w:line="130"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We manufacture many of our products in plants located in the United States, France, Germany, Ireland, Mexico, Puerto Rico and the United Kingdom. We also source most of our hand-held surgical instruments through specialized third-party vendors.</w:t>
      </w:r>
    </w:p>
    <w:p>
      <w:pPr>
        <w:spacing w:after="0" w:line="106"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the United States, we have three sales channels. Within our Orthopedics sales channel, we sell through a large direct sales organization, and through specialty distributors focused on their respective surgical specialties. Neurosurgery sells products through directly employed sales representatives. Instruments sells through two sales channels, both directly and through distributors and wholesalers, depending on the customer call point.</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market certain products through strategic corporate partners.</w:t>
      </w:r>
    </w:p>
    <w:p>
      <w:pPr>
        <w:spacing w:after="0" w:line="18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Our goal is to become a global leader in the development, manufacture and marketing of medical devices, implants and instruments by developing or acquiring innovative medical devices to sell through our sales channels. Our strategy therefore entails substantial growth in revenues through both internal means — launching new products and selling existing products more intensively — and by acquiring existing businesses or acquiring or in-licensing already successful product lines. We distinguish ourselves by emphasizing the importance of the relatively new field of regenerative medicine, which we define as surgical implants derived from our proprietary collagen matrix technology.</w:t>
      </w:r>
    </w:p>
    <w:p>
      <w:pPr>
        <w:spacing w:after="0" w:line="200" w:lineRule="exact"/>
        <w:rPr>
          <w:sz w:val="20"/>
          <w:szCs w:val="20"/>
          <w:color w:val="auto"/>
        </w:rPr>
      </w:pP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60"/>
        <w:spacing w:after="0" w:line="297" w:lineRule="auto"/>
        <w:rPr>
          <w:sz w:val="20"/>
          <w:szCs w:val="20"/>
          <w:color w:val="auto"/>
        </w:rPr>
      </w:pPr>
      <w:r>
        <w:rPr>
          <w:rFonts w:ascii="Arial" w:cs="Arial" w:eastAsia="Arial" w:hAnsi="Arial"/>
          <w:sz w:val="16"/>
          <w:szCs w:val="16"/>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(1) revenue growth (derived through acquisitions and products developed internally), (2) gross margins on total revenues, (3) operating margins (which we aim to continually expand on as we leverage our existing infrastructure), (4) earnings before interest, taxes, depreciation and amortization, and (5) earnings per diluted share of common stock.</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85" w:lineRule="exact"/>
        <w:rPr>
          <w:sz w:val="20"/>
          <w:szCs w:val="20"/>
          <w:color w:val="auto"/>
        </w:rPr>
      </w:pPr>
    </w:p>
    <w:p>
      <w:pPr>
        <w:jc w:val="both"/>
        <w:ind w:left="1080" w:right="1380" w:hanging="370"/>
        <w:spacing w:after="0" w:line="279" w:lineRule="auto"/>
        <w:tabs>
          <w:tab w:leader="none" w:pos="1080" w:val="left"/>
        </w:tabs>
        <w:numPr>
          <w:ilvl w:val="0"/>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Developing, manufacturing and selling regenerative medicine products. </w:t>
      </w:r>
      <w:r>
        <w:rPr>
          <w:rFonts w:ascii="Arial" w:cs="Arial" w:eastAsia="Arial" w:hAnsi="Arial"/>
          <w:sz w:val="17"/>
          <w:szCs w:val="17"/>
          <w:color w:val="auto"/>
        </w:rPr>
        <w:t>We have a broad technology platform for</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products that regenerate or repair soft tissue and bone. We believe that we have a particular advantage in developing, manufacturing and selling tissue repair products derived from bovine collagen. These products comprised 23% and 22% of revenues for the three months ended March 31, 2011 and 2010, respectively.</w:t>
      </w:r>
    </w:p>
    <w:p>
      <w:pPr>
        <w:spacing w:after="0" w:line="103" w:lineRule="exact"/>
        <w:rPr>
          <w:rFonts w:ascii="Arial" w:cs="Arial" w:eastAsia="Arial" w:hAnsi="Arial"/>
          <w:sz w:val="17"/>
          <w:szCs w:val="17"/>
          <w:b w:val="1"/>
          <w:bCs w:val="1"/>
          <w:color w:val="auto"/>
        </w:rPr>
      </w:pPr>
    </w:p>
    <w:p>
      <w:pPr>
        <w:ind w:left="1080" w:right="1360" w:hanging="370"/>
        <w:spacing w:after="0" w:line="342" w:lineRule="auto"/>
        <w:tabs>
          <w:tab w:leader="none" w:pos="108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Developing metal implants for bone and joint repair, fixation and fusion. </w:t>
      </w:r>
      <w:r>
        <w:rPr>
          <w:rFonts w:ascii="Arial" w:cs="Arial" w:eastAsia="Arial" w:hAnsi="Arial"/>
          <w:sz w:val="16"/>
          <w:szCs w:val="16"/>
          <w:color w:val="auto"/>
        </w:rPr>
        <w:t>We have significant expertise in developing metal</w:t>
      </w:r>
      <w:r>
        <w:rPr>
          <w:rFonts w:ascii="Arial" w:cs="Arial" w:eastAsia="Arial" w:hAnsi="Arial"/>
          <w:sz w:val="16"/>
          <w:szCs w:val="16"/>
          <w:i w:val="1"/>
          <w:iCs w:val="1"/>
          <w:color w:val="auto"/>
        </w:rPr>
        <w:t xml:space="preserve"> </w:t>
      </w:r>
      <w:r>
        <w:rPr>
          <w:rFonts w:ascii="Arial" w:cs="Arial" w:eastAsia="Arial" w:hAnsi="Arial"/>
          <w:sz w:val="16"/>
          <w:szCs w:val="16"/>
          <w:color w:val="auto"/>
        </w:rPr>
        <w:t>implants for use in bone and joint repair, fixation and fusion and in successfully bringing those products to market.</w:t>
      </w:r>
    </w:p>
    <w:p>
      <w:pPr>
        <w:spacing w:after="0" w:line="56" w:lineRule="exact"/>
        <w:rPr>
          <w:rFonts w:ascii="Arial" w:cs="Arial" w:eastAsia="Arial" w:hAnsi="Arial"/>
          <w:sz w:val="16"/>
          <w:szCs w:val="16"/>
          <w:b w:val="1"/>
          <w:bCs w:val="1"/>
          <w:color w:val="auto"/>
        </w:rPr>
      </w:pPr>
    </w:p>
    <w:p>
      <w:pPr>
        <w:jc w:val="both"/>
        <w:ind w:left="1080" w:right="1360" w:hanging="370"/>
        <w:spacing w:after="0" w:line="257"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Acquiring and integrating new product lines and complementary businesses. </w:t>
      </w:r>
      <w:r>
        <w:rPr>
          <w:rFonts w:ascii="Arial" w:cs="Arial" w:eastAsia="Arial" w:hAnsi="Arial"/>
          <w:sz w:val="18"/>
          <w:szCs w:val="18"/>
          <w:color w:val="auto"/>
        </w:rPr>
        <w:t>Since 2008, we have acquired and integrated</w:t>
      </w:r>
      <w:r>
        <w:rPr>
          <w:rFonts w:ascii="Arial" w:cs="Arial" w:eastAsia="Arial" w:hAnsi="Arial"/>
          <w:sz w:val="18"/>
          <w:szCs w:val="18"/>
          <w:i w:val="1"/>
          <w:iCs w:val="1"/>
          <w:color w:val="auto"/>
        </w:rPr>
        <w:t xml:space="preserve"> </w:t>
      </w:r>
      <w:r>
        <w:rPr>
          <w:rFonts w:ascii="Arial" w:cs="Arial" w:eastAsia="Arial" w:hAnsi="Arial"/>
          <w:sz w:val="18"/>
          <w:szCs w:val="18"/>
          <w:color w:val="auto"/>
        </w:rPr>
        <w:t>seven product lines or businesses through a disciplined acquisition program. We emphasize acquiring product lines at reasonable valuations which complement our existing products or can be used to gain greater advantages from our broad technology platform in tissue regeneration and metal implants. Our management is experienced at successfully integrating acquired product lines and businesses.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complete any acquisitions during the first quarters of 2011 or 2010.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Summary</w:t>
      </w:r>
    </w:p>
    <w:p>
      <w:pPr>
        <w:spacing w:after="0" w:line="202"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Net income for the three months ended March 31, 2011 was $11.5 million, or $0.38 per diluted share as compared with net income of $15.2 million or $0.50 per diluted share for the three months ended March 31, 2010.</w:t>
      </w:r>
    </w:p>
    <w:p>
      <w:pPr>
        <w:spacing w:after="0" w:line="130" w:lineRule="exact"/>
        <w:rPr>
          <w:sz w:val="20"/>
          <w:szCs w:val="20"/>
          <w:color w:val="auto"/>
        </w:rPr>
      </w:pPr>
    </w:p>
    <w:p>
      <w:pPr>
        <w:jc w:val="both"/>
        <w:ind w:left="340" w:right="1380"/>
        <w:spacing w:after="0" w:line="264" w:lineRule="auto"/>
        <w:rPr>
          <w:sz w:val="20"/>
          <w:szCs w:val="20"/>
          <w:color w:val="auto"/>
        </w:rPr>
      </w:pPr>
      <w:r>
        <w:rPr>
          <w:rFonts w:ascii="Arial" w:cs="Arial" w:eastAsia="Arial" w:hAnsi="Arial"/>
          <w:sz w:val="18"/>
          <w:szCs w:val="18"/>
          <w:color w:val="auto"/>
        </w:rPr>
        <w:t>The decrease in net income for the three months ended March 31, 2011 over the same period last year resulted primarily from an increase in selling general and administrative costs in connection with the implementation of our global enterprise resource planning system and the expansion of our international sales and marketing efforts.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Income before taxes includes the following special charges: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74"/>
              </w:rPr>
              <w:t>thousands)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charges</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Certain employee termination and related charges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Facility consolidation, manufacturing and distribution transfer charges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1,822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Systems implementation charges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2,655</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Charges associated with discontinued or withdrawn product lines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Intangible asset impairment charges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Charges related to restructuring our European entities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Non-cash amortization of imputed interest for convertible debt</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1,634</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2,053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7,697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180" w:type="dxa"/>
            <w:vAlign w:val="bottom"/>
            <w:vMerge w:val="restart"/>
          </w:tcPr>
          <w:p>
            <w:pPr>
              <w:ind w:left="4760"/>
              <w:spacing w:after="0"/>
              <w:rPr>
                <w:sz w:val="20"/>
                <w:szCs w:val="20"/>
                <w:color w:val="auto"/>
              </w:rPr>
            </w:pPr>
            <w:r>
              <w:rPr>
                <w:rFonts w:ascii="Arial" w:cs="Arial" w:eastAsia="Arial" w:hAnsi="Arial"/>
                <w:sz w:val="18"/>
                <w:szCs w:val="18"/>
                <w:color w:val="auto"/>
              </w:rPr>
              <w:t>14</w:t>
            </w:r>
          </w:p>
        </w:tc>
        <w:tc>
          <w:tcPr>
            <w:tcW w:w="1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w w:val="89"/>
              </w:rPr>
              <w:t>The items reported above are reflected in the condensed consolidated statements of operations as follows:</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3"/>
              </w:rPr>
              <w:t>Three Months Ended</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74"/>
              </w:rPr>
              <w:t>thousands)</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r>
      <w:tr>
        <w:trPr>
          <w:trHeight w:val="216"/>
        </w:trPr>
        <w:tc>
          <w:tcPr>
            <w:tcW w:w="34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r>
      <w:tr>
        <w:trPr>
          <w:trHeight w:val="216"/>
        </w:trPr>
        <w:tc>
          <w:tcPr>
            <w:tcW w:w="34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7,697</w:t>
            </w:r>
          </w:p>
        </w:tc>
        <w:tc>
          <w:tcPr>
            <w:tcW w:w="3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3,772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360"/>
        <w:spacing w:after="0" w:line="272" w:lineRule="auto"/>
        <w:rPr>
          <w:sz w:val="20"/>
          <w:szCs w:val="20"/>
          <w:color w:val="auto"/>
        </w:rPr>
      </w:pPr>
      <w:r>
        <w:rPr>
          <w:rFonts w:ascii="Arial" w:cs="Arial" w:eastAsia="Arial" w:hAnsi="Arial"/>
          <w:sz w:val="17"/>
          <w:szCs w:val="17"/>
          <w:color w:val="auto"/>
        </w:rPr>
        <w:t>Special charges are typically defined as charges for which the amounts and/or timing of such expenses may vary significantly from period-to-period, depending upon our acquisition, integration, and restructuring activities for which the amounts are non-cash in nature.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During 2010, we started investing significant resources in the global implementation of a single enterprise resource planning system. We will capitalize a substantial portion of those costs; however, we will record a portion of those costs as operating expenses.</w:t>
      </w:r>
    </w:p>
    <w:p>
      <w:pPr>
        <w:spacing w:after="0" w:line="137" w:lineRule="exact"/>
        <w:rPr>
          <w:sz w:val="20"/>
          <w:szCs w:val="20"/>
          <w:color w:val="auto"/>
        </w:rPr>
      </w:pPr>
    </w:p>
    <w:p>
      <w:pPr>
        <w:jc w:val="both"/>
        <w:ind w:left="340" w:right="1360"/>
        <w:spacing w:after="0" w:line="255"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their valuation of Integra.</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(In</w:t>
            </w:r>
          </w:p>
        </w:tc>
        <w:tc>
          <w:tcPr>
            <w:tcW w:w="142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80"/>
              </w:rPr>
              <w:t>thousands)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Orthopedics</w:t>
            </w:r>
          </w:p>
        </w:tc>
        <w:tc>
          <w:tcPr>
            <w:tcW w:w="3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72,234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70,187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Neurosurgery</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70"/>
              <w:spacing w:after="0"/>
              <w:rPr>
                <w:sz w:val="20"/>
                <w:szCs w:val="20"/>
                <w:color w:val="auto"/>
              </w:rPr>
            </w:pPr>
            <w:r>
              <w:rPr>
                <w:rFonts w:ascii="Arial" w:cs="Arial" w:eastAsia="Arial" w:hAnsi="Arial"/>
                <w:sz w:val="18"/>
                <w:szCs w:val="18"/>
                <w:color w:val="auto"/>
              </w:rPr>
              <w:t>68,358</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64,774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40,449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revenue</w:t>
            </w: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370"/>
              <w:spacing w:after="0"/>
              <w:rPr>
                <w:sz w:val="20"/>
                <w:szCs w:val="20"/>
                <w:color w:val="auto"/>
              </w:rPr>
            </w:pPr>
            <w:r>
              <w:rPr>
                <w:rFonts w:ascii="Arial" w:cs="Arial" w:eastAsia="Arial" w:hAnsi="Arial"/>
                <w:sz w:val="18"/>
                <w:szCs w:val="18"/>
                <w:color w:val="auto"/>
              </w:rPr>
              <w:t>181,041</w:t>
            </w:r>
          </w:p>
        </w:tc>
        <w:tc>
          <w:tcPr>
            <w:tcW w:w="2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172,698</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64,921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63,224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Gross margin on total revenues</w:t>
            </w:r>
          </w:p>
        </w:tc>
        <w:tc>
          <w:tcPr>
            <w:tcW w:w="3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70"/>
              <w:spacing w:after="0"/>
              <w:rPr>
                <w:sz w:val="20"/>
                <w:szCs w:val="20"/>
                <w:color w:val="auto"/>
              </w:rPr>
            </w:pPr>
            <w:r>
              <w:rPr>
                <w:rFonts w:ascii="Arial" w:cs="Arial" w:eastAsia="Arial" w:hAnsi="Arial"/>
                <w:sz w:val="18"/>
                <w:szCs w:val="18"/>
                <w:color w:val="auto"/>
              </w:rPr>
              <w:t>116,120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109,474</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percentage of total revenues</w:t>
            </w:r>
          </w:p>
        </w:tc>
        <w:tc>
          <w:tcPr>
            <w:tcW w:w="3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140" w:type="dxa"/>
            <w:vAlign w:val="bottom"/>
            <w:vMerge w:val="restart"/>
          </w:tcPr>
          <w:p>
            <w:pPr>
              <w:jc w:val="right"/>
              <w:ind w:right="217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MARCH 31, 2011 AS COMPARED TO THREE MONTHS ENDED MARCH 31, 2010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w:t>
      </w:r>
    </w:p>
    <w:p>
      <w:pPr>
        <w:spacing w:after="0" w:line="189"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For the three months ended March 31, 2011, total revenues increased by $8.3 million, or 5%, to $181.0 million from $172.7 million for the same period during 2010. Domestic revenues increased by $3.9 million to $133.3 million, or 74% of total revenues, for the three months ended March 31, 2011 from $129.4 million, or 75% of total revenues, for the three months ended March 31, 2010. International revenues increased to $47.7 million from $43.3 million in the prior-year period, an increase of 10%.</w:t>
      </w:r>
    </w:p>
    <w:p>
      <w:pPr>
        <w:spacing w:after="0" w:line="131"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Orthopedics revenues were $72.2 million, an increase of 3% over the prior-year period. Most of the increase came from sales of regenerative medicine products for skin and wound repair, from metal implants for the midfoot and hindfoot applications and peripheral nerve repair. This growth was offset by sales of metal spinal implants which were down compared to 2010. The spinal hardware market has slowed dramatically in the past year and we are facing new competition.</w:t>
      </w:r>
    </w:p>
    <w:p>
      <w:pPr>
        <w:spacing w:after="0" w:line="144" w:lineRule="exact"/>
        <w:rPr>
          <w:sz w:val="20"/>
          <w:szCs w:val="20"/>
          <w:color w:val="auto"/>
        </w:rPr>
      </w:pPr>
    </w:p>
    <w:p>
      <w:pPr>
        <w:jc w:val="both"/>
        <w:ind w:left="340" w:right="159"/>
        <w:spacing w:after="0" w:line="223" w:lineRule="auto"/>
        <w:rPr>
          <w:sz w:val="20"/>
          <w:szCs w:val="20"/>
          <w:color w:val="auto"/>
        </w:rPr>
      </w:pPr>
      <w:r>
        <w:rPr>
          <w:rFonts w:ascii="Arial" w:cs="Arial" w:eastAsia="Arial" w:hAnsi="Arial"/>
          <w:sz w:val="18"/>
          <w:szCs w:val="18"/>
          <w:color w:val="auto"/>
        </w:rPr>
        <w:t>Neurosurgery revenues were $68.4 million, an increase of 6% when compared to the prior-year period. Sales of capital goods, particularly CUSA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ultrasonic tissue ablation products and cranial fixation systems, drove the growth in this market. Sales of duraplasty products also improved over the prior period.</w:t>
      </w:r>
    </w:p>
    <w:p>
      <w:pPr>
        <w:spacing w:after="0" w:line="161"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Revenues in the Instruments category were $40.4 million, up 7% from the prior year. Sales of surgical lighting systems in the acute care setting and hand-held instruments in our office based channel have steadily improved compared to the prior period.</w:t>
      </w:r>
    </w:p>
    <w:p>
      <w:pPr>
        <w:spacing w:after="0" w:line="106"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Foreign exchange fluctuations, primarily due to a stronger Australian dollar, Canadian dollar, Swiss franc and Japanese yen versus the U.S. dollar, accounted for a $0.8 million increase in first quarter of 2011 revenues as compared to the same period last year.</w:t>
      </w:r>
    </w:p>
    <w:p>
      <w:pPr>
        <w:spacing w:after="0" w:line="97"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Gross margin increased by $6.6 million to $116.1 million for the three-month period ended March 31, 2011, from $109.5 million for the same period last year. Gross margin as a percentage of total revenue increased to 64.1% for the first quarter 2011 from 63.4% for the same period last year. This increase resulted largely from fewer manufacturing variances impacting the quarter compared to the same period in 2010.</w:t>
      </w:r>
    </w:p>
    <w:p>
      <w:pPr>
        <w:spacing w:after="0" w:line="146"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Throughout 2011, we expect our consolidated gross margin to increase over prior year because we expect (i) to improve the efficiency of our manufacturing operations resulting in better yields and lower costs, and to a lesser extent, (ii) sales of our higher gross margin extremity metal and biomaterial implant products, particularly those from our orthopedic lines, to continue to increase as a proportion of total revenues.</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Other Operating Expenses</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5"/>
        </w:trPr>
        <w:tc>
          <w:tcPr>
            <w:tcW w:w="7200" w:type="dxa"/>
            <w:vAlign w:val="bottom"/>
          </w:tcPr>
          <w:p>
            <w:pPr>
              <w:spacing w:after="0"/>
              <w:rPr>
                <w:sz w:val="20"/>
                <w:szCs w:val="20"/>
                <w:color w:val="auto"/>
              </w:rPr>
            </w:pPr>
            <w:r>
              <w:rPr>
                <w:rFonts w:ascii="Arial" w:cs="Arial" w:eastAsia="Arial" w:hAnsi="Arial"/>
                <w:sz w:val="18"/>
                <w:szCs w:val="18"/>
                <w:color w:val="auto"/>
              </w:rPr>
              <w:t>The following is a summary of other operating expenses as a percent of total revenues:</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7200" w:type="dxa"/>
            <w:vAlign w:val="bottom"/>
          </w:tcPr>
          <w:p>
            <w:pPr>
              <w:spacing w:after="0"/>
              <w:rPr>
                <w:sz w:val="24"/>
                <w:szCs w:val="24"/>
                <w:color w:val="auto"/>
              </w:rPr>
            </w:pPr>
          </w:p>
        </w:tc>
        <w:tc>
          <w:tcPr>
            <w:tcW w:w="25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720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7200" w:type="dxa"/>
            <w:vAlign w:val="bottom"/>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bl>
    <w:p>
      <w:pPr>
        <w:spacing w:after="0" w:line="161"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Research and development expenses in the first quarter of 2011 increased by $0.9 million to $12.2 million, compared to $11.3 million in the same period last year. This increase is primarily attributable to headcount increases related to our orthopedics product lines as we continue to focus on our regenerative medicine products.</w:t>
      </w:r>
    </w:p>
    <w:p>
      <w:pPr>
        <w:spacing w:after="0" w:line="141"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We target 2011 spending on research and development to be between 6.5% and 7% of total revenues. Most of this planned spending for 2011 is concentrated on product development efforts for our spine, neurosurgery and extremity reconstruction product lines.</w:t>
      </w: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Selling, general and administrative expenses in the first quarter of 2011 increased by $7.6 million to $80.1 million, compared to $72.5 million in the same period last year. Selling expenses increased by $2.5 million primarily due to increases in the orthopedics sales organization in Europe coupled with overall increases in sales volumes. General and administrative costs increased $5.0 million primarily due to costs related to our enterprise resource planning system implementation, headcount, compensation and benefit costs. We have completed numerous acquisitions over the years and use a variety of legacy operating platforms. We believe the benefits we will obtain by migrating from these legacy platforms to a single global enterprise resource planning system will be significant. We will also continue to expand our direct sales organizations in our direct selling platforms where business opportunities are most attractive, including extremity reconstruction, and increase corporate staff to support our information systems infrastructure to facilitate future growth. We expect that selling, general and administrative spending for 2011, excluding all special charges, will be between 40% and 42% of revenues.</w:t>
      </w:r>
    </w:p>
    <w:p>
      <w:pPr>
        <w:spacing w:after="0" w:line="151"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Amortization expense in the first quarter of 2011 was $3.0 million, which was flat compared to the same period last year. The quarter ended March 31, 2011 includes an intangible asset impairment charge of $0.2 million.</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r>
              <w:rPr>
                <w:rFonts w:ascii="Arial" w:cs="Arial" w:eastAsia="Arial" w:hAnsi="Arial"/>
                <w:sz w:val="18"/>
                <w:szCs w:val="18"/>
                <w:b w:val="1"/>
                <w:bCs w:val="1"/>
                <w:color w:val="auto"/>
              </w:rPr>
              <w:t>Non-Operating Income and Expenses</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100" w:type="dxa"/>
            <w:vAlign w:val="bottom"/>
          </w:tcPr>
          <w:p>
            <w:pPr>
              <w:spacing w:after="0"/>
              <w:rPr>
                <w:sz w:val="20"/>
                <w:szCs w:val="20"/>
                <w:color w:val="auto"/>
              </w:rPr>
            </w:pPr>
            <w:r>
              <w:rPr>
                <w:rFonts w:ascii="Arial" w:cs="Arial" w:eastAsia="Arial" w:hAnsi="Arial"/>
                <w:sz w:val="18"/>
                <w:szCs w:val="18"/>
                <w:color w:val="auto"/>
              </w:rPr>
              <w:t>The following is a summary of non-operating income and expenses: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Three Months Ended</w:t>
            </w:r>
          </w:p>
        </w:tc>
      </w:tr>
      <w:tr>
        <w:trPr>
          <w:trHeight w:val="234"/>
        </w:trPr>
        <w:tc>
          <w:tcPr>
            <w:tcW w:w="6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r>
      <w:tr>
        <w:trPr>
          <w:trHeight w:val="210"/>
        </w:trPr>
        <w:tc>
          <w:tcPr>
            <w:tcW w:w="6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74"/>
              </w:rPr>
              <w:t>thousands)</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30"/>
              <w:spacing w:after="0"/>
              <w:rPr>
                <w:sz w:val="20"/>
                <w:szCs w:val="20"/>
                <w:color w:val="auto"/>
              </w:rPr>
            </w:pPr>
            <w:r>
              <w:rPr>
                <w:rFonts w:ascii="Arial" w:cs="Arial" w:eastAsia="Arial" w:hAnsi="Arial"/>
                <w:sz w:val="18"/>
                <w:szCs w:val="18"/>
                <w:color w:val="auto"/>
              </w:rPr>
              <w:t>(5,469)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(4,541)</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w:t>
            </w: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 and Interest Expense</w:t>
      </w:r>
    </w:p>
    <w:p>
      <w:pPr>
        <w:spacing w:after="0" w:line="189"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Interest income is flat when compared to the same period last year. Interest expense in the three months ended March 31, 2011 increased primarily as a result of increased borrowings under our senior credit facility and an increase in interest rates compared to the first quarter of 2010. The impact of our interest rate swap which had the effect of increasing interest expense by $0.6 million for the three months ended March 31, 2011. Our reported interest expense for the three-month periods ended March 31, 2011 and 2010 includes non-cash interest related to the accounting for convertible securities of $1.7 million and $2.3 million, respectively.</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(Expense)</w:t>
      </w:r>
    </w:p>
    <w:p>
      <w:pPr>
        <w:spacing w:after="0" w:line="20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Other expense of $0.6 million in 2011 and other income of $1.1 million in 2010 is primarily attributable to foreign exchange gains and losses on intercompany balances.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46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4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93"/>
              </w:rPr>
              <w:t>March 31,</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(In</w:t>
            </w:r>
          </w:p>
        </w:tc>
        <w:tc>
          <w:tcPr>
            <w:tcW w:w="142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80"/>
              </w:rPr>
              <w:t>thousands)</w:t>
            </w:r>
          </w:p>
        </w:tc>
        <w:tc>
          <w:tcPr>
            <w:tcW w:w="16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14,833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19,309</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Income tax expense</w:t>
            </w: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370"/>
              <w:spacing w:after="0"/>
              <w:rPr>
                <w:sz w:val="20"/>
                <w:szCs w:val="20"/>
                <w:color w:val="auto"/>
              </w:rPr>
            </w:pPr>
            <w:r>
              <w:rPr>
                <w:rFonts w:ascii="Arial" w:cs="Arial" w:eastAsia="Arial" w:hAnsi="Arial"/>
                <w:sz w:val="18"/>
                <w:szCs w:val="18"/>
                <w:color w:val="auto"/>
              </w:rPr>
              <w:t>3,346</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4,087</w:t>
            </w:r>
          </w:p>
        </w:tc>
      </w:tr>
      <w:tr>
        <w:trPr>
          <w:trHeight w:val="202"/>
        </w:trPr>
        <w:tc>
          <w:tcPr>
            <w:tcW w:w="46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r>
    </w:tbl>
    <w:p>
      <w:pPr>
        <w:spacing w:after="0" w:line="161"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Our effective income tax rate for the three months ended March 31, 2011 and 2010 was 22.6% and 21.2%, respectively. During the fourth quarter of 2010, the Tax Relief, Unemployment Insurance and Job Creation Act of 2010 was passed, which lowered the tax rate used to determine the tax provision for the first quarter of 2011 versus the rate that was in effect for the first quarter of 2010. However, during the quarter ended March 31, 2010, we recorded a reversal of $2.2 million of accruals for uncertain tax positions due to matters that were considered effectively settled and the expiration of the statute of limitations for certain matters.</w:t>
      </w:r>
    </w:p>
    <w:p>
      <w:pPr>
        <w:spacing w:after="0" w:line="146"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 We expect our effective income tax rate for the full year to be approximately 18%.</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GEOGRAPHIC PRODUCT REVENUES AND OPERATIONS</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Product revenues by major geographic area are summarized below:</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ind w:left="40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74"/>
              </w:rPr>
              <w:t>thousands)</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133,300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129,363</w:t>
            </w:r>
          </w:p>
        </w:tc>
      </w:tr>
      <w:tr>
        <w:trPr>
          <w:trHeight w:val="216"/>
        </w:trPr>
        <w:tc>
          <w:tcPr>
            <w:tcW w:w="3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25,087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24,152</w:t>
            </w:r>
          </w:p>
        </w:tc>
      </w:tr>
      <w:tr>
        <w:trPr>
          <w:trHeight w:val="216"/>
        </w:trPr>
        <w:tc>
          <w:tcPr>
            <w:tcW w:w="34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10,748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9,237</w:t>
            </w:r>
          </w:p>
        </w:tc>
      </w:tr>
      <w:tr>
        <w:trPr>
          <w:trHeight w:val="216"/>
        </w:trPr>
        <w:tc>
          <w:tcPr>
            <w:tcW w:w="3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Other Foreign</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11,906</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9,946</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181,041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172,698</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Most of our revenues are from customers within the United States. Sales to U.S. customers were up approximately 3% due to the strength of our instruments category, while orthopedics revenues grew slightly and neurosurgery product sales were flat. Over the past several quarters, revenues from our European customers have been affected by the austerity measures put in place by various European governments which has impacted their healthcare spending levels. Despite these measures, we had an increase in European sales of approximately 4% which was driven by neurosurgery products while other revenue categories were flat. Sales to customers in the Asia Pacific region increased approximately 16% largely due to neurosurgery sales, and to a lesser extent, increases in orthopedics revenues. Sales to our other foreign customers, particularly in Canada and Latin American countries, increased approximately 20% across all product categories.</w:t>
      </w:r>
    </w:p>
    <w:p>
      <w:pPr>
        <w:spacing w:after="0" w:line="138"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6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and Marketable Securities</w:t>
      </w:r>
    </w:p>
    <w:p>
      <w:pPr>
        <w:spacing w:after="0" w:line="202"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We had cash and cash equivalents totaling approximately $104.4 million and $128.8 million at March 31, 2011 and December 31, 2010, respectively. At March 31, 2011, our non-U.S. subsidiaries held approximately $85.2 million of cash and cash equivalents that are available for use by all of our operations outside the United States. If these funds were repatriated to the United States or used for United States operations, certain amounts could be subject to United States tax for the incremental amount in excess of the foreign tax paid.</w:t>
      </w: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21,255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color w:val="auto"/>
              </w:rPr>
              <w:t>(5,922)</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(44,455)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Effect of exchange rate fluctuations on cash</w:t>
            </w: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4,713</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(24,409)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1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552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We generated operating cash flows of $21.3 million and $28.1 million for the three months ended March 31, 2011 and 2010, respectively.</w:t>
      </w:r>
    </w:p>
    <w:p>
      <w:pPr>
        <w:spacing w:after="0" w:line="130"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Operating cash flows were down largely due to lower net income in the quarter. Net income for the three months ended March 31, 2011 plus non-cash items included in those earnings amounted to approximately $25.6 million. Changes in working capital used $4.2 million of net cash flows. Among the changes in working capital, accounts receivable contributed $1.1 million and prepaid expenses and other current assets contributed another $2.9 million, while inventories used $4.8 million and liabilities used $3.4 million.</w:t>
      </w:r>
    </w:p>
    <w:p>
      <w:pPr>
        <w:spacing w:after="0" w:line="127"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Net income for the three months ended March 31, 2010 plus non-cash items included in those earnings amounted to approximately $27.8 million. Changes in working capital contributed another $3.0 million of net cash flows. Among the changes in working capital, accounts receivable contributed $3.3 million and accounts payable and accrued expenses contributed another $3.2 million, while inventories used $2.2 million. Decreases in long-term liabilities, principally a non-cash reversal of accruals for uncertain tax positions, used another $2.8 million of cash.</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189"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In the first quarter of 2011 we paid $5.9 million in cash for capital expenditures, most of which was directed to the expansion of our regenerative medicine production capacity. We paid $5.9 million in cash for capital expenditures during the quarter ended March 31, 2010.</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Used in Financing Activities</w:t>
      </w:r>
    </w:p>
    <w:p>
      <w:pPr>
        <w:spacing w:after="0" w:line="189"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Our principal uses of cash for financing activities were repayments of $41.9 million and $15.0 million under our senior credit facility in the quarters ended March 31, 2011 and 2010, respectively. In addition, we repurchased treasury stock of $4.3 million in the first quarter of 2011. Net proceeds from stock option exercises and the tax impact of stock-based compensation partially offset these amounts for a total of $1.7 million in the first quarter of 2011 and $5.5 million in the first quarter of 2010.</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Working Capital</w:t>
      </w:r>
    </w:p>
    <w:p>
      <w:pPr>
        <w:spacing w:after="0" w:line="20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At March 31, 2011 and December 31, 2010, working capital was $261.9 million and $243.0 million, respectively. The increase in working capital is primarily related to the additional cash generated in the period and increases in inventory.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Amended and Restated Senior Credit Agreement</w:t>
      </w:r>
    </w:p>
    <w:p>
      <w:pPr>
        <w:spacing w:after="0" w:line="189"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During 2010, we entered into an amended and restated credit agreement with a syndicate of lending banks (the “Senior Credit Facility”). The Senior Credit Facility provides for a revolving credit component of $450.0 million, a $150.0 million term loan component and allows the Company to further increase the size of either the term loan component or the revolving credit component, or a combination thereof, by an aggregate of $150.0 million with additional commitments. The Senior Credit Facility matures on August 10, 2015, is collateralized by substantially all of the assets of our U.S. subsidiaries, excluding intangible assets, and it is also subject to various financial and negative covenants.</w:t>
      </w: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91" w:lineRule="auto"/>
        <w:rPr>
          <w:sz w:val="20"/>
          <w:szCs w:val="20"/>
          <w:color w:val="auto"/>
        </w:rPr>
      </w:pPr>
      <w:r>
        <w:rPr>
          <w:rFonts w:ascii="Arial" w:cs="Arial" w:eastAsia="Arial" w:hAnsi="Arial"/>
          <w:sz w:val="16"/>
          <w:szCs w:val="16"/>
          <w:color w:val="auto"/>
        </w:rPr>
        <w:t>Amounts borrowed under the Senior Credit Facility bear interest, at our option, at a rate equal to (i) the Eurodollar Rate (as defined in the Senior Credit Facility) in effect from time to time plus the applicable rate (ranging from 1.75% to 2.5%) or (ii) the highest of</w:t>
      </w:r>
    </w:p>
    <w:p>
      <w:pPr>
        <w:jc w:val="both"/>
        <w:ind w:left="340" w:right="159" w:hanging="8"/>
        <w:spacing w:after="0" w:line="253" w:lineRule="auto"/>
        <w:tabs>
          <w:tab w:leader="none" w:pos="61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 (y) the prime lending rate of Bank of America, N.A. or (z) the one-month Eurodollar Rate plus 1.0%. The applicable fixed rates are based on our consolidated total leverage ratio (defined as the ratio of (a) consolidated funded indebtedness less cash in excess of $40.0 million that is not subject to any restriction on the use or investment thereof to (b) consolidated earnings before interest, taxes, depreciation and amortization) at the time of the applicable borrowing.</w:t>
      </w:r>
    </w:p>
    <w:p>
      <w:pPr>
        <w:spacing w:after="0" w:line="164" w:lineRule="exact"/>
        <w:rPr>
          <w:sz w:val="20"/>
          <w:szCs w:val="20"/>
          <w:color w:val="auto"/>
        </w:rPr>
      </w:pPr>
    </w:p>
    <w:p>
      <w:pPr>
        <w:jc w:val="both"/>
        <w:ind w:left="340" w:right="159"/>
        <w:spacing w:after="0" w:line="253" w:lineRule="auto"/>
        <w:rPr>
          <w:sz w:val="20"/>
          <w:szCs w:val="20"/>
          <w:color w:val="auto"/>
        </w:rPr>
      </w:pPr>
      <w:r>
        <w:rPr>
          <w:rFonts w:ascii="Arial" w:cs="Arial" w:eastAsia="Arial" w:hAnsi="Arial"/>
          <w:sz w:val="18"/>
          <w:szCs w:val="18"/>
          <w:color w:val="auto"/>
        </w:rPr>
        <w:t>We plan to utilize the Senior Credit Facility for working capital, capital expenditures, share repurchases, acquisitions, debt repayments and other general corporate purposes. At March 31, 2011 we had $390.0 million available for borrowings under the revolving credit component. During the three months ended March 31, 2011, we repaid $40.0 million under the revolving credit component and $1.9 million under the term loan component. At March 31, 2011 we have $60.0 million outstanding under our revolving credit component and $146.3 million outstanding under our term loan component. The entire amount of our revolving credit component is considered short-term based on our intent and ability to repay it within the next twelve-month period, and $9.4 million of our term loan component is classified as short-term in nature based on its terms. The weighted average interest rate of the revolving credit component was 2.5% and the interest rate on the term loan was 2.6% at March 31, 2011 — these amounts exclude the impact of our interest rate swap. As of March 31, 2011, our interest rate swap effectively fixed the interest rate on $146.3 million of our borrowings at approximately 4%.</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Convertible Debt and Related Hedging Activities</w:t>
      </w:r>
    </w:p>
    <w:p>
      <w:pPr>
        <w:spacing w:after="0" w:line="189"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We pay interest each June 1 and December 1 on our $165.0 million senior convertible notes due June 2012 (“2012 Notes”) at an annual rate of 2.375%. The 2012 Notes are senior, unsecured obligations of Integra, and are convertible into cash and, if applicable, shares of our common stock based on an initial conversion rate, subject to adjustment, of 15.3935 shares per $1,000 principal amount of notes for the 2012 Notes (which represents an initial conversion price of approximately $64.96 per share for the 2012 Notes). We expect to satisfy any conversion of the 2012 Notes with cash up to the principal amount pursuant to the net share settlement mechanism set forth in the indenture and, with respect to any excess conversion value, with shares of our common stock. The 2012 Notes are convertible only in the following circumstances: (1) if the closing sale price of our common stock exceeds 130% of the conversion price during a period as defined in the indenture; (2) if the average trading price per $1,000 principal amount of the 2012 Notes is less than or equal to 97% of the average conversion value of the 2012 Notes during a period as defined in the indenture; (3) at any time on or after December 15, 2011; or (4) if specified corporate transactions occur. The issue price of the 2012 Notes was equal to their face amount, which is also the amount holders are entitled to receive at maturity if the 2012 Notes are not converted. None of these conditions existed with respect to the 2012 Notes, and as of March 31, 2011 the 2012 Notes are classified as long term.</w:t>
      </w:r>
    </w:p>
    <w:p>
      <w:pPr>
        <w:spacing w:after="0" w:line="14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2012 Notes, under the terms of the private placement agreement, are guaranteed fully by Integra LifeSciences Corporation, a subsidiary of Integra. The 2012 Notes are Integra’s direct senior unsecured obligations and will rank equal in right of payment to all of our existing and future unsecured and unsubordinated indebtedness.</w:t>
      </w:r>
    </w:p>
    <w:p>
      <w:pPr>
        <w:spacing w:after="0" w:line="141"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In connection with the issuance of the 2012 Notes, we entered into call transactions and warrant transactions, primarily with affiliates of the initial purchasers of the 2012 Notes (the “hedge participants”). The cost of the call transactions to us was approximately $30.4 million. We received approximately $12.2 million of proceeds from the warrant transactions. The call transactions involved our purchasing call options from the hedge participants, and the warrant transactions involved us selling call options to the hedge participants with a higher strike price than the purchased call options. The initial strike price of the call transactions is approximately $64.96, subject to anti-dilution adjustments substantially similar to those in the 2012 Notes. The initial strike price of the warrant transactions is approximately $90.95 subject to customary anti-dilution adjustments.</w:t>
      </w:r>
    </w:p>
    <w:p>
      <w:pPr>
        <w:spacing w:after="0" w:line="137"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We may from time to time seek to retire or purchase a portion of our outstanding 2012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2012 Notes may terminate early, but only with respect to the number of 2012 Notes that cease to be outstanding. The amounts involved may be material.</w:t>
      </w: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 Repurchase Plan</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On October 29, 2010, our Board of Directors authorized us to repurchase shares of our common stock for an aggregate purchase price not to exceed $75.0 million through December 31, 2012. Shares may be purchased either in the open market or in privately negotiated transactions. Under this program during the first three months of 2011, we repurchased approximately 87,000 shares at a cost of $4.3 million; therefore, $70.7 million remains available under the authorization.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w:t>
      </w:r>
    </w:p>
    <w:p>
      <w:pPr>
        <w:spacing w:after="0" w:line="189"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We believe that our cash and available borrowings under the Senior Credit Facility are sufficient to finance our operations and capital expenditures, and potential acquisition-related earn-out payments in the near term based on our current plans. See “Amended and Restated Senior Credit Agreement” for a description of the material terms and classification of our credit facility.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critical accounting estimates included in our Annual Report on Form 10-K for the fiscal year ended December 31, 2010 have not materially changed.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recently issued accounting standards that have an impact on our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and Other Rate Risks</w:t>
      </w:r>
    </w:p>
    <w:p>
      <w:pPr>
        <w:spacing w:after="0" w:line="185"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and Australian dollars.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then recognize them in other income or expense when the hedged item affects net earnings.</w:t>
      </w:r>
    </w:p>
    <w:p>
      <w:pPr>
        <w:spacing w:after="0" w:line="126"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There were no foreign currency forward contracts outstanding at March 31, 2011.</w:t>
      </w:r>
    </w:p>
    <w:p>
      <w:pPr>
        <w:spacing w:after="0" w:line="127"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results of operations for the periods discussed herein have not been materially affected by inflation.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We are exposed to the risk of interest rate fluctuations on the interest income earned on our cash and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A hypothetical 100 basis point movement in interest rates applicable to our cash and cash equivalents outstanding at March 31, 2011 would increase interest income by approximately $1.0 million on an annual basis. No significant decrease in interest income would be expected as our cash balances are earning interest at rates close to zero. We are subject to foreign currency exchange risk with respect to cash balances maintained in foreign currencies.</w:t>
      </w:r>
    </w:p>
    <w:p>
      <w:pPr>
        <w:spacing w:after="0" w:line="132"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i w:val="1"/>
          <w:iCs w:val="1"/>
          <w:color w:val="auto"/>
        </w:rPr>
        <w:t xml:space="preserve">Senior Credit Facility. </w:t>
      </w:r>
      <w:r>
        <w:rPr>
          <w:rFonts w:ascii="Arial" w:cs="Arial" w:eastAsia="Arial" w:hAnsi="Arial"/>
          <w:sz w:val="18"/>
          <w:szCs w:val="18"/>
          <w:color w:val="auto"/>
        </w:rPr>
        <w:t>Our interest rate risk relates primarily to U.S. dollar LIBOR-indexed borrowings. We have used an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 to 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had a notional amount of $146.3 million outstanding as of March 31, 2011. We recognized $0.6 million of additional interest expense related to this derivative during the first quarter of 2011. The fair value of our interest rate derivative instrument was a net asset of $0.5 million at March 31, 2011.</w:t>
      </w:r>
    </w:p>
    <w:p>
      <w:pPr>
        <w:spacing w:after="0" w:line="16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Based on our outstanding borrowings at March 31, 2011, a one-percentage point change in interest rates would have impacted interest expense on the unhedged portion of our debt by $0.6 million on an annualized basis.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8"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March 31, 2011. Based upon this evaluation, our principal executive officer and principal financial officer concluded that our disclosure controls and procedures were effective as of March 31, 2011 to provide such reasonable assurance.</w:t>
      </w: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 13a-15(f) under the Exchange Act) that occurred during the quarter ended March 31, 2011 that have materially affected, or are reasonably likely to materially affect, our internal control over financial reporting.</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Various lawsuits, claims and proceedings are pending or have been settled by us. The most significant items are described below.</w:t>
      </w:r>
    </w:p>
    <w:p>
      <w:pPr>
        <w:spacing w:after="0" w:line="208"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In January 2010, we received a notice from the seller’s representative of the former Theken companies of a disagreement in the calculation of “trade sales” used in calculating a revenue performance payment that we made in November 2009 related to the first performance year that ended September 30, 2009. The notice alleged that we owed an additional $6.7 million. In January 2011, we received a notice from the seller’s representative that the alleged amount owed had been reduced to $5.7 million. We are currently discussing this matter with the seller’s representative in an attempt to resolve the dispute in accordance with the provisions contained in the asset purchase agreement governing the transaction. We have accrued $3.4 million at March 31, 2011 for the settlement in this matter. We believe that there are no additional amounts due under the asset purchase agreement for the second performance year that ended September 30, 2010.</w:t>
      </w:r>
    </w:p>
    <w:p>
      <w:pPr>
        <w:spacing w:after="0" w:line="15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We have various product liability claims pending against us for which we currently have accruals totaling $2.5 million recorded in the financial statements. All matters are covered by our insurance policies, and we have recorded a corresponding receivable. Therefore, there is no impact on our consolidated statements of operations.</w:t>
      </w:r>
    </w:p>
    <w:p>
      <w:pPr>
        <w:spacing w:after="0" w:line="154"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2010 have not materially changed.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October 2010, our Board of Directors adopted a new program that authorizes us to repurchase shares of our common stock for an aggregate purchase price not to exceed $75.0 million through December 31, 2012. Shares may be repurchased either in the open market or in privately negotiated transactions.</w:t>
      </w:r>
    </w:p>
    <w:p>
      <w:pPr>
        <w:spacing w:after="0" w:line="141"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There were purchases of approximately 87,000 shares of our common stock totaling $4.3 million during the quarter ended March 31, 2011 under this program.</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0" w:type="dxa"/>
            <w:vAlign w:val="bottom"/>
          </w:tcPr>
          <w:p>
            <w:pPr>
              <w:spacing w:after="0"/>
              <w:rPr>
                <w:sz w:val="17"/>
                <w:szCs w:val="17"/>
                <w:color w:val="auto"/>
              </w:rPr>
            </w:pPr>
          </w:p>
        </w:tc>
        <w:tc>
          <w:tcPr>
            <w:tcW w:w="7960" w:type="dxa"/>
            <w:vAlign w:val="bottom"/>
          </w:tcPr>
          <w:p>
            <w:pPr>
              <w:spacing w:after="0"/>
              <w:rPr>
                <w:sz w:val="17"/>
                <w:szCs w:val="17"/>
                <w:color w:val="auto"/>
              </w:rPr>
            </w:pPr>
          </w:p>
        </w:tc>
      </w:tr>
      <w:tr>
        <w:trPr>
          <w:trHeight w:val="534"/>
        </w:trPr>
        <w:tc>
          <w:tcPr>
            <w:tcW w:w="1940" w:type="dxa"/>
            <w:vAlign w:val="bottom"/>
            <w:gridSpan w:val="2"/>
          </w:tcPr>
          <w:p>
            <w:pPr>
              <w:ind w:left="340"/>
              <w:spacing w:after="0"/>
              <w:rPr>
                <w:sz w:val="20"/>
                <w:szCs w:val="20"/>
                <w:color w:val="auto"/>
              </w:rPr>
            </w:pPr>
            <w:r>
              <w:rPr>
                <w:rFonts w:ascii="Arial" w:cs="Arial" w:eastAsia="Arial" w:hAnsi="Arial"/>
                <w:sz w:val="18"/>
                <w:szCs w:val="18"/>
                <w:b w:val="1"/>
                <w:bCs w:val="1"/>
                <w:color w:val="auto"/>
              </w:rPr>
              <w:t>ITEM 6. EXHIBITS</w:t>
            </w:r>
          </w:p>
        </w:tc>
        <w:tc>
          <w:tcPr>
            <w:tcW w:w="7960" w:type="dxa"/>
            <w:vAlign w:val="bottom"/>
          </w:tcPr>
          <w:p>
            <w:pPr>
              <w:spacing w:after="0"/>
              <w:rPr>
                <w:sz w:val="24"/>
                <w:szCs w:val="24"/>
                <w:color w:val="auto"/>
              </w:rPr>
            </w:pPr>
          </w:p>
        </w:tc>
      </w:tr>
      <w:tr>
        <w:trPr>
          <w:trHeight w:val="418"/>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w w:val="94"/>
              </w:rPr>
              <w:t>Lease Modification #3 entered into as of the 2nd day of March, 2011, between Plainsboro Associates and</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w w:val="91"/>
              </w:rPr>
              <w:t>Integra LifeSciences Corporation (Incorporated by reference to Exhibit 10.1 to the Company’s Current Report</w:t>
            </w:r>
          </w:p>
        </w:tc>
      </w:tr>
      <w:tr>
        <w:trPr>
          <w:trHeight w:val="230"/>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on Form 8-K filed on March 3, 2011)</w:t>
            </w:r>
          </w:p>
        </w:tc>
      </w:tr>
      <w:tr>
        <w:trPr>
          <w:trHeight w:val="432"/>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Form of Restricted Stock Agreement for Employees with Annual Vesting Over Five Years</w:t>
            </w:r>
          </w:p>
        </w:tc>
      </w:tr>
      <w:tr>
        <w:trPr>
          <w:trHeight w:val="432"/>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w w:val="98"/>
              </w:rPr>
              <w:t>Certification of Principal Executive Officer Pursuant to Section 302 of the Sarbanes-Oxley Act of 2002</w:t>
            </w:r>
          </w:p>
        </w:tc>
      </w:tr>
      <w:tr>
        <w:trPr>
          <w:trHeight w:val="432"/>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w w:val="98"/>
              </w:rPr>
              <w:t>Certification of Principal Financial Officer Pursuant to Section 302 of the Sarbanes-Oxley Act of 2002</w:t>
            </w:r>
          </w:p>
        </w:tc>
      </w:tr>
      <w:tr>
        <w:trPr>
          <w:trHeight w:val="432"/>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w w:val="98"/>
              </w:rPr>
              <w:t>Certification of Principal Executive Officer Pursuant to Section 906 of the Sarbanes-Oxley Act of 2002</w:t>
            </w:r>
          </w:p>
        </w:tc>
      </w:tr>
      <w:tr>
        <w:trPr>
          <w:trHeight w:val="432"/>
        </w:trPr>
        <w:tc>
          <w:tcPr>
            <w:tcW w:w="136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4"/>
                <w:szCs w:val="24"/>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w w:val="98"/>
              </w:rPr>
              <w:t>Certification of Principal Financial Officer Pursuant to Section 906 of the Sarbanes-Oxley Act of 2002</w:t>
            </w:r>
          </w:p>
        </w:tc>
      </w:tr>
    </w:tbl>
    <w:p>
      <w:pPr>
        <w:spacing w:after="0" w:line="202" w:lineRule="exact"/>
        <w:rPr>
          <w:sz w:val="20"/>
          <w:szCs w:val="20"/>
          <w:color w:val="auto"/>
        </w:rPr>
      </w:pPr>
    </w:p>
    <w:p>
      <w:pPr>
        <w:ind w:left="720" w:hanging="127"/>
        <w:spacing w:after="0"/>
        <w:tabs>
          <w:tab w:leader="none" w:pos="720" w:val="left"/>
        </w:tabs>
        <w:numPr>
          <w:ilvl w:val="4"/>
          <w:numId w:val="7"/>
        </w:numPr>
        <w:rPr>
          <w:rFonts w:ascii="Arial" w:cs="Arial" w:eastAsia="Arial" w:hAnsi="Arial"/>
          <w:sz w:val="18"/>
          <w:szCs w:val="18"/>
          <w:color w:val="auto"/>
        </w:rPr>
      </w:pPr>
      <w:r>
        <w:rPr>
          <w:rFonts w:ascii="Arial" w:cs="Arial" w:eastAsia="Arial" w:hAnsi="Arial"/>
          <w:sz w:val="18"/>
          <w:szCs w:val="18"/>
          <w:color w:val="auto"/>
        </w:rPr>
        <w:t>+101.INS</w:t>
      </w:r>
      <w:r>
        <w:rPr>
          <w:rFonts w:ascii="Arial" w:cs="Arial" w:eastAsia="Arial" w:hAnsi="Arial"/>
          <w:sz w:val="16"/>
          <w:szCs w:val="16"/>
          <w:color w:val="auto"/>
        </w:rPr>
        <w:t>XBRL Instance Document</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+101.SCH</w:t>
      </w:r>
      <w:r>
        <w:rPr>
          <w:rFonts w:ascii="Arial" w:cs="Arial" w:eastAsia="Arial" w:hAnsi="Arial"/>
          <w:sz w:val="16"/>
          <w:szCs w:val="16"/>
          <w:color w:val="auto"/>
        </w:rPr>
        <w:t>XBRL Taxonomy Extension Schema Document</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+101.CAL</w:t>
      </w:r>
      <w:r>
        <w:rPr>
          <w:rFonts w:ascii="Arial" w:cs="Arial" w:eastAsia="Arial" w:hAnsi="Arial"/>
          <w:sz w:val="16"/>
          <w:szCs w:val="16"/>
          <w:color w:val="auto"/>
        </w:rPr>
        <w:t>XBRL Taxonomy Extension Calculation Linkbase Document</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+101.LAB</w:t>
      </w:r>
      <w:r>
        <w:rPr>
          <w:rFonts w:ascii="Arial" w:cs="Arial" w:eastAsia="Arial" w:hAnsi="Arial"/>
          <w:sz w:val="16"/>
          <w:szCs w:val="16"/>
          <w:color w:val="auto"/>
        </w:rPr>
        <w:t>XBRL Taxonomy Extension Labels Linkbase Document</w:t>
      </w:r>
    </w:p>
    <w:p>
      <w:pPr>
        <w:spacing w:after="0" w:line="225" w:lineRule="exact"/>
        <w:rPr>
          <w:rFonts w:ascii="Arial" w:cs="Arial" w:eastAsia="Arial" w:hAnsi="Arial"/>
          <w:sz w:val="18"/>
          <w:szCs w:val="18"/>
          <w:color w:val="auto"/>
        </w:rPr>
      </w:pPr>
    </w:p>
    <w:p>
      <w:pPr>
        <w:ind w:left="340" w:right="3759" w:firstLine="241"/>
        <w:spacing w:after="0" w:line="602" w:lineRule="auto"/>
        <w:rPr>
          <w:rFonts w:ascii="Arial" w:cs="Arial" w:eastAsia="Arial" w:hAnsi="Arial"/>
          <w:sz w:val="18"/>
          <w:szCs w:val="18"/>
          <w:color w:val="auto"/>
        </w:rPr>
      </w:pPr>
      <w:r>
        <w:rPr>
          <w:rFonts w:ascii="Arial" w:cs="Arial" w:eastAsia="Arial" w:hAnsi="Arial"/>
          <w:sz w:val="18"/>
          <w:szCs w:val="18"/>
          <w:color w:val="auto"/>
        </w:rPr>
        <w:t>* +101.PRE XBRL Taxonomy Extension Presentation Linkbase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-255270</wp:posOffset>
            </wp:positionV>
            <wp:extent cx="11150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jc w:val="both"/>
        <w:ind w:left="720" w:right="159" w:hanging="388"/>
        <w:spacing w:after="0" w:line="25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March 31, 2011 filed on April 28, 2011 formatted in XBRL (Extensible Business Reporting Language): (i) the Condensed Consolidated Statements of Operations, (ii) the Condensed Consolidated Balance Sheets, (iii) the Condensed Consolidated Statements of Cash Flows, and (iv) Notes to Condensed Consolidated Financial Statements, is furnished electronically herewith as tagged blocks of text.</w:t>
      </w:r>
    </w:p>
    <w:p>
      <w:pPr>
        <w:spacing w:after="0" w:line="200" w:lineRule="exact"/>
        <w:rPr>
          <w:sz w:val="20"/>
          <w:szCs w:val="20"/>
          <w:color w:val="auto"/>
        </w:rPr>
      </w:pPr>
    </w:p>
    <w:p>
      <w:pPr>
        <w:spacing w:after="0" w:line="33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432"/>
        </w:trPr>
        <w:tc>
          <w:tcPr>
            <w:tcW w:w="4220" w:type="dxa"/>
            <w:vAlign w:val="bottom"/>
          </w:tcPr>
          <w:p>
            <w:pPr>
              <w:ind w:left="340"/>
              <w:spacing w:after="0"/>
              <w:rPr>
                <w:sz w:val="20"/>
                <w:szCs w:val="20"/>
                <w:color w:val="auto"/>
              </w:rPr>
            </w:pPr>
            <w:r>
              <w:rPr>
                <w:rFonts w:ascii="Arial" w:cs="Arial" w:eastAsia="Arial" w:hAnsi="Arial"/>
                <w:sz w:val="18"/>
                <w:szCs w:val="18"/>
                <w:color w:val="auto"/>
              </w:rPr>
              <w:t>Date: April 28, 2011</w:t>
            </w:r>
          </w:p>
        </w:tc>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/s/ Stuart M. Essig</w:t>
            </w:r>
          </w:p>
        </w:tc>
      </w:tr>
      <w:tr>
        <w:trPr>
          <w:trHeight w:val="195"/>
        </w:trPr>
        <w:tc>
          <w:tcPr>
            <w:tcW w:w="422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Stuart M. Essig</w:t>
            </w:r>
          </w:p>
        </w:tc>
        <w:tc>
          <w:tcPr>
            <w:tcW w:w="2580" w:type="dxa"/>
            <w:vAlign w:val="bottom"/>
          </w:tcPr>
          <w:p>
            <w:pPr>
              <w:spacing w:after="0"/>
              <w:rPr>
                <w:sz w:val="16"/>
                <w:szCs w:val="16"/>
                <w:color w:val="auto"/>
              </w:rPr>
            </w:pPr>
          </w:p>
        </w:tc>
      </w:tr>
      <w:tr>
        <w:trPr>
          <w:trHeight w:val="230"/>
        </w:trPr>
        <w:tc>
          <w:tcPr>
            <w:tcW w:w="4220" w:type="dxa"/>
            <w:vAlign w:val="bottom"/>
          </w:tcPr>
          <w:p>
            <w:pPr>
              <w:spacing w:after="0"/>
              <w:rPr>
                <w:sz w:val="20"/>
                <w:szCs w:val="20"/>
                <w:color w:val="auto"/>
              </w:rPr>
            </w:pPr>
          </w:p>
        </w:tc>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432"/>
        </w:trPr>
        <w:tc>
          <w:tcPr>
            <w:tcW w:w="4220" w:type="dxa"/>
            <w:vAlign w:val="bottom"/>
          </w:tcPr>
          <w:p>
            <w:pPr>
              <w:ind w:left="340"/>
              <w:spacing w:after="0"/>
              <w:rPr>
                <w:sz w:val="20"/>
                <w:szCs w:val="20"/>
                <w:color w:val="auto"/>
              </w:rPr>
            </w:pPr>
            <w:r>
              <w:rPr>
                <w:rFonts w:ascii="Arial" w:cs="Arial" w:eastAsia="Arial" w:hAnsi="Arial"/>
                <w:sz w:val="18"/>
                <w:szCs w:val="18"/>
                <w:color w:val="auto"/>
              </w:rPr>
              <w:t>Date: April 28, 2011</w:t>
            </w:r>
          </w:p>
        </w:tc>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/s/ John B. Henneman, III</w:t>
            </w:r>
          </w:p>
        </w:tc>
      </w:tr>
      <w:tr>
        <w:trPr>
          <w:trHeight w:val="195"/>
        </w:trPr>
        <w:tc>
          <w:tcPr>
            <w:tcW w:w="422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John B. Henneman, III</w:t>
            </w:r>
          </w:p>
        </w:tc>
        <w:tc>
          <w:tcPr>
            <w:tcW w:w="2580" w:type="dxa"/>
            <w:vAlign w:val="bottom"/>
          </w:tcPr>
          <w:p>
            <w:pPr>
              <w:spacing w:after="0"/>
              <w:rPr>
                <w:sz w:val="16"/>
                <w:szCs w:val="16"/>
                <w:color w:val="auto"/>
              </w:rPr>
            </w:pPr>
          </w:p>
        </w:tc>
      </w:tr>
      <w:tr>
        <w:trPr>
          <w:trHeight w:val="216"/>
        </w:trPr>
        <w:tc>
          <w:tcPr>
            <w:tcW w:w="42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Executive Vice President, Finance and Administration, and</w:t>
            </w:r>
          </w:p>
        </w:tc>
      </w:tr>
      <w:tr>
        <w:trPr>
          <w:trHeight w:val="230"/>
        </w:trPr>
        <w:tc>
          <w:tcPr>
            <w:tcW w:w="4220" w:type="dxa"/>
            <w:vAlign w:val="bottom"/>
          </w:tcPr>
          <w:p>
            <w:pPr>
              <w:spacing w:after="0"/>
              <w:rPr>
                <w:sz w:val="20"/>
                <w:szCs w:val="20"/>
                <w:color w:val="auto"/>
              </w:rPr>
            </w:pPr>
          </w:p>
        </w:tc>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783"/>
        </w:trPr>
        <w:tc>
          <w:tcPr>
            <w:tcW w:w="4220" w:type="dxa"/>
            <w:vAlign w:val="bottom"/>
          </w:tcPr>
          <w:p>
            <w:pPr>
              <w:spacing w:after="0"/>
              <w:rPr>
                <w:sz w:val="24"/>
                <w:szCs w:val="24"/>
                <w:color w:val="auto"/>
              </w:rPr>
            </w:pPr>
          </w:p>
        </w:tc>
        <w:tc>
          <w:tcPr>
            <w:tcW w:w="4620" w:type="dxa"/>
            <w:vAlign w:val="bottom"/>
          </w:tcPr>
          <w:p>
            <w:pPr>
              <w:ind w:left="880"/>
              <w:spacing w:after="0"/>
              <w:rPr>
                <w:sz w:val="20"/>
                <w:szCs w:val="20"/>
                <w:color w:val="auto"/>
              </w:rPr>
            </w:pPr>
            <w:r>
              <w:rPr>
                <w:rFonts w:ascii="Arial" w:cs="Arial" w:eastAsia="Arial" w:hAnsi="Arial"/>
                <w:sz w:val="18"/>
                <w:szCs w:val="18"/>
                <w:color w:val="auto"/>
              </w:rPr>
              <w:t>25</w:t>
            </w:r>
          </w:p>
        </w:tc>
        <w:tc>
          <w:tcPr>
            <w:tcW w:w="2580" w:type="dxa"/>
            <w:vAlign w:val="bottom"/>
          </w:tcPr>
          <w:p>
            <w:pPr>
              <w:spacing w:after="0"/>
              <w:rPr>
                <w:sz w:val="24"/>
                <w:szCs w:val="24"/>
                <w:color w:val="auto"/>
              </w:rPr>
            </w:pPr>
          </w:p>
        </w:tc>
      </w:tr>
      <w:tr>
        <w:trPr>
          <w:trHeight w:val="226"/>
        </w:trPr>
        <w:tc>
          <w:tcPr>
            <w:tcW w:w="4220" w:type="dxa"/>
            <w:vAlign w:val="bottom"/>
            <w:tcBorders>
              <w:bottom w:val="single" w:sz="8" w:color="808080"/>
            </w:tcBorders>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w w:val="88"/>
              </w:rPr>
              <w:t>Exhibits</w:t>
            </w:r>
          </w:p>
        </w:tc>
        <w:tc>
          <w:tcPr>
            <w:tcW w:w="8320" w:type="dxa"/>
            <w:vAlign w:val="bottom"/>
          </w:tcPr>
          <w:p>
            <w:pPr>
              <w:spacing w:after="0"/>
              <w:rPr>
                <w:sz w:val="20"/>
                <w:szCs w:val="20"/>
                <w:color w:val="auto"/>
              </w:rPr>
            </w:pPr>
          </w:p>
        </w:tc>
      </w:tr>
      <w:tr>
        <w:trPr>
          <w:trHeight w:val="418"/>
        </w:trPr>
        <w:tc>
          <w:tcPr>
            <w:tcW w:w="1240" w:type="dxa"/>
            <w:vAlign w:val="bottom"/>
          </w:tcPr>
          <w:p>
            <w:pPr>
              <w:jc w:val="right"/>
              <w:ind w:right="270"/>
              <w:spacing w:after="0"/>
              <w:rPr>
                <w:sz w:val="20"/>
                <w:szCs w:val="20"/>
                <w:color w:val="auto"/>
              </w:rPr>
            </w:pPr>
            <w:r>
              <w:rPr>
                <w:rFonts w:ascii="Arial" w:cs="Arial" w:eastAsia="Arial" w:hAnsi="Arial"/>
                <w:sz w:val="18"/>
                <w:szCs w:val="18"/>
                <w:color w:val="auto"/>
              </w:rPr>
              <w:t>10.1</w:t>
            </w:r>
          </w:p>
        </w:tc>
        <w:tc>
          <w:tcPr>
            <w:tcW w:w="8320" w:type="dxa"/>
            <w:vAlign w:val="bottom"/>
          </w:tcPr>
          <w:p>
            <w:pPr>
              <w:ind w:left="380"/>
              <w:spacing w:after="0"/>
              <w:rPr>
                <w:sz w:val="20"/>
                <w:szCs w:val="20"/>
                <w:color w:val="auto"/>
              </w:rPr>
            </w:pPr>
            <w:r>
              <w:rPr>
                <w:rFonts w:ascii="Arial" w:cs="Arial" w:eastAsia="Arial" w:hAnsi="Arial"/>
                <w:sz w:val="18"/>
                <w:szCs w:val="18"/>
                <w:color w:val="auto"/>
                <w:w w:val="94"/>
              </w:rPr>
              <w:t>Lease Modification #3 entered into as of the 2nd day of March, 2011, between Plainsboro Associates and</w:t>
            </w:r>
          </w:p>
        </w:tc>
      </w:tr>
      <w:tr>
        <w:trPr>
          <w:trHeight w:val="216"/>
        </w:trPr>
        <w:tc>
          <w:tcPr>
            <w:tcW w:w="1240" w:type="dxa"/>
            <w:vAlign w:val="bottom"/>
          </w:tcPr>
          <w:p>
            <w:pPr>
              <w:spacing w:after="0"/>
              <w:rPr>
                <w:sz w:val="18"/>
                <w:szCs w:val="18"/>
                <w:color w:val="auto"/>
              </w:rPr>
            </w:pPr>
          </w:p>
        </w:tc>
        <w:tc>
          <w:tcPr>
            <w:tcW w:w="8320" w:type="dxa"/>
            <w:vAlign w:val="bottom"/>
          </w:tcPr>
          <w:p>
            <w:pPr>
              <w:ind w:left="380"/>
              <w:spacing w:after="0"/>
              <w:rPr>
                <w:sz w:val="20"/>
                <w:szCs w:val="20"/>
                <w:color w:val="auto"/>
              </w:rPr>
            </w:pPr>
            <w:r>
              <w:rPr>
                <w:rFonts w:ascii="Arial" w:cs="Arial" w:eastAsia="Arial" w:hAnsi="Arial"/>
                <w:sz w:val="18"/>
                <w:szCs w:val="18"/>
                <w:color w:val="auto"/>
                <w:w w:val="91"/>
              </w:rPr>
              <w:t>Integra LifeSciences Corporation (Incorporated by reference to Exhibit 10.1 to the Company’s Current Report</w:t>
            </w:r>
          </w:p>
        </w:tc>
      </w:tr>
      <w:tr>
        <w:trPr>
          <w:trHeight w:val="230"/>
        </w:trPr>
        <w:tc>
          <w:tcPr>
            <w:tcW w:w="1240" w:type="dxa"/>
            <w:vAlign w:val="bottom"/>
          </w:tcPr>
          <w:p>
            <w:pPr>
              <w:spacing w:after="0"/>
              <w:rPr>
                <w:sz w:val="20"/>
                <w:szCs w:val="20"/>
                <w:color w:val="auto"/>
              </w:rPr>
            </w:pPr>
          </w:p>
        </w:tc>
        <w:tc>
          <w:tcPr>
            <w:tcW w:w="8320" w:type="dxa"/>
            <w:vAlign w:val="bottom"/>
          </w:tcPr>
          <w:p>
            <w:pPr>
              <w:ind w:left="380"/>
              <w:spacing w:after="0"/>
              <w:rPr>
                <w:sz w:val="20"/>
                <w:szCs w:val="20"/>
                <w:color w:val="auto"/>
              </w:rPr>
            </w:pPr>
            <w:r>
              <w:rPr>
                <w:rFonts w:ascii="Arial" w:cs="Arial" w:eastAsia="Arial" w:hAnsi="Arial"/>
                <w:sz w:val="18"/>
                <w:szCs w:val="18"/>
                <w:color w:val="auto"/>
              </w:rPr>
              <w:t>on Form 8-K filed on March 3, 2011)</w:t>
            </w:r>
          </w:p>
        </w:tc>
      </w:tr>
      <w:tr>
        <w:trPr>
          <w:trHeight w:val="432"/>
        </w:trPr>
        <w:tc>
          <w:tcPr>
            <w:tcW w:w="1240" w:type="dxa"/>
            <w:vAlign w:val="bottom"/>
          </w:tcPr>
          <w:p>
            <w:pPr>
              <w:jc w:val="right"/>
              <w:ind w:right="270"/>
              <w:spacing w:after="0"/>
              <w:rPr>
                <w:sz w:val="20"/>
                <w:szCs w:val="20"/>
                <w:color w:val="auto"/>
              </w:rPr>
            </w:pPr>
            <w:r>
              <w:rPr>
                <w:rFonts w:ascii="Arial" w:cs="Arial" w:eastAsia="Arial" w:hAnsi="Arial"/>
                <w:sz w:val="18"/>
                <w:szCs w:val="18"/>
                <w:color w:val="auto"/>
              </w:rPr>
              <w:t>*10.2</w:t>
            </w:r>
          </w:p>
        </w:tc>
        <w:tc>
          <w:tcPr>
            <w:tcW w:w="8320" w:type="dxa"/>
            <w:vAlign w:val="bottom"/>
          </w:tcPr>
          <w:p>
            <w:pPr>
              <w:ind w:left="380"/>
              <w:spacing w:after="0"/>
              <w:rPr>
                <w:sz w:val="20"/>
                <w:szCs w:val="20"/>
                <w:color w:val="auto"/>
              </w:rPr>
            </w:pPr>
            <w:r>
              <w:rPr>
                <w:rFonts w:ascii="Arial" w:cs="Arial" w:eastAsia="Arial" w:hAnsi="Arial"/>
                <w:sz w:val="18"/>
                <w:szCs w:val="18"/>
                <w:color w:val="auto"/>
              </w:rPr>
              <w:t>Form of Restricted Stock Agreement for Employees with Annual Vesting Over Five Years</w:t>
            </w:r>
          </w:p>
        </w:tc>
      </w:tr>
      <w:tr>
        <w:trPr>
          <w:trHeight w:val="432"/>
        </w:trPr>
        <w:tc>
          <w:tcPr>
            <w:tcW w:w="1240" w:type="dxa"/>
            <w:vAlign w:val="bottom"/>
          </w:tcPr>
          <w:p>
            <w:pPr>
              <w:jc w:val="right"/>
              <w:ind w:right="270"/>
              <w:spacing w:after="0"/>
              <w:rPr>
                <w:sz w:val="20"/>
                <w:szCs w:val="20"/>
                <w:color w:val="auto"/>
              </w:rPr>
            </w:pPr>
            <w:r>
              <w:rPr>
                <w:rFonts w:ascii="Arial" w:cs="Arial" w:eastAsia="Arial" w:hAnsi="Arial"/>
                <w:sz w:val="18"/>
                <w:szCs w:val="18"/>
                <w:color w:val="auto"/>
              </w:rPr>
              <w:t>*31.1</w:t>
            </w:r>
          </w:p>
        </w:tc>
        <w:tc>
          <w:tcPr>
            <w:tcW w:w="8320" w:type="dxa"/>
            <w:vAlign w:val="bottom"/>
          </w:tcPr>
          <w:p>
            <w:pPr>
              <w:ind w:left="380"/>
              <w:spacing w:after="0"/>
              <w:rPr>
                <w:sz w:val="20"/>
                <w:szCs w:val="20"/>
                <w:color w:val="auto"/>
              </w:rPr>
            </w:pPr>
            <w:r>
              <w:rPr>
                <w:rFonts w:ascii="Arial" w:cs="Arial" w:eastAsia="Arial" w:hAnsi="Arial"/>
                <w:sz w:val="18"/>
                <w:szCs w:val="18"/>
                <w:color w:val="auto"/>
                <w:w w:val="98"/>
              </w:rPr>
              <w:t>Certification of Principal Executive Officer Pursuant to Section 302 of the Sarbanes-Oxley Act of 2002</w:t>
            </w:r>
          </w:p>
        </w:tc>
      </w:tr>
      <w:tr>
        <w:trPr>
          <w:trHeight w:val="432"/>
        </w:trPr>
        <w:tc>
          <w:tcPr>
            <w:tcW w:w="1240" w:type="dxa"/>
            <w:vAlign w:val="bottom"/>
          </w:tcPr>
          <w:p>
            <w:pPr>
              <w:jc w:val="right"/>
              <w:ind w:right="270"/>
              <w:spacing w:after="0"/>
              <w:rPr>
                <w:sz w:val="20"/>
                <w:szCs w:val="20"/>
                <w:color w:val="auto"/>
              </w:rPr>
            </w:pPr>
            <w:r>
              <w:rPr>
                <w:rFonts w:ascii="Arial" w:cs="Arial" w:eastAsia="Arial" w:hAnsi="Arial"/>
                <w:sz w:val="18"/>
                <w:szCs w:val="18"/>
                <w:color w:val="auto"/>
              </w:rPr>
              <w:t>*31.2</w:t>
            </w:r>
          </w:p>
        </w:tc>
        <w:tc>
          <w:tcPr>
            <w:tcW w:w="8320" w:type="dxa"/>
            <w:vAlign w:val="bottom"/>
          </w:tcPr>
          <w:p>
            <w:pPr>
              <w:ind w:left="380"/>
              <w:spacing w:after="0"/>
              <w:rPr>
                <w:sz w:val="20"/>
                <w:szCs w:val="20"/>
                <w:color w:val="auto"/>
              </w:rPr>
            </w:pPr>
            <w:r>
              <w:rPr>
                <w:rFonts w:ascii="Arial" w:cs="Arial" w:eastAsia="Arial" w:hAnsi="Arial"/>
                <w:sz w:val="18"/>
                <w:szCs w:val="18"/>
                <w:color w:val="auto"/>
                <w:w w:val="98"/>
              </w:rPr>
              <w:t>Certification of Principal Financial Officer Pursuant to Section 302 of the Sarbanes-Oxley Act of 2002</w:t>
            </w:r>
          </w:p>
        </w:tc>
      </w:tr>
      <w:tr>
        <w:trPr>
          <w:trHeight w:val="432"/>
        </w:trPr>
        <w:tc>
          <w:tcPr>
            <w:tcW w:w="1240" w:type="dxa"/>
            <w:vAlign w:val="bottom"/>
          </w:tcPr>
          <w:p>
            <w:pPr>
              <w:jc w:val="right"/>
              <w:ind w:right="270"/>
              <w:spacing w:after="0"/>
              <w:rPr>
                <w:sz w:val="20"/>
                <w:szCs w:val="20"/>
                <w:color w:val="auto"/>
              </w:rPr>
            </w:pPr>
            <w:r>
              <w:rPr>
                <w:rFonts w:ascii="Arial" w:cs="Arial" w:eastAsia="Arial" w:hAnsi="Arial"/>
                <w:sz w:val="18"/>
                <w:szCs w:val="18"/>
                <w:color w:val="auto"/>
              </w:rPr>
              <w:t>*32.1</w:t>
            </w:r>
          </w:p>
        </w:tc>
        <w:tc>
          <w:tcPr>
            <w:tcW w:w="8320" w:type="dxa"/>
            <w:vAlign w:val="bottom"/>
          </w:tcPr>
          <w:p>
            <w:pPr>
              <w:ind w:left="380"/>
              <w:spacing w:after="0"/>
              <w:rPr>
                <w:sz w:val="20"/>
                <w:szCs w:val="20"/>
                <w:color w:val="auto"/>
              </w:rPr>
            </w:pPr>
            <w:r>
              <w:rPr>
                <w:rFonts w:ascii="Arial" w:cs="Arial" w:eastAsia="Arial" w:hAnsi="Arial"/>
                <w:sz w:val="18"/>
                <w:szCs w:val="18"/>
                <w:color w:val="auto"/>
                <w:w w:val="98"/>
              </w:rPr>
              <w:t>Certification of Principal Executive Officer Pursuant to Section 906 of the Sarbanes-Oxley Act of 2002</w:t>
            </w:r>
          </w:p>
        </w:tc>
      </w:tr>
      <w:tr>
        <w:trPr>
          <w:trHeight w:val="432"/>
        </w:trPr>
        <w:tc>
          <w:tcPr>
            <w:tcW w:w="1240" w:type="dxa"/>
            <w:vAlign w:val="bottom"/>
          </w:tcPr>
          <w:p>
            <w:pPr>
              <w:jc w:val="right"/>
              <w:ind w:right="270"/>
              <w:spacing w:after="0"/>
              <w:rPr>
                <w:sz w:val="20"/>
                <w:szCs w:val="20"/>
                <w:color w:val="auto"/>
              </w:rPr>
            </w:pPr>
            <w:r>
              <w:rPr>
                <w:rFonts w:ascii="Arial" w:cs="Arial" w:eastAsia="Arial" w:hAnsi="Arial"/>
                <w:sz w:val="18"/>
                <w:szCs w:val="18"/>
                <w:color w:val="auto"/>
              </w:rPr>
              <w:t>*32.2</w:t>
            </w:r>
          </w:p>
        </w:tc>
        <w:tc>
          <w:tcPr>
            <w:tcW w:w="8320" w:type="dxa"/>
            <w:vAlign w:val="bottom"/>
          </w:tcPr>
          <w:p>
            <w:pPr>
              <w:ind w:left="380"/>
              <w:spacing w:after="0"/>
              <w:rPr>
                <w:sz w:val="20"/>
                <w:szCs w:val="20"/>
                <w:color w:val="auto"/>
              </w:rPr>
            </w:pPr>
            <w:r>
              <w:rPr>
                <w:rFonts w:ascii="Arial" w:cs="Arial" w:eastAsia="Arial" w:hAnsi="Arial"/>
                <w:sz w:val="18"/>
                <w:szCs w:val="18"/>
                <w:color w:val="auto"/>
                <w:w w:val="98"/>
              </w:rPr>
              <w:t>Certification of Principal Financial Officer Pursuant to Section 906 of the Sarbanes-Oxley Act of 2002</w:t>
            </w:r>
          </w:p>
        </w:tc>
      </w:tr>
    </w:tbl>
    <w:p>
      <w:pPr>
        <w:spacing w:after="0" w:line="202" w:lineRule="exact"/>
        <w:rPr>
          <w:sz w:val="20"/>
          <w:szCs w:val="20"/>
          <w:color w:val="auto"/>
        </w:rPr>
      </w:pPr>
    </w:p>
    <w:p>
      <w:pPr>
        <w:ind w:left="700" w:hanging="129"/>
        <w:spacing w:after="0"/>
        <w:tabs>
          <w:tab w:leader="none" w:pos="700" w:val="left"/>
        </w:tabs>
        <w:numPr>
          <w:ilvl w:val="4"/>
          <w:numId w:val="9"/>
        </w:numPr>
        <w:rPr>
          <w:rFonts w:ascii="Arial" w:cs="Arial" w:eastAsia="Arial" w:hAnsi="Arial"/>
          <w:sz w:val="18"/>
          <w:szCs w:val="18"/>
          <w:color w:val="auto"/>
        </w:rPr>
      </w:pPr>
      <w:r>
        <w:rPr>
          <w:rFonts w:ascii="Arial" w:cs="Arial" w:eastAsia="Arial" w:hAnsi="Arial"/>
          <w:sz w:val="18"/>
          <w:szCs w:val="18"/>
          <w:color w:val="auto"/>
        </w:rPr>
        <w:t>+ 101.INS</w:t>
      </w:r>
      <w:r>
        <w:rPr>
          <w:rFonts w:ascii="Arial" w:cs="Arial" w:eastAsia="Arial" w:hAnsi="Arial"/>
          <w:sz w:val="16"/>
          <w:szCs w:val="16"/>
          <w:color w:val="auto"/>
        </w:rPr>
        <w:t>XBRL Instance Document</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+ 101.SCH</w:t>
      </w:r>
      <w:r>
        <w:rPr>
          <w:rFonts w:ascii="Arial" w:cs="Arial" w:eastAsia="Arial" w:hAnsi="Arial"/>
          <w:sz w:val="16"/>
          <w:szCs w:val="16"/>
          <w:color w:val="auto"/>
        </w:rPr>
        <w:t>XBRL Taxonomy Extension Schema Document</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+ 101.CAL</w:t>
      </w:r>
      <w:r>
        <w:rPr>
          <w:rFonts w:ascii="Arial" w:cs="Arial" w:eastAsia="Arial" w:hAnsi="Arial"/>
          <w:sz w:val="16"/>
          <w:szCs w:val="16"/>
          <w:color w:val="auto"/>
        </w:rPr>
        <w:t>XBRL Taxonomy Extension Calculation Linkbase Document</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+ 101.LAB</w:t>
      </w:r>
      <w:r>
        <w:rPr>
          <w:rFonts w:ascii="Arial" w:cs="Arial" w:eastAsia="Arial" w:hAnsi="Arial"/>
          <w:sz w:val="16"/>
          <w:szCs w:val="16"/>
          <w:color w:val="auto"/>
        </w:rPr>
        <w:t>XBRL Taxonomy Extension Labels Linkbase Document</w:t>
      </w:r>
    </w:p>
    <w:p>
      <w:pPr>
        <w:spacing w:after="0" w:line="225" w:lineRule="exact"/>
        <w:rPr>
          <w:rFonts w:ascii="Arial" w:cs="Arial" w:eastAsia="Arial" w:hAnsi="Arial"/>
          <w:sz w:val="18"/>
          <w:szCs w:val="18"/>
          <w:color w:val="auto"/>
        </w:rPr>
      </w:pPr>
    </w:p>
    <w:p>
      <w:pPr>
        <w:ind w:left="340" w:right="3759" w:firstLine="219"/>
        <w:spacing w:after="0" w:line="595" w:lineRule="auto"/>
        <w:rPr>
          <w:rFonts w:ascii="Arial" w:cs="Arial" w:eastAsia="Arial" w:hAnsi="Arial"/>
          <w:sz w:val="18"/>
          <w:szCs w:val="18"/>
          <w:color w:val="auto"/>
        </w:rPr>
      </w:pPr>
      <w:r>
        <w:rPr>
          <w:rFonts w:ascii="Arial" w:cs="Arial" w:eastAsia="Arial" w:hAnsi="Arial"/>
          <w:sz w:val="18"/>
          <w:szCs w:val="18"/>
          <w:color w:val="auto"/>
        </w:rPr>
        <w:t>* + 101.PRE XBRL Taxonomy Extension Presentation Linkbase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-255905</wp:posOffset>
            </wp:positionV>
            <wp:extent cx="11150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jc w:val="both"/>
        <w:ind w:left="720" w:right="159" w:hanging="388"/>
        <w:spacing w:after="0" w:line="25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March 31, 2011 filed on April 28, 2011 formatted in XBRL (Extensible Business Reporting Language): (i) the Condensed Consolidated Statements of Operations, (ii) the Condensed Consolidated Balance Sheets, (iii) the Condensed Consolidated Statements of Cash Flows, and (iv) Notes to Condensed Consolidated Financial Statements, is furnished electronically herewith as tagged blocks of text.</w:t>
      </w: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419" w:right="1440" w:bottom="1440" w:gutter="0" w:footer="0" w:header="0"/>
        </w:sectPr>
      </w:pPr>
    </w:p>
    <w:bookmarkStart w:id="29" w:name="page30"/>
    <w:bookmarkEnd w:id="29"/>
    <w:p>
      <w:pPr>
        <w:ind w:left="8780"/>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Form of Restricted Stock Agreement for Employees</w:t>
      </w:r>
    </w:p>
    <w:p>
      <w:pPr>
        <w:spacing w:after="0" w:line="46"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Annual Vesting Over Five Years</w:t>
      </w:r>
    </w:p>
    <w:p>
      <w:pPr>
        <w:spacing w:after="0" w:line="33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RESTRICTED STOCK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THIS RESTRICTED STOCK AGREEMENT </w:t>
      </w:r>
      <w:r>
        <w:rPr>
          <w:rFonts w:ascii="Arial" w:cs="Arial" w:eastAsia="Arial" w:hAnsi="Arial"/>
          <w:sz w:val="17"/>
          <w:szCs w:val="17"/>
          <w:color w:val="auto"/>
        </w:rPr>
        <w:t>(the “Award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dated as of ____________ (the “Award Date”), 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made by and between Integra LifeSciences Holdings Corporation</w:t>
      </w:r>
      <w:r>
        <w:rPr>
          <w:rFonts w:ascii="Arial" w:cs="Arial" w:eastAsia="Arial" w:hAnsi="Arial"/>
          <w:sz w:val="18"/>
          <w:szCs w:val="18"/>
          <w:b w:val="1"/>
          <w:bCs w:val="1"/>
          <w:color w:val="auto"/>
        </w:rPr>
        <w:t>,</w:t>
      </w:r>
      <w:r>
        <w:rPr>
          <w:rFonts w:ascii="Arial" w:cs="Arial" w:eastAsia="Arial" w:hAnsi="Arial"/>
          <w:sz w:val="18"/>
          <w:szCs w:val="18"/>
          <w:color w:val="auto"/>
        </w:rPr>
        <w:t xml:space="preserve"> a Delaware corporation (the “Company”),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 an employee of the Company (or one or more of its Related Corporations or Affiliates), hereinafter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referred to as the “Participant”:</w:t>
      </w:r>
    </w:p>
    <w:p>
      <w:pPr>
        <w:spacing w:after="0" w:line="99" w:lineRule="exact"/>
        <w:rPr>
          <w:sz w:val="20"/>
          <w:szCs w:val="20"/>
          <w:color w:val="auto"/>
        </w:rPr>
      </w:pPr>
    </w:p>
    <w:p>
      <w:pPr>
        <w:jc w:val="both"/>
        <w:ind w:right="199" w:firstLine="45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maintains the Integra LifeSciences Holdings Corporation</w:t>
      </w:r>
      <w:r>
        <w:rPr>
          <w:rFonts w:ascii="Arial" w:cs="Arial" w:eastAsia="Arial" w:hAnsi="Arial"/>
          <w:sz w:val="18"/>
          <w:szCs w:val="18"/>
          <w:b w:val="1"/>
          <w:bCs w:val="1"/>
          <w:color w:val="auto"/>
        </w:rPr>
        <w:t xml:space="preserve"> [2003] or [2001] </w:t>
      </w:r>
      <w:r>
        <w:rPr>
          <w:rFonts w:ascii="Arial" w:cs="Arial" w:eastAsia="Arial" w:hAnsi="Arial"/>
          <w:sz w:val="18"/>
          <w:szCs w:val="18"/>
          <w:color w:val="auto"/>
        </w:rPr>
        <w:t>Equity Incentive Plan,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(the “Plan”), and wishes to carry out the Plan, the terms of which are hereby incorporated by reference and made part of this Award Agreement; and</w:t>
      </w:r>
    </w:p>
    <w:p>
      <w:pPr>
        <w:spacing w:after="0" w:line="68" w:lineRule="exact"/>
        <w:rPr>
          <w:sz w:val="20"/>
          <w:szCs w:val="20"/>
          <w:color w:val="auto"/>
        </w:rPr>
      </w:pPr>
    </w:p>
    <w:p>
      <w:pPr>
        <w:ind w:right="419" w:firstLine="45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various covenants herein contained, and intending to be legally bound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agree as follows:</w:t>
      </w:r>
    </w:p>
    <w:p>
      <w:pPr>
        <w:spacing w:after="0" w:line="5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03" w:lineRule="exact"/>
        <w:rPr>
          <w:sz w:val="20"/>
          <w:szCs w:val="20"/>
          <w:color w:val="auto"/>
        </w:rPr>
      </w:pPr>
    </w:p>
    <w:p>
      <w:pPr>
        <w:ind w:right="179" w:firstLine="450"/>
        <w:spacing w:after="0" w:line="277" w:lineRule="auto"/>
        <w:rPr>
          <w:sz w:val="20"/>
          <w:szCs w:val="20"/>
          <w:color w:val="auto"/>
        </w:rPr>
      </w:pPr>
      <w:r>
        <w:rPr>
          <w:rFonts w:ascii="Arial" w:cs="Arial" w:eastAsia="Arial" w:hAnsi="Arial"/>
          <w:sz w:val="18"/>
          <w:szCs w:val="18"/>
          <w:color w:val="auto"/>
        </w:rPr>
        <w:t>Capitalized terms not otherwise defined below shall have the meaning set forth in the Plan. The masculine pronoun shall include the feminine and neuter, and the singular the plural, where the context so indicates.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6"/>
          <w:szCs w:val="16"/>
          <w:b w:val="1"/>
          <w:bCs w:val="1"/>
          <w:u w:val="single" w:color="auto"/>
          <w:color w:val="auto"/>
        </w:rPr>
        <w:t>Section 1.1</w:t>
      </w:r>
      <w:r>
        <w:rPr>
          <w:rFonts w:ascii="Arial" w:cs="Arial" w:eastAsia="Arial" w:hAnsi="Arial"/>
          <w:sz w:val="16"/>
          <w:szCs w:val="16"/>
          <w:b w:val="1"/>
          <w:bCs w:val="1"/>
          <w:color w:val="auto"/>
        </w:rPr>
        <w:t xml:space="preserve"> Restricted Stock. </w:t>
      </w:r>
      <w:r>
        <w:rPr>
          <w:rFonts w:ascii="Arial" w:cs="Arial" w:eastAsia="Arial" w:hAnsi="Arial"/>
          <w:sz w:val="16"/>
          <w:szCs w:val="16"/>
          <w:color w:val="auto"/>
        </w:rPr>
        <w:t>“Restricted Stock” shall mean ________ shares of Common Stock of the Company issued under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Award Agreement and subject to the Restrictions imposed hereunder.</w:t>
      </w:r>
    </w:p>
    <w:p>
      <w:pPr>
        <w:spacing w:after="0" w:line="99" w:lineRule="exact"/>
        <w:rPr>
          <w:sz w:val="20"/>
          <w:szCs w:val="20"/>
          <w:color w:val="auto"/>
        </w:rPr>
      </w:pPr>
    </w:p>
    <w:p>
      <w:pPr>
        <w:ind w:right="459" w:firstLine="225"/>
        <w:spacing w:after="0" w:line="282" w:lineRule="auto"/>
        <w:rPr>
          <w:sz w:val="20"/>
          <w:szCs w:val="20"/>
          <w:color w:val="auto"/>
        </w:rPr>
      </w:pPr>
      <w:r>
        <w:rPr>
          <w:rFonts w:ascii="Arial" w:cs="Arial" w:eastAsia="Arial" w:hAnsi="Arial"/>
          <w:sz w:val="18"/>
          <w:szCs w:val="18"/>
          <w:b w:val="1"/>
          <w:bCs w:val="1"/>
          <w:u w:val="single" w:color="auto"/>
          <w:color w:val="auto"/>
        </w:rPr>
        <w:t>Section 1.2</w:t>
      </w:r>
      <w:r>
        <w:rPr>
          <w:rFonts w:ascii="Arial" w:cs="Arial" w:eastAsia="Arial" w:hAnsi="Arial"/>
          <w:sz w:val="18"/>
          <w:szCs w:val="18"/>
          <w:b w:val="1"/>
          <w:bCs w:val="1"/>
          <w:color w:val="auto"/>
        </w:rPr>
        <w:t xml:space="preserve"> Restrictions. </w:t>
      </w:r>
      <w:r>
        <w:rPr>
          <w:rFonts w:ascii="Arial" w:cs="Arial" w:eastAsia="Arial" w:hAnsi="Arial"/>
          <w:sz w:val="18"/>
          <w:szCs w:val="18"/>
          <w:color w:val="auto"/>
        </w:rPr>
        <w:t>“Restrictions” shall mean the forfeiture and transferability restrictions imposed upon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and this Award Agreement.</w:t>
      </w:r>
    </w:p>
    <w:p>
      <w:pPr>
        <w:spacing w:after="0" w:line="54" w:lineRule="exact"/>
        <w:rPr>
          <w:sz w:val="20"/>
          <w:szCs w:val="20"/>
          <w:color w:val="auto"/>
        </w:rPr>
      </w:pPr>
    </w:p>
    <w:p>
      <w:pPr>
        <w:ind w:right="339" w:firstLine="225"/>
        <w:spacing w:after="0" w:line="282" w:lineRule="auto"/>
        <w:rPr>
          <w:sz w:val="20"/>
          <w:szCs w:val="20"/>
          <w:color w:val="auto"/>
        </w:rPr>
      </w:pPr>
      <w:r>
        <w:rPr>
          <w:rFonts w:ascii="Arial" w:cs="Arial" w:eastAsia="Arial" w:hAnsi="Arial"/>
          <w:sz w:val="18"/>
          <w:szCs w:val="18"/>
          <w:b w:val="1"/>
          <w:bCs w:val="1"/>
          <w:u w:val="single" w:color="auto"/>
          <w:color w:val="auto"/>
        </w:rPr>
        <w:t>Section 1.3</w:t>
      </w:r>
      <w:r>
        <w:rPr>
          <w:rFonts w:ascii="Arial" w:cs="Arial" w:eastAsia="Arial" w:hAnsi="Arial"/>
          <w:sz w:val="18"/>
          <w:szCs w:val="18"/>
          <w:b w:val="1"/>
          <w:bCs w:val="1"/>
          <w:color w:val="auto"/>
        </w:rPr>
        <w:t xml:space="preserve"> Rule 16b-3. </w:t>
      </w:r>
      <w:r>
        <w:rPr>
          <w:rFonts w:ascii="Arial" w:cs="Arial" w:eastAsia="Arial" w:hAnsi="Arial"/>
          <w:sz w:val="18"/>
          <w:szCs w:val="18"/>
          <w:color w:val="auto"/>
        </w:rPr>
        <w:t>“Rule 16b-3” shall mean that certain Rule 16b-3 under the Exchange Act, as such Rule may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Section 1.4</w:t>
      </w:r>
      <w:r>
        <w:rPr>
          <w:rFonts w:ascii="Arial" w:cs="Arial" w:eastAsia="Arial" w:hAnsi="Arial"/>
          <w:sz w:val="18"/>
          <w:szCs w:val="18"/>
          <w:b w:val="1"/>
          <w:bCs w:val="1"/>
          <w:color w:val="auto"/>
        </w:rPr>
        <w:t xml:space="preserve"> Secretary. </w:t>
      </w:r>
      <w:r>
        <w:rPr>
          <w:rFonts w:ascii="Arial" w:cs="Arial" w:eastAsia="Arial" w:hAnsi="Arial"/>
          <w:sz w:val="18"/>
          <w:szCs w:val="18"/>
          <w:color w:val="auto"/>
        </w:rPr>
        <w:t>“Secretary” shall mean the Secretary of the Company.</w:t>
      </w:r>
    </w:p>
    <w:p>
      <w:pPr>
        <w:spacing w:after="0" w:line="117" w:lineRule="exact"/>
        <w:rPr>
          <w:sz w:val="20"/>
          <w:szCs w:val="20"/>
          <w:color w:val="auto"/>
        </w:rPr>
      </w:pPr>
    </w:p>
    <w:p>
      <w:pPr>
        <w:ind w:right="179" w:firstLine="225"/>
        <w:spacing w:after="0" w:line="277" w:lineRule="auto"/>
        <w:rPr>
          <w:sz w:val="20"/>
          <w:szCs w:val="20"/>
          <w:color w:val="auto"/>
        </w:rPr>
      </w:pPr>
      <w:r>
        <w:rPr>
          <w:rFonts w:ascii="Arial" w:cs="Arial" w:eastAsia="Arial" w:hAnsi="Arial"/>
          <w:sz w:val="17"/>
          <w:szCs w:val="17"/>
          <w:b w:val="1"/>
          <w:bCs w:val="1"/>
          <w:u w:val="single" w:color="auto"/>
          <w:color w:val="auto"/>
        </w:rPr>
        <w:t>Section 1.5</w:t>
      </w:r>
      <w:r>
        <w:rPr>
          <w:rFonts w:ascii="Arial" w:cs="Arial" w:eastAsia="Arial" w:hAnsi="Arial"/>
          <w:sz w:val="17"/>
          <w:szCs w:val="17"/>
          <w:b w:val="1"/>
          <w:bCs w:val="1"/>
          <w:color w:val="auto"/>
        </w:rPr>
        <w:t xml:space="preserve"> Termination of Service. </w:t>
      </w:r>
      <w:r>
        <w:rPr>
          <w:rFonts w:ascii="Arial" w:cs="Arial" w:eastAsia="Arial" w:hAnsi="Arial"/>
          <w:sz w:val="17"/>
          <w:szCs w:val="17"/>
          <w:color w:val="auto"/>
        </w:rPr>
        <w:t>“Termination of Service” shall mean the time when the Participant ceases to provide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Company and its Related Corporations and Affiliates as an employee or Associate for any reason with or without cause, including, but not by way of limitation, a termination by resignation, discharge, death, or Disability, but excluding a termination where the Participant is simultaneously reemployed by, or remains employed by, or continues to provide services to, the Company and/or one or more of its Related Corporations and Affiliates or a successor entity thereto.</w:t>
      </w:r>
    </w:p>
    <w:p>
      <w:pPr>
        <w:spacing w:after="0" w:line="60" w:lineRule="exact"/>
        <w:rPr>
          <w:sz w:val="20"/>
          <w:szCs w:val="20"/>
          <w:color w:val="auto"/>
        </w:rPr>
      </w:pPr>
    </w:p>
    <w:p>
      <w:pPr>
        <w:ind w:right="979" w:firstLine="225"/>
        <w:spacing w:after="0" w:line="282" w:lineRule="auto"/>
        <w:rPr>
          <w:sz w:val="20"/>
          <w:szCs w:val="20"/>
          <w:color w:val="auto"/>
        </w:rPr>
      </w:pPr>
      <w:r>
        <w:rPr>
          <w:rFonts w:ascii="Arial" w:cs="Arial" w:eastAsia="Arial" w:hAnsi="Arial"/>
          <w:sz w:val="18"/>
          <w:szCs w:val="18"/>
          <w:b w:val="1"/>
          <w:bCs w:val="1"/>
          <w:u w:val="single" w:color="auto"/>
          <w:color w:val="auto"/>
        </w:rPr>
        <w:t>Section 1.6</w:t>
      </w:r>
      <w:r>
        <w:rPr>
          <w:rFonts w:ascii="Arial" w:cs="Arial" w:eastAsia="Arial" w:hAnsi="Arial"/>
          <w:sz w:val="18"/>
          <w:szCs w:val="18"/>
          <w:b w:val="1"/>
          <w:bCs w:val="1"/>
          <w:color w:val="auto"/>
        </w:rPr>
        <w:t xml:space="preserve"> Vested Shares. </w:t>
      </w:r>
      <w:r>
        <w:rPr>
          <w:rFonts w:ascii="Arial" w:cs="Arial" w:eastAsia="Arial" w:hAnsi="Arial"/>
          <w:sz w:val="18"/>
          <w:szCs w:val="18"/>
          <w:color w:val="auto"/>
        </w:rPr>
        <w:t>“Vested Shares” shall mean the shares of Restricted Stock which are no longer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by reason of Section 3.2.</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30" w:name="page31"/>
    <w:bookmarkEnd w:id="30"/>
    <w:p>
      <w:pPr>
        <w:ind w:right="479" w:firstLine="225"/>
        <w:spacing w:after="0" w:line="282" w:lineRule="auto"/>
        <w:rPr>
          <w:sz w:val="20"/>
          <w:szCs w:val="20"/>
          <w:color w:val="auto"/>
        </w:rPr>
      </w:pPr>
      <w:r>
        <w:rPr>
          <w:rFonts w:ascii="Arial" w:cs="Arial" w:eastAsia="Arial" w:hAnsi="Arial"/>
          <w:sz w:val="18"/>
          <w:szCs w:val="18"/>
          <w:b w:val="1"/>
          <w:bCs w:val="1"/>
          <w:u w:val="single" w:color="auto"/>
          <w:color w:val="auto"/>
        </w:rPr>
        <w:t>Section 1.7</w:t>
      </w:r>
      <w:r>
        <w:rPr>
          <w:rFonts w:ascii="Arial" w:cs="Arial" w:eastAsia="Arial" w:hAnsi="Arial"/>
          <w:sz w:val="18"/>
          <w:szCs w:val="18"/>
          <w:b w:val="1"/>
          <w:bCs w:val="1"/>
          <w:color w:val="auto"/>
        </w:rPr>
        <w:t xml:space="preserve"> Vesting Date. </w:t>
      </w:r>
      <w:r>
        <w:rPr>
          <w:rFonts w:ascii="Arial" w:cs="Arial" w:eastAsia="Arial" w:hAnsi="Arial"/>
          <w:sz w:val="18"/>
          <w:szCs w:val="18"/>
          <w:color w:val="auto"/>
        </w:rPr>
        <w:t>“Vesting Date” shall mean each of the first, second, third, fourth and fifth anniversaries of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ISSUANCE OF RESTRICTED STOCK</w:t>
      </w:r>
    </w:p>
    <w:p>
      <w:pPr>
        <w:spacing w:after="0" w:line="99" w:lineRule="exact"/>
        <w:rPr>
          <w:sz w:val="20"/>
          <w:szCs w:val="20"/>
          <w:color w:val="auto"/>
        </w:rPr>
      </w:pPr>
    </w:p>
    <w:p>
      <w:pPr>
        <w:ind w:right="199" w:firstLine="225"/>
        <w:spacing w:after="0" w:line="256" w:lineRule="auto"/>
        <w:rPr>
          <w:sz w:val="20"/>
          <w:szCs w:val="20"/>
          <w:color w:val="auto"/>
        </w:rPr>
      </w:pPr>
      <w:r>
        <w:rPr>
          <w:rFonts w:ascii="Arial" w:cs="Arial" w:eastAsia="Arial" w:hAnsi="Arial"/>
          <w:sz w:val="18"/>
          <w:szCs w:val="18"/>
          <w:b w:val="1"/>
          <w:bCs w:val="1"/>
          <w:u w:val="single" w:color="auto"/>
          <w:color w:val="auto"/>
        </w:rPr>
        <w:t>Section 2.1</w:t>
      </w:r>
      <w:r>
        <w:rPr>
          <w:rFonts w:ascii="Arial" w:cs="Arial" w:eastAsia="Arial" w:hAnsi="Arial"/>
          <w:sz w:val="18"/>
          <w:szCs w:val="18"/>
          <w:b w:val="1"/>
          <w:bCs w:val="1"/>
          <w:color w:val="auto"/>
        </w:rPr>
        <w:t xml:space="preserve"> Issuance of Restricted Stock. </w:t>
      </w:r>
      <w:r>
        <w:rPr>
          <w:rFonts w:ascii="Arial" w:cs="Arial" w:eastAsia="Arial" w:hAnsi="Arial"/>
          <w:sz w:val="18"/>
          <w:szCs w:val="18"/>
          <w:color w:val="auto"/>
        </w:rPr>
        <w:t>On the date hereof the Company issues to the Participant the Restricted Stock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Restrictions and other conditions set forth in this Award Agreement. The Company shall cause the Restricted Stock to be issued in the name of the Participant or held in book entry form, but if a stock certificate is issued it shall be delivered to and held in custody by the Company until the Restrictions lapse or such Restricted Stock is forfeited. As a further condition to the Company’s obligations under this Award Agreement, the Participant’s spouse, if any, shall execute and deliver to the Company the Consent of Spouse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80" w:lineRule="exact"/>
        <w:rPr>
          <w:sz w:val="20"/>
          <w:szCs w:val="20"/>
          <w:color w:val="auto"/>
        </w:rPr>
      </w:pPr>
    </w:p>
    <w:p>
      <w:pPr>
        <w:ind w:right="519" w:firstLine="225"/>
        <w:spacing w:after="0" w:line="313" w:lineRule="auto"/>
        <w:rPr>
          <w:sz w:val="20"/>
          <w:szCs w:val="20"/>
          <w:color w:val="auto"/>
        </w:rPr>
      </w:pPr>
      <w:r>
        <w:rPr>
          <w:rFonts w:ascii="Arial" w:cs="Arial" w:eastAsia="Arial" w:hAnsi="Arial"/>
          <w:sz w:val="17"/>
          <w:szCs w:val="17"/>
          <w:b w:val="1"/>
          <w:bCs w:val="1"/>
          <w:u w:val="single" w:color="auto"/>
          <w:color w:val="auto"/>
        </w:rPr>
        <w:t>Section 2.2</w:t>
      </w:r>
      <w:r>
        <w:rPr>
          <w:rFonts w:ascii="Arial" w:cs="Arial" w:eastAsia="Arial" w:hAnsi="Arial"/>
          <w:sz w:val="17"/>
          <w:szCs w:val="17"/>
          <w:b w:val="1"/>
          <w:bCs w:val="1"/>
          <w:color w:val="auto"/>
        </w:rPr>
        <w:t xml:space="preserve"> Restrictions. </w:t>
      </w:r>
      <w:r>
        <w:rPr>
          <w:rFonts w:ascii="Arial" w:cs="Arial" w:eastAsia="Arial" w:hAnsi="Arial"/>
          <w:sz w:val="17"/>
          <w:szCs w:val="17"/>
          <w:color w:val="auto"/>
        </w:rPr>
        <w:t>Until vested pursuant to Section 3.2, the Restricted Stock shall be subject to forfeiture as provided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3.1 and may not be sold, assigned, transferred, pledged, or otherwise encumbered or disposed of.</w:t>
      </w:r>
    </w:p>
    <w:p>
      <w:pPr>
        <w:spacing w:after="0" w:line="30" w:lineRule="exact"/>
        <w:rPr>
          <w:sz w:val="20"/>
          <w:szCs w:val="20"/>
          <w:color w:val="auto"/>
        </w:rPr>
      </w:pPr>
    </w:p>
    <w:p>
      <w:pPr>
        <w:ind w:right="319" w:firstLine="225"/>
        <w:spacing w:after="0" w:line="289" w:lineRule="auto"/>
        <w:rPr>
          <w:sz w:val="20"/>
          <w:szCs w:val="20"/>
          <w:color w:val="auto"/>
        </w:rPr>
      </w:pPr>
      <w:r>
        <w:rPr>
          <w:rFonts w:ascii="Arial" w:cs="Arial" w:eastAsia="Arial" w:hAnsi="Arial"/>
          <w:sz w:val="17"/>
          <w:szCs w:val="17"/>
          <w:b w:val="1"/>
          <w:bCs w:val="1"/>
          <w:u w:val="single" w:color="auto"/>
          <w:color w:val="auto"/>
        </w:rPr>
        <w:t>Section 2.3</w:t>
      </w:r>
      <w:r>
        <w:rPr>
          <w:rFonts w:ascii="Arial" w:cs="Arial" w:eastAsia="Arial" w:hAnsi="Arial"/>
          <w:sz w:val="17"/>
          <w:szCs w:val="17"/>
          <w:b w:val="1"/>
          <w:bCs w:val="1"/>
          <w:color w:val="auto"/>
        </w:rPr>
        <w:t xml:space="preserve"> Voting and Dividend Rights</w:t>
      </w:r>
      <w:r>
        <w:rPr>
          <w:rFonts w:ascii="Arial" w:cs="Arial" w:eastAsia="Arial" w:hAnsi="Arial"/>
          <w:sz w:val="17"/>
          <w:szCs w:val="17"/>
          <w:color w:val="auto"/>
        </w:rPr>
        <w:t>. The Participant shall have all the rights of a stockholder with respect to his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including the right to vote the Restricted Stock, except that the Participant shall have the right to receive all dividends or other distributions paid or made with respect to only those outstanding vested shares of Common Stock.</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RESTRICTIONS</w:t>
      </w:r>
    </w:p>
    <w:p>
      <w:pPr>
        <w:spacing w:after="0" w:line="99" w:lineRule="exact"/>
        <w:rPr>
          <w:sz w:val="20"/>
          <w:szCs w:val="20"/>
          <w:color w:val="auto"/>
        </w:rPr>
      </w:pPr>
    </w:p>
    <w:p>
      <w:pPr>
        <w:ind w:right="259" w:firstLine="225"/>
        <w:spacing w:after="0" w:line="261" w:lineRule="auto"/>
        <w:rPr>
          <w:sz w:val="20"/>
          <w:szCs w:val="20"/>
          <w:color w:val="auto"/>
        </w:rPr>
      </w:pPr>
      <w:r>
        <w:rPr>
          <w:rFonts w:ascii="Arial" w:cs="Arial" w:eastAsia="Arial" w:hAnsi="Arial"/>
          <w:sz w:val="18"/>
          <w:szCs w:val="18"/>
          <w:b w:val="1"/>
          <w:bCs w:val="1"/>
          <w:u w:val="single" w:color="auto"/>
          <w:color w:val="auto"/>
        </w:rPr>
        <w:t>Section 3.1</w:t>
      </w:r>
      <w:r>
        <w:rPr>
          <w:rFonts w:ascii="Arial" w:cs="Arial" w:eastAsia="Arial" w:hAnsi="Arial"/>
          <w:sz w:val="18"/>
          <w:szCs w:val="18"/>
          <w:b w:val="1"/>
          <w:bCs w:val="1"/>
          <w:color w:val="auto"/>
        </w:rPr>
        <w:t xml:space="preserve"> Forfeiture. </w:t>
      </w:r>
      <w:r>
        <w:rPr>
          <w:rFonts w:ascii="Arial" w:cs="Arial" w:eastAsia="Arial" w:hAnsi="Arial"/>
          <w:sz w:val="18"/>
          <w:szCs w:val="18"/>
          <w:color w:val="auto"/>
        </w:rPr>
        <w:t>Upon the Participant’s Termination of Service, the Participant’s rights in Restricted Stock that has not yet</w:t>
      </w:r>
      <w:r>
        <w:rPr>
          <w:rFonts w:ascii="Arial" w:cs="Arial" w:eastAsia="Arial" w:hAnsi="Arial"/>
          <w:sz w:val="18"/>
          <w:szCs w:val="18"/>
          <w:b w:val="1"/>
          <w:bCs w:val="1"/>
          <w:color w:val="auto"/>
        </w:rPr>
        <w:t xml:space="preserve"> </w:t>
      </w:r>
      <w:r>
        <w:rPr>
          <w:rFonts w:ascii="Arial" w:cs="Arial" w:eastAsia="Arial" w:hAnsi="Arial"/>
          <w:sz w:val="18"/>
          <w:szCs w:val="18"/>
          <w:color w:val="auto"/>
        </w:rPr>
        <w:t>vested pursuant to Section 3.2 shall lapse, and such Restricted Stock shall be surrendered to the Company without consideration (and, in the event of certificates representing such Restricted Stock are held by the Company, such Restricted Stock shall be so transferred without any further action by the Participant).</w:t>
      </w:r>
    </w:p>
    <w:p>
      <w:pPr>
        <w:spacing w:after="0" w:line="72" w:lineRule="exact"/>
        <w:rPr>
          <w:sz w:val="20"/>
          <w:szCs w:val="20"/>
          <w:color w:val="auto"/>
        </w:rPr>
      </w:pPr>
    </w:p>
    <w:p>
      <w:pPr>
        <w:jc w:val="both"/>
        <w:ind w:right="259" w:firstLine="225"/>
        <w:spacing w:after="0" w:line="281" w:lineRule="auto"/>
        <w:rPr>
          <w:sz w:val="20"/>
          <w:szCs w:val="20"/>
          <w:color w:val="auto"/>
        </w:rPr>
      </w:pPr>
      <w:r>
        <w:rPr>
          <w:rFonts w:ascii="Arial" w:cs="Arial" w:eastAsia="Arial" w:hAnsi="Arial"/>
          <w:sz w:val="17"/>
          <w:szCs w:val="17"/>
          <w:b w:val="1"/>
          <w:bCs w:val="1"/>
          <w:u w:val="single" w:color="auto"/>
          <w:color w:val="auto"/>
        </w:rPr>
        <w:t>Section 3.2</w:t>
      </w:r>
      <w:r>
        <w:rPr>
          <w:rFonts w:ascii="Arial" w:cs="Arial" w:eastAsia="Arial" w:hAnsi="Arial"/>
          <w:sz w:val="17"/>
          <w:szCs w:val="17"/>
          <w:b w:val="1"/>
          <w:bCs w:val="1"/>
          <w:color w:val="auto"/>
        </w:rPr>
        <w:t xml:space="preserve"> Termination of Restrictions. </w:t>
      </w:r>
      <w:r>
        <w:rPr>
          <w:rFonts w:ascii="Arial" w:cs="Arial" w:eastAsia="Arial" w:hAnsi="Arial"/>
          <w:sz w:val="17"/>
          <w:szCs w:val="17"/>
          <w:color w:val="auto"/>
        </w:rPr>
        <w:t>The Restrictions shall terminate and lapse, and such shares shall vest in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and become Vested Shares on each Vesting Date as provided in Section 3.3, provided that the Participant has continued to serve as an employee or an Associate from the Award Date to and including such Vesting Date. Notwithstanding the foregoing, upon a Change in Control, all Restrictions shall lapse and all Restricted Stock shall become Vested Shares.</w:t>
      </w:r>
    </w:p>
    <w:p>
      <w:pPr>
        <w:spacing w:after="0" w:line="57" w:lineRule="exact"/>
        <w:rPr>
          <w:sz w:val="20"/>
          <w:szCs w:val="20"/>
          <w:color w:val="auto"/>
        </w:rPr>
      </w:pPr>
    </w:p>
    <w:p>
      <w:pPr>
        <w:ind w:right="259" w:firstLine="225"/>
        <w:spacing w:after="0" w:line="298" w:lineRule="auto"/>
        <w:rPr>
          <w:sz w:val="20"/>
          <w:szCs w:val="20"/>
          <w:color w:val="auto"/>
        </w:rPr>
      </w:pPr>
      <w:r>
        <w:rPr>
          <w:rFonts w:ascii="Arial" w:cs="Arial" w:eastAsia="Arial" w:hAnsi="Arial"/>
          <w:sz w:val="16"/>
          <w:szCs w:val="16"/>
          <w:b w:val="1"/>
          <w:bCs w:val="1"/>
          <w:u w:val="single" w:color="auto"/>
          <w:color w:val="auto"/>
        </w:rPr>
        <w:t>Section 3.3</w:t>
      </w:r>
      <w:r>
        <w:rPr>
          <w:rFonts w:ascii="Arial" w:cs="Arial" w:eastAsia="Arial" w:hAnsi="Arial"/>
          <w:sz w:val="16"/>
          <w:szCs w:val="16"/>
          <w:b w:val="1"/>
          <w:bCs w:val="1"/>
          <w:color w:val="auto"/>
        </w:rPr>
        <w:t xml:space="preserve"> Lapse of Restrictions. </w:t>
      </w:r>
      <w:r>
        <w:rPr>
          <w:rFonts w:ascii="Arial" w:cs="Arial" w:eastAsia="Arial" w:hAnsi="Arial"/>
          <w:sz w:val="16"/>
          <w:szCs w:val="16"/>
          <w:color w:val="auto"/>
        </w:rPr>
        <w:t>Twenty percent (20%) of the shares of Restricted Stock shall become Vested Shares on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five Vesting Dates. On each Vesting Date, the Company shall issue new certificates evidencing the Vested Shares or record such Vested Shares in book entry form, free from the legend provided for in Section 4.2 and any of the other Restrictions; provided, however, such certificates shall bear any other legends and such book entry accounts shall be subject to any other restrictions as the Company may determine are required to comply with Section 4.6. Such Vested Shares shall cease to be considered Restricted</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1" w:name="page32"/>
    <w:bookmarkEnd w:id="31"/>
    <w:p>
      <w:pPr>
        <w:ind w:right="199"/>
        <w:spacing w:after="0" w:line="279" w:lineRule="auto"/>
        <w:rPr>
          <w:sz w:val="20"/>
          <w:szCs w:val="20"/>
          <w:color w:val="auto"/>
        </w:rPr>
      </w:pPr>
      <w:r>
        <w:rPr>
          <w:rFonts w:ascii="Arial" w:cs="Arial" w:eastAsia="Arial" w:hAnsi="Arial"/>
          <w:sz w:val="17"/>
          <w:szCs w:val="17"/>
          <w:color w:val="auto"/>
        </w:rPr>
        <w:t>Stock subject to the terms and conditions of this Award Agreement. Notwithstanding the foregoing, no such new certificate shall be delivered to the Participant or his legal representative unless and until the Participant or his legal representative shall have satisfied the full amount of all federal, state and local withholding or other employment taxes applicable to the taxable income of the Participant resulting from the lapse of the Restrictions in accordance with Section 4.3.</w:t>
      </w: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99" w:lineRule="exact"/>
        <w:rPr>
          <w:sz w:val="20"/>
          <w:szCs w:val="20"/>
          <w:color w:val="auto"/>
        </w:rPr>
      </w:pPr>
    </w:p>
    <w:p>
      <w:pPr>
        <w:jc w:val="both"/>
        <w:ind w:right="479" w:firstLine="225"/>
        <w:spacing w:after="0" w:line="266" w:lineRule="auto"/>
        <w:rPr>
          <w:sz w:val="20"/>
          <w:szCs w:val="20"/>
          <w:color w:val="auto"/>
        </w:rPr>
      </w:pPr>
      <w:r>
        <w:rPr>
          <w:rFonts w:ascii="Arial" w:cs="Arial" w:eastAsia="Arial" w:hAnsi="Arial"/>
          <w:sz w:val="18"/>
          <w:szCs w:val="18"/>
          <w:b w:val="1"/>
          <w:bCs w:val="1"/>
          <w:u w:val="single" w:color="auto"/>
          <w:color w:val="auto"/>
        </w:rPr>
        <w:t>Section 4.1</w:t>
      </w:r>
      <w:r>
        <w:rPr>
          <w:rFonts w:ascii="Arial" w:cs="Arial" w:eastAsia="Arial" w:hAnsi="Arial"/>
          <w:sz w:val="18"/>
          <w:szCs w:val="18"/>
          <w:b w:val="1"/>
          <w:bCs w:val="1"/>
          <w:color w:val="auto"/>
        </w:rPr>
        <w:t xml:space="preserve"> No Additional Rights. </w:t>
      </w:r>
      <w:r>
        <w:rPr>
          <w:rFonts w:ascii="Arial" w:cs="Arial" w:eastAsia="Arial" w:hAnsi="Arial"/>
          <w:sz w:val="18"/>
          <w:szCs w:val="18"/>
          <w:color w:val="auto"/>
        </w:rPr>
        <w:t>Nothing in this Award Agreement or in the Plan shall confer upon any person any right to a</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 as an Associate or continued employment by the Company or any of its Related Corporations or Affiliates or affect in any way the right of any of the foregoing to terminate the services of an individual at any time.</w:t>
      </w:r>
    </w:p>
    <w:p>
      <w:pPr>
        <w:spacing w:after="0" w:line="68" w:lineRule="exact"/>
        <w:rPr>
          <w:sz w:val="20"/>
          <w:szCs w:val="20"/>
          <w:color w:val="auto"/>
        </w:rPr>
      </w:pPr>
    </w:p>
    <w:p>
      <w:pPr>
        <w:ind w:right="319" w:firstLine="225"/>
        <w:spacing w:after="0" w:line="313" w:lineRule="auto"/>
        <w:rPr>
          <w:sz w:val="20"/>
          <w:szCs w:val="20"/>
          <w:color w:val="auto"/>
        </w:rPr>
      </w:pPr>
      <w:r>
        <w:rPr>
          <w:rFonts w:ascii="Arial" w:cs="Arial" w:eastAsia="Arial" w:hAnsi="Arial"/>
          <w:sz w:val="17"/>
          <w:szCs w:val="17"/>
          <w:b w:val="1"/>
          <w:bCs w:val="1"/>
          <w:u w:val="single" w:color="auto"/>
          <w:color w:val="auto"/>
        </w:rPr>
        <w:t>Section 4.2</w:t>
      </w:r>
      <w:r>
        <w:rPr>
          <w:rFonts w:ascii="Arial" w:cs="Arial" w:eastAsia="Arial" w:hAnsi="Arial"/>
          <w:sz w:val="17"/>
          <w:szCs w:val="17"/>
          <w:b w:val="1"/>
          <w:bCs w:val="1"/>
          <w:color w:val="auto"/>
        </w:rPr>
        <w:t xml:space="preserve"> Legend. </w:t>
      </w:r>
      <w:r>
        <w:rPr>
          <w:rFonts w:ascii="Arial" w:cs="Arial" w:eastAsia="Arial" w:hAnsi="Arial"/>
          <w:sz w:val="17"/>
          <w:szCs w:val="17"/>
          <w:color w:val="auto"/>
        </w:rPr>
        <w:t>Any certificates representing shares of Restricted Stock issued pursuant to this Award Agreement shall, until</w:t>
      </w:r>
      <w:r>
        <w:rPr>
          <w:rFonts w:ascii="Arial" w:cs="Arial" w:eastAsia="Arial" w:hAnsi="Arial"/>
          <w:sz w:val="17"/>
          <w:szCs w:val="17"/>
          <w:b w:val="1"/>
          <w:bCs w:val="1"/>
          <w:color w:val="auto"/>
        </w:rPr>
        <w:t xml:space="preserve"> </w:t>
      </w:r>
      <w:r>
        <w:rPr>
          <w:rFonts w:ascii="Arial" w:cs="Arial" w:eastAsia="Arial" w:hAnsi="Arial"/>
          <w:sz w:val="17"/>
          <w:szCs w:val="17"/>
          <w:color w:val="auto"/>
        </w:rPr>
        <w:t>all Restrictions lapse and new certificates are issued pursuant to Section 3.3, bear the following legend:</w:t>
      </w:r>
    </w:p>
    <w:p>
      <w:pPr>
        <w:spacing w:after="0" w:line="34" w:lineRule="exact"/>
        <w:rPr>
          <w:sz w:val="20"/>
          <w:szCs w:val="20"/>
          <w:color w:val="auto"/>
        </w:rPr>
      </w:pPr>
    </w:p>
    <w:p>
      <w:pPr>
        <w:ind w:left="180" w:right="259" w:firstLine="222"/>
        <w:spacing w:after="0" w:line="255" w:lineRule="auto"/>
        <w:rPr>
          <w:sz w:val="20"/>
          <w:szCs w:val="20"/>
          <w:color w:val="auto"/>
        </w:rPr>
      </w:pPr>
      <w:r>
        <w:rPr>
          <w:rFonts w:ascii="Arial" w:cs="Arial" w:eastAsia="Arial" w:hAnsi="Arial"/>
          <w:sz w:val="18"/>
          <w:szCs w:val="18"/>
          <w:color w:val="auto"/>
        </w:rPr>
        <w:t>THE SECURITIES REPRESENTED BY THIS CERTIFICATE ARE SUBJECT TO CERTAIN VESTING REQUIREMENTS AND MAY BE SUBJECT TO FORFEITURE UNDER THE TERMS OF THAT CERTAIN RESTRICTED STOCK AGREEMENT BY AND BETWEEN INTEGRA LIFESCIENCES HOLDINGS CORPORATION AND THE HOLDER OF THE SECURITIES. PRIOR TO VESTING OF OWNERSHIP IN THE SECURITIES, THEY MAY NOT BE, SOLD, ASSIGNED, TRANSFERRED, PLEDGED, OR OTHERWISE ENCUMBERED OR DISPOSED OF UNDER ANY CIRCUMSTANCES. COPIES OF THE ABOVE REFERENCED AGREEMENT ARE ON FILE AT THE OFFICES OF THE CORPORATION AT 311 ENTERPRISE DRIVE, PLAINSBORO, NEW JERSEY 08536.</w:t>
      </w:r>
    </w:p>
    <w:p>
      <w:pPr>
        <w:spacing w:after="0" w:line="77" w:lineRule="exact"/>
        <w:rPr>
          <w:sz w:val="20"/>
          <w:szCs w:val="20"/>
          <w:color w:val="auto"/>
        </w:rPr>
      </w:pPr>
    </w:p>
    <w:p>
      <w:pPr>
        <w:ind w:right="239" w:firstLine="225"/>
        <w:spacing w:after="0" w:line="303" w:lineRule="auto"/>
        <w:rPr>
          <w:sz w:val="20"/>
          <w:szCs w:val="20"/>
          <w:color w:val="auto"/>
        </w:rPr>
      </w:pPr>
      <w:r>
        <w:rPr>
          <w:rFonts w:ascii="Arial" w:cs="Arial" w:eastAsia="Arial" w:hAnsi="Arial"/>
          <w:sz w:val="16"/>
          <w:szCs w:val="16"/>
          <w:b w:val="1"/>
          <w:bCs w:val="1"/>
          <w:u w:val="single" w:color="auto"/>
          <w:color w:val="auto"/>
        </w:rPr>
        <w:t>Section 4.3</w:t>
      </w:r>
      <w:r>
        <w:rPr>
          <w:rFonts w:ascii="Arial" w:cs="Arial" w:eastAsia="Arial" w:hAnsi="Arial"/>
          <w:sz w:val="16"/>
          <w:szCs w:val="16"/>
          <w:b w:val="1"/>
          <w:bCs w:val="1"/>
          <w:color w:val="auto"/>
        </w:rPr>
        <w:t xml:space="preserve"> Tax Withholding. </w:t>
      </w:r>
      <w:r>
        <w:rPr>
          <w:rFonts w:ascii="Arial" w:cs="Arial" w:eastAsia="Arial" w:hAnsi="Arial"/>
          <w:sz w:val="16"/>
          <w:szCs w:val="16"/>
          <w:color w:val="auto"/>
        </w:rPr>
        <w:t>On each Vesting Date, the Company shall notify the Participant of the amount of tax which must be</w:t>
      </w:r>
      <w:r>
        <w:rPr>
          <w:rFonts w:ascii="Arial" w:cs="Arial" w:eastAsia="Arial" w:hAnsi="Arial"/>
          <w:sz w:val="16"/>
          <w:szCs w:val="16"/>
          <w:b w:val="1"/>
          <w:bCs w:val="1"/>
          <w:color w:val="auto"/>
        </w:rPr>
        <w:t xml:space="preserve"> </w:t>
      </w:r>
      <w:r>
        <w:rPr>
          <w:rFonts w:ascii="Arial" w:cs="Arial" w:eastAsia="Arial" w:hAnsi="Arial"/>
          <w:sz w:val="16"/>
          <w:szCs w:val="16"/>
          <w:color w:val="auto"/>
        </w:rPr>
        <w:t>withheld by the Company under all applicable federal, state and local tax laws. Subject to any applicable legal conditions or restrictions, the Company shall withhold from the shares of Restricted Stock a number of whole shares of common stock having a fair market value, determined as of each Vesting Date, not in excess of the minimum of tax required to be withheld by law.</w:t>
      </w:r>
    </w:p>
    <w:p>
      <w:pPr>
        <w:spacing w:after="0" w:line="43" w:lineRule="exact"/>
        <w:rPr>
          <w:sz w:val="20"/>
          <w:szCs w:val="20"/>
          <w:color w:val="auto"/>
        </w:rPr>
      </w:pPr>
    </w:p>
    <w:p>
      <w:pPr>
        <w:ind w:right="259" w:firstLine="225"/>
        <w:spacing w:after="0" w:line="273" w:lineRule="auto"/>
        <w:rPr>
          <w:sz w:val="20"/>
          <w:szCs w:val="20"/>
          <w:color w:val="auto"/>
        </w:rPr>
      </w:pPr>
      <w:r>
        <w:rPr>
          <w:rFonts w:ascii="Arial" w:cs="Arial" w:eastAsia="Arial" w:hAnsi="Arial"/>
          <w:sz w:val="17"/>
          <w:szCs w:val="17"/>
          <w:b w:val="1"/>
          <w:bCs w:val="1"/>
          <w:u w:val="single" w:color="auto"/>
          <w:color w:val="auto"/>
        </w:rPr>
        <w:t>Section 4.4</w:t>
      </w:r>
      <w:r>
        <w:rPr>
          <w:rFonts w:ascii="Arial" w:cs="Arial" w:eastAsia="Arial" w:hAnsi="Arial"/>
          <w:sz w:val="17"/>
          <w:szCs w:val="17"/>
          <w:b w:val="1"/>
          <w:bCs w:val="1"/>
          <w:color w:val="auto"/>
        </w:rPr>
        <w:t xml:space="preserve"> Notices. </w:t>
      </w:r>
      <w:r>
        <w:rPr>
          <w:rFonts w:ascii="Arial" w:cs="Arial" w:eastAsia="Arial" w:hAnsi="Arial"/>
          <w:sz w:val="17"/>
          <w:szCs w:val="17"/>
          <w:color w:val="auto"/>
        </w:rPr>
        <w:t>Any notice to be given under the terms of this Award Agreement to the Company shall be addressed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 care of its Secretary, and any notice to be given to the Participant shall be addressed to him at the address given beneath his signature hereto.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4.4. Any notice shall have been deemed duly given when enclosed in a properly sealed envelope or wrapper addressed as aforesaid, deposited (with</w:t>
      </w:r>
    </w:p>
    <w:p>
      <w:pPr>
        <w:spacing w:after="0" w:line="1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color w:val="auto"/>
        </w:rPr>
        <w:t>postage prepaid) in a post office or branch post office regularly maintained by the United States Postal Service.</w:t>
      </w:r>
    </w:p>
    <w:p>
      <w:pPr>
        <w:spacing w:after="0" w:line="113" w:lineRule="exact"/>
        <w:rPr>
          <w:sz w:val="20"/>
          <w:szCs w:val="20"/>
          <w:color w:val="auto"/>
        </w:rPr>
      </w:pPr>
    </w:p>
    <w:p>
      <w:pPr>
        <w:ind w:left="340" w:right="1480" w:firstLine="225"/>
        <w:spacing w:after="0" w:line="282" w:lineRule="auto"/>
        <w:rPr>
          <w:sz w:val="20"/>
          <w:szCs w:val="20"/>
          <w:color w:val="auto"/>
        </w:rPr>
      </w:pPr>
      <w:r>
        <w:rPr>
          <w:rFonts w:ascii="Arial" w:cs="Arial" w:eastAsia="Arial" w:hAnsi="Arial"/>
          <w:sz w:val="18"/>
          <w:szCs w:val="18"/>
          <w:b w:val="1"/>
          <w:bCs w:val="1"/>
          <w:u w:val="single" w:color="auto"/>
          <w:color w:val="auto"/>
        </w:rPr>
        <w:t>Section 4.5</w:t>
      </w:r>
      <w:r>
        <w:rPr>
          <w:rFonts w:ascii="Arial" w:cs="Arial" w:eastAsia="Arial" w:hAnsi="Arial"/>
          <w:sz w:val="18"/>
          <w:szCs w:val="18"/>
          <w:b w:val="1"/>
          <w:bCs w:val="1"/>
          <w:color w:val="auto"/>
        </w:rPr>
        <w:t xml:space="preserve"> Titles. </w:t>
      </w:r>
      <w:r>
        <w:rPr>
          <w:rFonts w:ascii="Arial" w:cs="Arial" w:eastAsia="Arial" w:hAnsi="Arial"/>
          <w:sz w:val="18"/>
          <w:szCs w:val="18"/>
          <w:color w:val="auto"/>
        </w:rPr>
        <w:t>Titles are provided herein for convenience only and are not to serve as a basis for interpretation or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Award Agreement.</w:t>
      </w:r>
    </w:p>
    <w:p>
      <w:pPr>
        <w:spacing w:after="0" w:line="54" w:lineRule="exact"/>
        <w:rPr>
          <w:sz w:val="20"/>
          <w:szCs w:val="20"/>
          <w:color w:val="auto"/>
        </w:rPr>
      </w:pPr>
    </w:p>
    <w:p>
      <w:pPr>
        <w:ind w:left="340" w:right="1360" w:firstLine="225"/>
        <w:spacing w:after="0" w:line="274" w:lineRule="auto"/>
        <w:rPr>
          <w:sz w:val="20"/>
          <w:szCs w:val="20"/>
          <w:color w:val="auto"/>
        </w:rPr>
      </w:pPr>
      <w:r>
        <w:rPr>
          <w:rFonts w:ascii="Arial" w:cs="Arial" w:eastAsia="Arial" w:hAnsi="Arial"/>
          <w:sz w:val="17"/>
          <w:szCs w:val="17"/>
          <w:b w:val="1"/>
          <w:bCs w:val="1"/>
          <w:u w:val="single" w:color="auto"/>
          <w:color w:val="auto"/>
        </w:rPr>
        <w:t>Section 4.6</w:t>
      </w:r>
      <w:r>
        <w:rPr>
          <w:rFonts w:ascii="Arial" w:cs="Arial" w:eastAsia="Arial" w:hAnsi="Arial"/>
          <w:sz w:val="17"/>
          <w:szCs w:val="17"/>
          <w:b w:val="1"/>
          <w:bCs w:val="1"/>
          <w:color w:val="auto"/>
        </w:rPr>
        <w:t xml:space="preserve"> Conformity to Securities Laws. </w:t>
      </w:r>
      <w:r>
        <w:rPr>
          <w:rFonts w:ascii="Arial" w:cs="Arial" w:eastAsia="Arial" w:hAnsi="Arial"/>
          <w:sz w:val="17"/>
          <w:szCs w:val="17"/>
          <w:color w:val="auto"/>
        </w:rPr>
        <w:t>This Award Agreement is intended to conform to the extent necessary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the Securities Act and the Exchange Act and any and all regulations and rules promulgated by the Securities and Exchange Commission thereunder, including without limitation Rule 16b-3. Notwithstanding anything herein to the contrary, this Award Agreement shall be administered, and the Restricted Stock shall be issued, only in such a manner as to conform to such laws, rules and regulations. To the extent permitted by applicable law, this Award Agreement and the Restricted Stock issued hereunder shall be deemed amended to the extent necessary to conform to such laws, rules and regulations.</w:t>
      </w:r>
    </w:p>
    <w:p>
      <w:pPr>
        <w:spacing w:after="0" w:line="66" w:lineRule="exact"/>
        <w:rPr>
          <w:sz w:val="20"/>
          <w:szCs w:val="20"/>
          <w:color w:val="auto"/>
        </w:rPr>
      </w:pPr>
    </w:p>
    <w:p>
      <w:pPr>
        <w:ind w:left="340" w:right="2040" w:firstLine="225"/>
        <w:spacing w:after="0" w:line="282" w:lineRule="auto"/>
        <w:rPr>
          <w:sz w:val="20"/>
          <w:szCs w:val="20"/>
          <w:color w:val="auto"/>
        </w:rPr>
      </w:pPr>
      <w:r>
        <w:rPr>
          <w:rFonts w:ascii="Arial" w:cs="Arial" w:eastAsia="Arial" w:hAnsi="Arial"/>
          <w:sz w:val="18"/>
          <w:szCs w:val="18"/>
          <w:b w:val="1"/>
          <w:bCs w:val="1"/>
          <w:u w:val="single" w:color="auto"/>
          <w:color w:val="auto"/>
        </w:rPr>
        <w:t>Section 4.7</w:t>
      </w:r>
      <w:r>
        <w:rPr>
          <w:rFonts w:ascii="Arial" w:cs="Arial" w:eastAsia="Arial" w:hAnsi="Arial"/>
          <w:sz w:val="18"/>
          <w:szCs w:val="18"/>
          <w:b w:val="1"/>
          <w:bCs w:val="1"/>
          <w:color w:val="auto"/>
        </w:rPr>
        <w:t xml:space="preserve"> Amendment</w:t>
      </w:r>
      <w:r>
        <w:rPr>
          <w:rFonts w:ascii="Arial" w:cs="Arial" w:eastAsia="Arial" w:hAnsi="Arial"/>
          <w:sz w:val="18"/>
          <w:szCs w:val="18"/>
          <w:color w:val="auto"/>
        </w:rPr>
        <w:t>. This Award Agreement may be amended only by a writing executed by the parties hereto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states that it is amending this Award Agreement.</w:t>
      </w:r>
    </w:p>
    <w:p>
      <w:pPr>
        <w:spacing w:after="0" w:line="54" w:lineRule="exact"/>
        <w:rPr>
          <w:sz w:val="20"/>
          <w:szCs w:val="20"/>
          <w:color w:val="auto"/>
        </w:rPr>
      </w:pPr>
    </w:p>
    <w:p>
      <w:pPr>
        <w:ind w:left="340" w:right="1660" w:firstLine="225"/>
        <w:spacing w:after="0" w:line="266" w:lineRule="auto"/>
        <w:rPr>
          <w:sz w:val="20"/>
          <w:szCs w:val="20"/>
          <w:color w:val="auto"/>
        </w:rPr>
      </w:pPr>
      <w:r>
        <w:rPr>
          <w:rFonts w:ascii="Arial" w:cs="Arial" w:eastAsia="Arial" w:hAnsi="Arial"/>
          <w:sz w:val="18"/>
          <w:szCs w:val="18"/>
          <w:b w:val="1"/>
          <w:bCs w:val="1"/>
          <w:u w:val="single" w:color="auto"/>
          <w:color w:val="auto"/>
        </w:rPr>
        <w:t>Section 4.8</w:t>
      </w:r>
      <w:r>
        <w:rPr>
          <w:rFonts w:ascii="Arial" w:cs="Arial" w:eastAsia="Arial" w:hAnsi="Arial"/>
          <w:sz w:val="18"/>
          <w:szCs w:val="18"/>
          <w:b w:val="1"/>
          <w:bCs w:val="1"/>
          <w:color w:val="auto"/>
        </w:rPr>
        <w:t xml:space="preserve"> Governing Law. </w:t>
      </w:r>
      <w:r>
        <w:rPr>
          <w:rFonts w:ascii="Arial" w:cs="Arial" w:eastAsia="Arial" w:hAnsi="Arial"/>
          <w:sz w:val="18"/>
          <w:szCs w:val="18"/>
          <w:color w:val="auto"/>
        </w:rPr>
        <w:t>The laws of the State of Delaware shall govern the interpretation, validity, 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enforcement and performance of the terms of this Award Agreement regardless of the law that might be applied under principles of conflicts of laws.</w:t>
      </w:r>
    </w:p>
    <w:p>
      <w:pPr>
        <w:spacing w:after="0" w:line="7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IN WITNESS HEREOF</w:t>
      </w:r>
      <w:r>
        <w:rPr>
          <w:rFonts w:ascii="Arial" w:cs="Arial" w:eastAsia="Arial" w:hAnsi="Arial"/>
          <w:sz w:val="18"/>
          <w:szCs w:val="18"/>
          <w:color w:val="auto"/>
        </w:rPr>
        <w:t>, this Award Agreement has been executed and delivered by the parties hereto.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5760" w:type="dxa"/>
            <w:vAlign w:val="bottom"/>
            <w:gridSpan w:val="2"/>
          </w:tcPr>
          <w:p>
            <w:pPr>
              <w:ind w:left="1440"/>
              <w:spacing w:after="0"/>
              <w:rPr>
                <w:sz w:val="20"/>
                <w:szCs w:val="20"/>
                <w:color w:val="auto"/>
              </w:rPr>
            </w:pPr>
            <w:r>
              <w:rPr>
                <w:rFonts w:ascii="Arial" w:cs="Arial" w:eastAsia="Arial" w:hAnsi="Arial"/>
                <w:sz w:val="18"/>
                <w:szCs w:val="18"/>
                <w:color w:val="auto"/>
              </w:rPr>
              <w:t>INTEGRA LIFESCIENCES</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THE PARTICIPANT</w:t>
            </w:r>
          </w:p>
        </w:tc>
        <w:tc>
          <w:tcPr>
            <w:tcW w:w="5760" w:type="dxa"/>
            <w:vAlign w:val="bottom"/>
            <w:gridSpan w:val="2"/>
          </w:tcPr>
          <w:p>
            <w:pPr>
              <w:ind w:left="1440"/>
              <w:spacing w:after="0"/>
              <w:rPr>
                <w:sz w:val="20"/>
                <w:szCs w:val="20"/>
                <w:color w:val="auto"/>
              </w:rPr>
            </w:pPr>
            <w:r>
              <w:rPr>
                <w:rFonts w:ascii="Arial" w:cs="Arial" w:eastAsia="Arial" w:hAnsi="Arial"/>
                <w:sz w:val="18"/>
                <w:szCs w:val="18"/>
                <w:color w:val="auto"/>
              </w:rPr>
              <w:t>HOLDINGS CORPORATION</w:t>
            </w:r>
          </w:p>
        </w:tc>
        <w:tc>
          <w:tcPr>
            <w:tcW w:w="13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760" w:type="dxa"/>
            <w:vAlign w:val="bottom"/>
            <w:gridSpan w:val="2"/>
          </w:tcPr>
          <w:p>
            <w:pPr>
              <w:ind w:left="1440"/>
              <w:spacing w:after="0"/>
              <w:rPr>
                <w:sz w:val="20"/>
                <w:szCs w:val="20"/>
                <w:color w:val="auto"/>
              </w:rPr>
            </w:pPr>
            <w:r>
              <w:rPr>
                <w:rFonts w:ascii="Arial" w:cs="Arial" w:eastAsia="Arial" w:hAnsi="Arial"/>
                <w:sz w:val="18"/>
                <w:szCs w:val="18"/>
                <w:color w:val="auto"/>
              </w:rPr>
              <w:t>By</w:t>
            </w:r>
          </w:p>
        </w:tc>
        <w:tc>
          <w:tcPr>
            <w:tcW w:w="1360" w:type="dxa"/>
            <w:vAlign w:val="bottom"/>
          </w:tcPr>
          <w:p>
            <w:pPr>
              <w:spacing w:after="0"/>
              <w:rPr>
                <w:sz w:val="24"/>
                <w:szCs w:val="24"/>
                <w:color w:val="auto"/>
              </w:rPr>
            </w:pPr>
          </w:p>
        </w:tc>
      </w:tr>
      <w:tr>
        <w:trPr>
          <w:trHeight w:val="209"/>
        </w:trPr>
        <w:tc>
          <w:tcPr>
            <w:tcW w:w="340" w:type="dxa"/>
            <w:vAlign w:val="bottom"/>
          </w:tcPr>
          <w:p>
            <w:pPr>
              <w:spacing w:after="0"/>
              <w:rPr>
                <w:sz w:val="18"/>
                <w:szCs w:val="18"/>
                <w:color w:val="auto"/>
              </w:rPr>
            </w:pPr>
          </w:p>
        </w:tc>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760" w:type="dxa"/>
            <w:vAlign w:val="bottom"/>
          </w:tcPr>
          <w:p>
            <w:pPr>
              <w:spacing w:after="0"/>
              <w:rPr>
                <w:sz w:val="18"/>
                <w:szCs w:val="18"/>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Title:</w:t>
            </w: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c>
          <w:tcPr>
            <w:tcW w:w="17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4"/>
        </w:trPr>
        <w:tc>
          <w:tcPr>
            <w:tcW w:w="34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Address</w:t>
            </w:r>
          </w:p>
        </w:tc>
        <w:tc>
          <w:tcPr>
            <w:tcW w:w="17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04"/>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60" w:type="dxa"/>
            <w:vAlign w:val="bottom"/>
          </w:tcPr>
          <w:p>
            <w:pPr>
              <w:jc w:val="right"/>
              <w:ind w:right="730"/>
              <w:spacing w:after="0"/>
              <w:rPr>
                <w:sz w:val="20"/>
                <w:szCs w:val="20"/>
                <w:color w:val="auto"/>
              </w:rPr>
            </w:pPr>
            <w:r>
              <w:rPr>
                <w:rFonts w:ascii="Arial" w:cs="Arial" w:eastAsia="Arial" w:hAnsi="Arial"/>
                <w:sz w:val="18"/>
                <w:szCs w:val="18"/>
                <w:color w:val="auto"/>
              </w:rPr>
              <w:t>4</w:t>
            </w:r>
          </w:p>
        </w:tc>
        <w:tc>
          <w:tcPr>
            <w:tcW w:w="4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jc w:val="center"/>
        <w:ind w:right="1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CONSENT OF SPOUSE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 ____________________, spouse of _________________, have read and approve the foregoing Award Agreement. In</w:t>
      </w:r>
    </w:p>
    <w:p>
      <w:pPr>
        <w:spacing w:after="0" w:line="35" w:lineRule="exact"/>
        <w:rPr>
          <w:sz w:val="20"/>
          <w:szCs w:val="20"/>
          <w:color w:val="auto"/>
        </w:rPr>
      </w:pPr>
    </w:p>
    <w:p>
      <w:pPr>
        <w:ind w:right="239"/>
        <w:spacing w:after="0" w:line="271" w:lineRule="auto"/>
        <w:rPr>
          <w:sz w:val="20"/>
          <w:szCs w:val="20"/>
          <w:color w:val="auto"/>
        </w:rPr>
      </w:pPr>
      <w:r>
        <w:rPr>
          <w:rFonts w:ascii="Arial" w:cs="Arial" w:eastAsia="Arial" w:hAnsi="Arial"/>
          <w:sz w:val="17"/>
          <w:szCs w:val="17"/>
          <w:color w:val="auto"/>
        </w:rPr>
        <w:t>consideration of granting of the right to my spouse to purchase shares of Integra LifeSciences Holdings Corporation as set forth in the Award Agreement,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______</w:t>
      </w:r>
    </w:p>
    <w:p>
      <w:pPr>
        <w:spacing w:after="0" w:line="200" w:lineRule="exact"/>
        <w:rPr>
          <w:sz w:val="20"/>
          <w:szCs w:val="20"/>
          <w:color w:val="auto"/>
        </w:rPr>
      </w:pPr>
    </w:p>
    <w:p>
      <w:pPr>
        <w:spacing w:after="0" w:line="25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-130175</wp:posOffset>
            </wp:positionV>
            <wp:extent cx="23412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879"/>
          </w:cols>
          <w:pgMar w:left="580" w:top="958" w:right="1440" w:bottom="1440" w:gutter="0" w:footer="0" w:header="0"/>
        </w:sectPr>
      </w:pPr>
    </w:p>
    <w:bookmarkStart w:id="34" w:name="page35"/>
    <w:bookmarkEnd w:id="34"/>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Stuart M. Essig, certify that:</w:t>
      </w:r>
    </w:p>
    <w:p>
      <w:pPr>
        <w:spacing w:after="0" w:line="185" w:lineRule="exact"/>
        <w:rPr>
          <w:sz w:val="20"/>
          <w:szCs w:val="20"/>
          <w:color w:val="auto"/>
        </w:rPr>
      </w:pPr>
    </w:p>
    <w:p>
      <w:pPr>
        <w:ind w:left="388" w:hanging="388"/>
        <w:spacing w:after="0"/>
        <w:tabs>
          <w:tab w:leader="none" w:pos="3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57"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140"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jc w:val="both"/>
        <w:ind w:left="748" w:right="179" w:hanging="370"/>
        <w:spacing w:after="0" w:line="286" w:lineRule="auto"/>
        <w:tabs>
          <w:tab w:leader="none" w:pos="748"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jc w:val="both"/>
        <w:ind w:left="748" w:right="159" w:hanging="370"/>
        <w:spacing w:after="0" w:line="264" w:lineRule="auto"/>
        <w:tabs>
          <w:tab w:leader="none" w:pos="748"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jc w:val="both"/>
        <w:ind w:left="388" w:right="159" w:hanging="388"/>
        <w:spacing w:after="0" w:line="264" w:lineRule="auto"/>
        <w:tabs>
          <w:tab w:leader="none" w:pos="3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48" w:right="179" w:hanging="370"/>
        <w:spacing w:after="0" w:line="264" w:lineRule="auto"/>
        <w:tabs>
          <w:tab w:leader="none" w:pos="74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48" w:right="179" w:hanging="370"/>
        <w:spacing w:after="0" w:line="277" w:lineRule="auto"/>
        <w:tabs>
          <w:tab w:leader="none" w:pos="74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April 28,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9887"/>
          </w:cols>
          <w:pgMar w:left="572" w:top="121" w:right="1440" w:bottom="1440" w:gutter="0" w:footer="0" w:header="0"/>
        </w:sectPr>
      </w:pPr>
    </w:p>
    <w:bookmarkStart w:id="35" w:name="page36"/>
    <w:bookmarkEnd w:id="35"/>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John B. Henneman, III, certify that:</w:t>
      </w:r>
    </w:p>
    <w:p>
      <w:pPr>
        <w:spacing w:after="0" w:line="185" w:lineRule="exact"/>
        <w:rPr>
          <w:sz w:val="20"/>
          <w:szCs w:val="20"/>
          <w:color w:val="auto"/>
        </w:rPr>
      </w:pPr>
    </w:p>
    <w:p>
      <w:pPr>
        <w:ind w:left="388" w:hanging="388"/>
        <w:spacing w:after="0"/>
        <w:tabs>
          <w:tab w:leader="none" w:pos="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57"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140"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jc w:val="both"/>
        <w:ind w:left="748" w:right="179" w:hanging="370"/>
        <w:spacing w:after="0" w:line="286" w:lineRule="auto"/>
        <w:tabs>
          <w:tab w:leader="none" w:pos="74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jc w:val="both"/>
        <w:ind w:left="748" w:right="159" w:hanging="370"/>
        <w:spacing w:after="0" w:line="264" w:lineRule="auto"/>
        <w:tabs>
          <w:tab w:leader="none" w:pos="7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jc w:val="both"/>
        <w:ind w:left="388" w:right="159" w:hanging="388"/>
        <w:spacing w:after="0" w:line="264" w:lineRule="auto"/>
        <w:tabs>
          <w:tab w:leader="none" w:pos="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48" w:right="179" w:hanging="370"/>
        <w:spacing w:after="0" w:line="264" w:lineRule="auto"/>
        <w:tabs>
          <w:tab w:leader="none" w:pos="7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48" w:right="179" w:hanging="370"/>
        <w:spacing w:after="0" w:line="277" w:lineRule="auto"/>
        <w:tabs>
          <w:tab w:leader="none" w:pos="7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Date: April 28, 2011</w:t>
            </w:r>
          </w:p>
        </w:tc>
        <w:tc>
          <w:tcPr>
            <w:tcW w:w="4260" w:type="dxa"/>
            <w:vAlign w:val="bottom"/>
            <w:gridSpan w:val="2"/>
          </w:tcPr>
          <w:p>
            <w:pPr>
              <w:spacing w:after="0"/>
              <w:rPr>
                <w:sz w:val="20"/>
                <w:szCs w:val="20"/>
                <w:color w:val="auto"/>
              </w:rPr>
            </w:pPr>
            <w:r>
              <w:rPr>
                <w:rFonts w:ascii="Arial" w:cs="Arial" w:eastAsia="Arial" w:hAnsi="Arial"/>
                <w:sz w:val="18"/>
                <w:szCs w:val="18"/>
                <w:color w:val="auto"/>
              </w:rPr>
              <w:t>/s/ John B. Henneman, III</w:t>
            </w:r>
          </w:p>
        </w:tc>
      </w:tr>
      <w:tr>
        <w:trPr>
          <w:trHeight w:val="195"/>
        </w:trPr>
        <w:tc>
          <w:tcPr>
            <w:tcW w:w="416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B. Henneman, III</w:t>
            </w:r>
          </w:p>
        </w:tc>
        <w:tc>
          <w:tcPr>
            <w:tcW w:w="20" w:type="dxa"/>
            <w:vAlign w:val="bottom"/>
          </w:tcPr>
          <w:p>
            <w:pPr>
              <w:spacing w:after="0"/>
              <w:rPr>
                <w:sz w:val="16"/>
                <w:szCs w:val="16"/>
                <w:color w:val="auto"/>
              </w:rPr>
            </w:pPr>
          </w:p>
        </w:tc>
      </w:tr>
      <w:tr>
        <w:trPr>
          <w:trHeight w:val="216"/>
        </w:trPr>
        <w:tc>
          <w:tcPr>
            <w:tcW w:w="416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i w:val="1"/>
                <w:iCs w:val="1"/>
                <w:color w:val="auto"/>
                <w:w w:val="90"/>
              </w:rPr>
              <w:t>Executive Vice President, Finance and Administration, and</w:t>
            </w:r>
          </w:p>
        </w:tc>
      </w:tr>
      <w:tr>
        <w:trPr>
          <w:trHeight w:val="230"/>
        </w:trPr>
        <w:tc>
          <w:tcPr>
            <w:tcW w:w="416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9887"/>
          </w:cols>
          <w:pgMar w:left="572" w:top="121" w:right="1440" w:bottom="1440" w:gutter="0" w:footer="0" w:header="0"/>
        </w:sectPr>
      </w:pPr>
    </w:p>
    <w:bookmarkStart w:id="36" w:name="page37"/>
    <w:bookmarkEnd w:id="36"/>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4" w:lineRule="exact"/>
        <w:rPr>
          <w:sz w:val="20"/>
          <w:szCs w:val="20"/>
          <w:color w:val="auto"/>
        </w:rPr>
      </w:pPr>
    </w:p>
    <w:p>
      <w:pPr>
        <w:ind w:left="8" w:right="179"/>
        <w:spacing w:after="0" w:line="277" w:lineRule="auto"/>
        <w:rPr>
          <w:sz w:val="20"/>
          <w:szCs w:val="20"/>
          <w:color w:val="auto"/>
        </w:rPr>
      </w:pPr>
      <w:r>
        <w:rPr>
          <w:rFonts w:ascii="Arial" w:cs="Arial" w:eastAsia="Arial" w:hAnsi="Arial"/>
          <w:sz w:val="18"/>
          <w:szCs w:val="18"/>
          <w:color w:val="auto"/>
        </w:rPr>
        <w:t>I, Stuart M. Essig, Chief Executive Officer and Director of Integra LifeSciences Holdings Corporation (the “Company”), hereby certify that, to my knowledge:</w:t>
      </w:r>
    </w:p>
    <w:p>
      <w:pPr>
        <w:spacing w:after="0" w:line="130" w:lineRule="exact"/>
        <w:rPr>
          <w:sz w:val="20"/>
          <w:szCs w:val="20"/>
          <w:color w:val="auto"/>
        </w:rPr>
      </w:pPr>
    </w:p>
    <w:p>
      <w:pPr>
        <w:ind w:left="388" w:right="159" w:hanging="388"/>
        <w:spacing w:after="0" w:line="308" w:lineRule="auto"/>
        <w:tabs>
          <w:tab w:leader="none" w:pos="38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March 31, 2011 (the “Report”) fully complies with the requirement of Section 13(a) or Section 15(d), as applicable, of the Securities Exchange Act of 1934, as amended; and</w:t>
      </w:r>
    </w:p>
    <w:p>
      <w:pPr>
        <w:spacing w:after="0" w:line="106" w:lineRule="exact"/>
        <w:rPr>
          <w:rFonts w:ascii="Arial" w:cs="Arial" w:eastAsia="Arial" w:hAnsi="Arial"/>
          <w:sz w:val="17"/>
          <w:szCs w:val="17"/>
          <w:color w:val="auto"/>
        </w:rPr>
      </w:pPr>
    </w:p>
    <w:p>
      <w:pPr>
        <w:ind w:left="388" w:right="159" w:hanging="388"/>
        <w:spacing w:after="0" w:line="277" w:lineRule="auto"/>
        <w:tabs>
          <w:tab w:leader="none" w:pos="3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April 28,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9887"/>
          </w:cols>
          <w:pgMar w:left="572" w:top="121" w:right="1440" w:bottom="1440" w:gutter="0" w:footer="0" w:header="0"/>
        </w:sectPr>
      </w:pPr>
    </w:p>
    <w:bookmarkStart w:id="37" w:name="page38"/>
    <w:bookmarkEnd w:id="37"/>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4" w:lineRule="exact"/>
        <w:rPr>
          <w:sz w:val="20"/>
          <w:szCs w:val="20"/>
          <w:color w:val="auto"/>
        </w:rPr>
      </w:pPr>
    </w:p>
    <w:p>
      <w:pPr>
        <w:ind w:left="8" w:right="179"/>
        <w:spacing w:after="0" w:line="277"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130" w:lineRule="exact"/>
        <w:rPr>
          <w:sz w:val="20"/>
          <w:szCs w:val="20"/>
          <w:color w:val="auto"/>
        </w:rPr>
      </w:pPr>
    </w:p>
    <w:p>
      <w:pPr>
        <w:ind w:left="388" w:right="159" w:hanging="388"/>
        <w:spacing w:after="0" w:line="308" w:lineRule="auto"/>
        <w:tabs>
          <w:tab w:leader="none" w:pos="38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March 31, 2011 (the “Report”) fully complies with the requirement of Section 13(a) or Section 15(d), as applicable, of the Securities Exchange Act of 1934, as amended; and</w:t>
      </w:r>
    </w:p>
    <w:p>
      <w:pPr>
        <w:spacing w:after="0" w:line="106" w:lineRule="exact"/>
        <w:rPr>
          <w:rFonts w:ascii="Arial" w:cs="Arial" w:eastAsia="Arial" w:hAnsi="Arial"/>
          <w:sz w:val="17"/>
          <w:szCs w:val="17"/>
          <w:color w:val="auto"/>
        </w:rPr>
      </w:pPr>
    </w:p>
    <w:p>
      <w:pPr>
        <w:ind w:left="388" w:right="159" w:hanging="388"/>
        <w:spacing w:after="0" w:line="277" w:lineRule="auto"/>
        <w:tabs>
          <w:tab w:leader="none" w:pos="3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Date: April 28, 2011</w:t>
            </w:r>
          </w:p>
        </w:tc>
        <w:tc>
          <w:tcPr>
            <w:tcW w:w="4260" w:type="dxa"/>
            <w:vAlign w:val="bottom"/>
            <w:gridSpan w:val="2"/>
          </w:tcPr>
          <w:p>
            <w:pPr>
              <w:spacing w:after="0"/>
              <w:rPr>
                <w:sz w:val="20"/>
                <w:szCs w:val="20"/>
                <w:color w:val="auto"/>
              </w:rPr>
            </w:pPr>
            <w:r>
              <w:rPr>
                <w:rFonts w:ascii="Arial" w:cs="Arial" w:eastAsia="Arial" w:hAnsi="Arial"/>
                <w:sz w:val="18"/>
                <w:szCs w:val="18"/>
                <w:color w:val="auto"/>
              </w:rPr>
              <w:t>/s/ John B. Henneman, III</w:t>
            </w:r>
          </w:p>
        </w:tc>
      </w:tr>
      <w:tr>
        <w:trPr>
          <w:trHeight w:val="195"/>
        </w:trPr>
        <w:tc>
          <w:tcPr>
            <w:tcW w:w="4160" w:type="dxa"/>
            <w:vAlign w:val="bottom"/>
          </w:tcPr>
          <w:p>
            <w:pPr>
              <w:spacing w:after="0"/>
              <w:rPr>
                <w:sz w:val="16"/>
                <w:szCs w:val="16"/>
                <w:color w:val="auto"/>
              </w:rPr>
            </w:pPr>
          </w:p>
        </w:tc>
        <w:tc>
          <w:tcPr>
            <w:tcW w:w="4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B. Henneman, III</w:t>
            </w:r>
          </w:p>
        </w:tc>
        <w:tc>
          <w:tcPr>
            <w:tcW w:w="20" w:type="dxa"/>
            <w:vAlign w:val="bottom"/>
          </w:tcPr>
          <w:p>
            <w:pPr>
              <w:spacing w:after="0"/>
              <w:rPr>
                <w:sz w:val="16"/>
                <w:szCs w:val="16"/>
                <w:color w:val="auto"/>
              </w:rPr>
            </w:pPr>
          </w:p>
        </w:tc>
      </w:tr>
      <w:tr>
        <w:trPr>
          <w:trHeight w:val="216"/>
        </w:trPr>
        <w:tc>
          <w:tcPr>
            <w:tcW w:w="416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w w:val="90"/>
              </w:rPr>
              <w:t>Executive Vice President, Finance and Administration, and</w:t>
            </w:r>
          </w:p>
        </w:tc>
      </w:tr>
      <w:tr>
        <w:trPr>
          <w:trHeight w:val="230"/>
        </w:trPr>
        <w:tc>
          <w:tcPr>
            <w:tcW w:w="416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Roman"/>
      <w:start w:val="10"/>
    </w:lvl>
  </w:abstractNum>
  <w:abstractNum w:abstractNumId="6">
    <w:nsid w:val="216231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2019-12-10T13:16:01Z</dcterms:created>
  <dcterms:modified xsi:type="dcterms:W3CDTF">2019-12-10T13:16:01Z</dcterms:modified>
</cp:coreProperties>
</file>